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tl/>
        </w:rPr>
      </w:pPr>
      <w:bookmarkStart w:id="0" w:name="_GoBack"/>
      <w:bookmarkEnd w:id="0"/>
    </w:p>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0F3018" w:rsidP="004C7868">
            <w:pPr>
              <w:pStyle w:val="FileNumber0"/>
              <w:rPr>
                <w:sz w:val="28"/>
                <w:u w:val="single"/>
                <w:rtl/>
              </w:rPr>
            </w:pPr>
            <w:r>
              <w:rPr>
                <w:u w:val="single"/>
                <w:rtl/>
              </w:rPr>
              <w:t xml:space="preserve">בבית המשפט העליון </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6932CA">
            <w:pPr>
              <w:pStyle w:val="FileNumber"/>
              <w:rPr>
                <w:sz w:val="28"/>
                <w:szCs w:val="28"/>
              </w:rPr>
            </w:pPr>
            <w:bookmarkStart w:id="1" w:name="casename_body"/>
            <w:r>
              <w:rPr>
                <w:sz w:val="28"/>
                <w:szCs w:val="28"/>
                <w:rtl/>
              </w:rPr>
              <w:t>דנג"ץ</w:t>
            </w:r>
            <w:r w:rsidR="000F3018">
              <w:rPr>
                <w:sz w:val="28"/>
                <w:szCs w:val="28"/>
                <w:rtl/>
              </w:rPr>
              <w:t xml:space="preserve"> 7335/21</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122A1F">
            <w:pPr>
              <w:pStyle w:val="BodyRuller"/>
            </w:pPr>
            <w:r>
              <w:rPr>
                <w:rFonts w:hint="cs"/>
                <w:rtl/>
              </w:rPr>
              <w:t xml:space="preserve">כבוד </w:t>
            </w:r>
            <w:r w:rsidR="005F56B3">
              <w:rPr>
                <w:rFonts w:hint="cs"/>
                <w:rtl/>
              </w:rPr>
              <w:t>ממלא מקום הנשיא</w:t>
            </w:r>
            <w:r w:rsidR="000F3018">
              <w:rPr>
                <w:rtl/>
              </w:rPr>
              <w:t xml:space="preserve"> ע' פוגלמן</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 י' עמית</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 נ' סולברג</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השופטת ד' ברק-ארז</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השופטת</w:t>
            </w:r>
            <w:r w:rsidR="001A5744">
              <w:rPr>
                <w:rFonts w:hint="cs"/>
                <w:rtl/>
              </w:rPr>
              <w:t xml:space="preserve"> (</w:t>
            </w:r>
            <w:r w:rsidR="00CF40BA">
              <w:rPr>
                <w:rFonts w:hint="cs"/>
                <w:rtl/>
              </w:rPr>
              <w:t>בדימ'</w:t>
            </w:r>
            <w:r w:rsidR="001A5744">
              <w:rPr>
                <w:rFonts w:hint="cs"/>
                <w:rtl/>
              </w:rPr>
              <w:t>)</w:t>
            </w:r>
            <w:r>
              <w:rPr>
                <w:rtl/>
              </w:rPr>
              <w:t xml:space="preserve"> ע' ברון</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 ד' מינץ</w:t>
            </w:r>
          </w:p>
        </w:tc>
      </w:tr>
      <w:tr w:rsidR="000F3018" w:rsidTr="00EC23AC">
        <w:trPr>
          <w:trHeight w:val="287"/>
        </w:trPr>
        <w:tc>
          <w:tcPr>
            <w:tcW w:w="3261" w:type="dxa"/>
          </w:tcPr>
          <w:p w:rsidR="000F3018" w:rsidRDefault="000F3018">
            <w:pPr>
              <w:pStyle w:val="BodyRuller"/>
              <w:rPr>
                <w:rtl/>
              </w:rPr>
            </w:pPr>
          </w:p>
        </w:tc>
        <w:tc>
          <w:tcPr>
            <w:tcW w:w="5239" w:type="dxa"/>
          </w:tcPr>
          <w:p w:rsidR="000F3018" w:rsidRDefault="000F3018">
            <w:pPr>
              <w:pStyle w:val="BodyRuller"/>
              <w:rPr>
                <w:rtl/>
              </w:rPr>
            </w:pPr>
            <w:r>
              <w:rPr>
                <w:rtl/>
              </w:rPr>
              <w:t>כבוד השופטת י' וילנר</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0F3018" w:rsidP="00DD6306">
            <w:pPr>
              <w:pStyle w:val="BodyRuller"/>
              <w:rPr>
                <w:rFonts w:ascii="David" w:hAnsi="David"/>
              </w:rPr>
            </w:pPr>
            <w:r>
              <w:rPr>
                <w:rFonts w:ascii="David" w:hAnsi="David"/>
                <w:rtl/>
              </w:rPr>
              <w:t>המבקשים:</w:t>
            </w:r>
          </w:p>
        </w:tc>
        <w:tc>
          <w:tcPr>
            <w:tcW w:w="5239" w:type="dxa"/>
          </w:tcPr>
          <w:p w:rsidR="00D00CB7" w:rsidRDefault="000F3018" w:rsidP="00DD6306">
            <w:pPr>
              <w:pStyle w:val="BodyRuller"/>
            </w:pPr>
            <w:r>
              <w:rPr>
                <w:rtl/>
              </w:rPr>
              <w:t>1. שרת הפנים</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2. מנכ"ל רשות האוכלוסין וההגירה</w:t>
            </w:r>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0F3018" w:rsidP="00DD6306">
            <w:pPr>
              <w:pStyle w:val="BodyRuller"/>
              <w:rPr>
                <w:rFonts w:ascii="David" w:hAnsi="David"/>
              </w:rPr>
            </w:pPr>
            <w:r>
              <w:rPr>
                <w:rFonts w:ascii="David" w:hAnsi="David"/>
                <w:rtl/>
              </w:rPr>
              <w:t>המשיבים:</w:t>
            </w:r>
          </w:p>
        </w:tc>
        <w:tc>
          <w:tcPr>
            <w:tcW w:w="5239" w:type="dxa"/>
          </w:tcPr>
          <w:p w:rsidR="0083345F" w:rsidRDefault="000F3018" w:rsidP="00DD6306">
            <w:pPr>
              <w:pStyle w:val="BodyRuller"/>
            </w:pPr>
            <w:r>
              <w:rPr>
                <w:rtl/>
              </w:rPr>
              <w:t>1. ראיסה מרינצ'בה</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2. ז'אנה מרינצ'ב</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3. איליה מרינצ'ב</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4. יארין גרשמן</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5. המרכז לסיוע משפטי לעולים</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6. גלובל עלייה</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7. טטיאנה שפונט</w:t>
            </w:r>
          </w:p>
        </w:tc>
      </w:tr>
      <w:tr w:rsidR="000F3018" w:rsidTr="00DD6306">
        <w:trPr>
          <w:trHeight w:val="287"/>
        </w:trPr>
        <w:tc>
          <w:tcPr>
            <w:tcW w:w="3261" w:type="dxa"/>
          </w:tcPr>
          <w:p w:rsidR="000F3018" w:rsidRDefault="000F3018" w:rsidP="00DD6306">
            <w:pPr>
              <w:pStyle w:val="BodyRuller"/>
              <w:rPr>
                <w:rFonts w:ascii="David" w:hAnsi="David"/>
                <w:rtl/>
              </w:rPr>
            </w:pPr>
          </w:p>
        </w:tc>
        <w:tc>
          <w:tcPr>
            <w:tcW w:w="5239" w:type="dxa"/>
          </w:tcPr>
          <w:p w:rsidR="000F3018" w:rsidRDefault="000F3018" w:rsidP="00DD6306">
            <w:pPr>
              <w:pStyle w:val="BodyRuller"/>
              <w:rPr>
                <w:rtl/>
              </w:rPr>
            </w:pPr>
            <w:r>
              <w:rPr>
                <w:rtl/>
              </w:rPr>
              <w:t>8. טטיאנה סלזנובה</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49047A" w:rsidP="00114E1C">
            <w:pPr>
              <w:pStyle w:val="BodyRuller"/>
              <w:jc w:val="both"/>
              <w:rPr>
                <w:sz w:val="24"/>
                <w:szCs w:val="24"/>
              </w:rPr>
            </w:pPr>
            <w:r>
              <w:rPr>
                <w:rFonts w:hint="cs"/>
                <w:sz w:val="24"/>
                <w:szCs w:val="24"/>
                <w:rtl/>
              </w:rPr>
              <w:t xml:space="preserve">דיון נוסף בפסק הדין של בית המשפט העליון (כב' השופטים י' עמית, ע' ברון וד' מינץ) בבג"ץ </w:t>
            </w:r>
            <w:r w:rsidR="00114E1C" w:rsidRPr="00114E1C">
              <w:rPr>
                <w:sz w:val="24"/>
                <w:szCs w:val="24"/>
                <w:rtl/>
              </w:rPr>
              <w:t>1775/19</w:t>
            </w:r>
            <w:r w:rsidR="00114E1C">
              <w:rPr>
                <w:rFonts w:hint="cs"/>
                <w:sz w:val="24"/>
                <w:szCs w:val="24"/>
                <w:rtl/>
              </w:rPr>
              <w:t xml:space="preserve"> </w:t>
            </w:r>
            <w:r>
              <w:rPr>
                <w:rFonts w:hint="cs"/>
                <w:sz w:val="24"/>
                <w:szCs w:val="24"/>
                <w:rtl/>
              </w:rPr>
              <w:t xml:space="preserve">מיום </w:t>
            </w:r>
            <w:r w:rsidR="00114E1C">
              <w:rPr>
                <w:rFonts w:hint="cs"/>
                <w:sz w:val="24"/>
                <w:szCs w:val="24"/>
                <w:rtl/>
              </w:rPr>
              <w:t>29.8.2021</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894501">
            <w:pPr>
              <w:pStyle w:val="BodyRuller"/>
              <w:rPr>
                <w:rtl/>
              </w:rPr>
            </w:pPr>
            <w:r>
              <w:rPr>
                <w:sz w:val="26"/>
                <w:szCs w:val="26"/>
                <w:rtl/>
              </w:rPr>
              <w:t>כ"ח באדר התשפ"ג</w:t>
            </w:r>
          </w:p>
        </w:tc>
        <w:tc>
          <w:tcPr>
            <w:tcW w:w="2694" w:type="dxa"/>
            <w:tcBorders>
              <w:top w:val="nil"/>
              <w:left w:val="nil"/>
              <w:bottom w:val="nil"/>
              <w:right w:val="nil"/>
            </w:tcBorders>
          </w:tcPr>
          <w:p w:rsidR="008C2F11" w:rsidRDefault="000F3018">
            <w:pPr>
              <w:pStyle w:val="BodyRuller"/>
              <w:rPr>
                <w:sz w:val="24"/>
                <w:szCs w:val="24"/>
                <w:rtl/>
              </w:rPr>
            </w:pPr>
            <w:r>
              <w:t>)</w:t>
            </w:r>
            <w:r w:rsidR="00200D6B">
              <w:t xml:space="preserve"> </w:t>
            </w:r>
            <w:r w:rsidR="002F13EB">
              <w:rPr>
                <w:rFonts w:hint="cs"/>
                <w:sz w:val="24"/>
                <w:szCs w:val="24"/>
                <w:rtl/>
              </w:rPr>
              <w:t>21.3.2023)</w:t>
            </w:r>
          </w:p>
        </w:tc>
      </w:tr>
    </w:tbl>
    <w:p w:rsidR="00916FF8" w:rsidRDefault="00916FF8">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5146"/>
      </w:tblGrid>
      <w:tr w:rsidR="00036227" w:rsidTr="001B7D92">
        <w:tc>
          <w:tcPr>
            <w:tcW w:w="3217" w:type="dxa"/>
            <w:tcBorders>
              <w:top w:val="nil"/>
              <w:left w:val="nil"/>
              <w:bottom w:val="nil"/>
              <w:right w:val="nil"/>
            </w:tcBorders>
          </w:tcPr>
          <w:p w:rsidR="00036227" w:rsidRDefault="000F3018">
            <w:pPr>
              <w:pStyle w:val="BodyRuller"/>
            </w:pPr>
            <w:r>
              <w:rPr>
                <w:rtl/>
              </w:rPr>
              <w:t>בשם המבקשים:</w:t>
            </w:r>
          </w:p>
        </w:tc>
        <w:tc>
          <w:tcPr>
            <w:tcW w:w="5146" w:type="dxa"/>
            <w:tcBorders>
              <w:top w:val="nil"/>
              <w:left w:val="nil"/>
              <w:bottom w:val="nil"/>
              <w:right w:val="nil"/>
            </w:tcBorders>
          </w:tcPr>
          <w:p w:rsidR="00036227" w:rsidRDefault="000F3018" w:rsidP="001B7D92">
            <w:pPr>
              <w:pStyle w:val="BodyRuller"/>
            </w:pPr>
            <w:r>
              <w:rPr>
                <w:rtl/>
              </w:rPr>
              <w:t xml:space="preserve">עו"ד </w:t>
            </w:r>
            <w:r w:rsidR="001B7D92" w:rsidRPr="001B7D92">
              <w:rPr>
                <w:rFonts w:hint="cs"/>
                <w:rtl/>
              </w:rPr>
              <w:t>יצחק ברט</w:t>
            </w:r>
          </w:p>
        </w:tc>
      </w:tr>
    </w:tbl>
    <w:p w:rsidR="00916FF8" w:rsidRDefault="00916FF8">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1"/>
        <w:gridCol w:w="5152"/>
      </w:tblGrid>
      <w:tr w:rsidR="00036227" w:rsidTr="001B7D92">
        <w:tc>
          <w:tcPr>
            <w:tcW w:w="3211" w:type="dxa"/>
            <w:tcBorders>
              <w:top w:val="nil"/>
              <w:left w:val="nil"/>
              <w:bottom w:val="nil"/>
              <w:right w:val="nil"/>
            </w:tcBorders>
          </w:tcPr>
          <w:p w:rsidR="00036227" w:rsidRDefault="000F3018">
            <w:pPr>
              <w:pStyle w:val="BodyRuller"/>
            </w:pPr>
            <w:r>
              <w:rPr>
                <w:rtl/>
              </w:rPr>
              <w:t>בשם המשיבים</w:t>
            </w:r>
            <w:r w:rsidR="001B7D92">
              <w:rPr>
                <w:rFonts w:hint="cs"/>
                <w:rtl/>
              </w:rPr>
              <w:t xml:space="preserve"> 6-1</w:t>
            </w:r>
            <w:r>
              <w:rPr>
                <w:rtl/>
              </w:rPr>
              <w:t>:</w:t>
            </w:r>
          </w:p>
        </w:tc>
        <w:tc>
          <w:tcPr>
            <w:tcW w:w="5152" w:type="dxa"/>
            <w:tcBorders>
              <w:top w:val="nil"/>
              <w:left w:val="nil"/>
              <w:bottom w:val="nil"/>
              <w:right w:val="nil"/>
            </w:tcBorders>
          </w:tcPr>
          <w:p w:rsidR="00036227" w:rsidRDefault="001B7D92">
            <w:pPr>
              <w:pStyle w:val="BodyRuller"/>
            </w:pPr>
            <w:r w:rsidRPr="001B7D92">
              <w:rPr>
                <w:rFonts w:hint="cs"/>
                <w:rtl/>
              </w:rPr>
              <w:t>עו"ד ניקול מאור; עו"ד נעמי קסל</w:t>
            </w:r>
          </w:p>
        </w:tc>
      </w:tr>
    </w:tbl>
    <w:p w:rsidR="00916FF8" w:rsidRDefault="00916FF8">
      <w:pPr>
        <w:tabs>
          <w:tab w:val="left" w:pos="2552"/>
        </w:tabs>
        <w:rPr>
          <w:rtl/>
        </w:rPr>
      </w:pPr>
    </w:p>
    <w:p w:rsidR="005A1589" w:rsidRDefault="005A1589">
      <w:pPr>
        <w:tabs>
          <w:tab w:val="left" w:pos="2552"/>
        </w:tabs>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5146"/>
      </w:tblGrid>
      <w:tr w:rsidR="00C35447" w:rsidTr="00033E85">
        <w:tc>
          <w:tcPr>
            <w:tcW w:w="3217" w:type="dxa"/>
            <w:tcBorders>
              <w:top w:val="nil"/>
              <w:left w:val="nil"/>
              <w:bottom w:val="nil"/>
              <w:right w:val="nil"/>
            </w:tcBorders>
          </w:tcPr>
          <w:p w:rsidR="00C35447" w:rsidRDefault="00C35447" w:rsidP="00C35447">
            <w:pPr>
              <w:pStyle w:val="BodyRuller"/>
            </w:pPr>
            <w:r>
              <w:rPr>
                <w:rtl/>
              </w:rPr>
              <w:t>בשם ה</w:t>
            </w:r>
            <w:r>
              <w:rPr>
                <w:rFonts w:hint="cs"/>
                <w:rtl/>
              </w:rPr>
              <w:t>משיבות 8-7</w:t>
            </w:r>
            <w:r>
              <w:rPr>
                <w:rtl/>
              </w:rPr>
              <w:t>:</w:t>
            </w:r>
          </w:p>
        </w:tc>
        <w:tc>
          <w:tcPr>
            <w:tcW w:w="5146" w:type="dxa"/>
            <w:tcBorders>
              <w:top w:val="nil"/>
              <w:left w:val="nil"/>
              <w:bottom w:val="nil"/>
              <w:right w:val="nil"/>
            </w:tcBorders>
          </w:tcPr>
          <w:p w:rsidR="00C35447" w:rsidRDefault="00C35447" w:rsidP="00033E85">
            <w:pPr>
              <w:pStyle w:val="BodyRuller"/>
            </w:pPr>
            <w:r>
              <w:rPr>
                <w:rtl/>
              </w:rPr>
              <w:t>עו"ד אלכסנדר</w:t>
            </w:r>
            <w:r w:rsidRPr="001B7D92">
              <w:rPr>
                <w:rFonts w:hint="cs"/>
                <w:rtl/>
              </w:rPr>
              <w:t xml:space="preserve"> </w:t>
            </w:r>
            <w:r>
              <w:rPr>
                <w:rtl/>
              </w:rPr>
              <w:t>זרנופולסקי</w:t>
            </w:r>
          </w:p>
        </w:tc>
      </w:tr>
    </w:tbl>
    <w:p w:rsidR="00C35447" w:rsidRDefault="00C35447">
      <w:pPr>
        <w:tabs>
          <w:tab w:val="left" w:pos="2552"/>
        </w:tabs>
        <w:rPr>
          <w:rtl/>
        </w:rPr>
      </w:pPr>
    </w:p>
    <w:p w:rsidR="001B299B" w:rsidRDefault="001B299B">
      <w:pPr>
        <w:overflowPunct/>
        <w:autoSpaceDE/>
        <w:autoSpaceDN/>
        <w:bidi w:val="0"/>
        <w:adjustRightInd/>
        <w:textAlignment w:val="auto"/>
        <w:rPr>
          <w:rtl/>
        </w:rPr>
      </w:pPr>
      <w:r>
        <w:rPr>
          <w:rtl/>
        </w:rPr>
        <w:br w:type="page"/>
      </w:r>
    </w:p>
    <w:tbl>
      <w:tblPr>
        <w:bidiVisual/>
        <w:tblW w:w="8363" w:type="dxa"/>
        <w:tblLook w:val="0000" w:firstRow="0" w:lastRow="0" w:firstColumn="0" w:lastColumn="0" w:noHBand="0" w:noVBand="0"/>
      </w:tblPr>
      <w:tblGrid>
        <w:gridCol w:w="8363"/>
      </w:tblGrid>
      <w:tr w:rsidR="00036227" w:rsidTr="001B299B">
        <w:tc>
          <w:tcPr>
            <w:tcW w:w="8363" w:type="dxa"/>
          </w:tcPr>
          <w:p w:rsidR="00916FF8" w:rsidRDefault="000F3018">
            <w:pPr>
              <w:pStyle w:val="DocumentHead"/>
            </w:pPr>
            <w:bookmarkStart w:id="2" w:name="secretary"/>
            <w:bookmarkStart w:id="3" w:name="BeginProtocol"/>
            <w:bookmarkEnd w:id="2"/>
            <w:bookmarkEnd w:id="3"/>
            <w:r>
              <w:rPr>
                <w:rtl/>
              </w:rPr>
              <w:lastRenderedPageBreak/>
              <w:t>פסק-דין</w:t>
            </w:r>
          </w:p>
        </w:tc>
      </w:tr>
    </w:tbl>
    <w:p w:rsidR="0065522F" w:rsidRDefault="0065522F">
      <w:pPr>
        <w:pStyle w:val="BODYVERDICT"/>
      </w:pPr>
    </w:p>
    <w:p w:rsidR="00E1330B" w:rsidRPr="00E33371" w:rsidRDefault="00A95E50" w:rsidP="00A95E50">
      <w:pPr>
        <w:pStyle w:val="BODYVERDICT"/>
        <w:rPr>
          <w:rFonts w:cs="Miriam"/>
          <w:sz w:val="24"/>
          <w:szCs w:val="24"/>
          <w:u w:val="single"/>
          <w:rtl/>
        </w:rPr>
      </w:pPr>
      <w:bookmarkStart w:id="4" w:name="Writer_Name"/>
      <w:bookmarkEnd w:id="4"/>
      <w:r>
        <w:rPr>
          <w:rFonts w:cs="Miriam"/>
          <w:sz w:val="24"/>
          <w:szCs w:val="24"/>
          <w:u w:val="single"/>
          <w:rtl/>
        </w:rPr>
        <w:t>ממלא מקום הנשיא ע' פוגלמן</w:t>
      </w:r>
      <w:r w:rsidRPr="00BD15E6">
        <w:rPr>
          <w:rFonts w:cs="Miriam"/>
          <w:sz w:val="24"/>
          <w:szCs w:val="24"/>
          <w:rtl/>
        </w:rPr>
        <w:t>:</w:t>
      </w:r>
    </w:p>
    <w:p w:rsidR="00E33371" w:rsidRPr="00784C6F" w:rsidRDefault="00E33371" w:rsidP="00E1330B">
      <w:pPr>
        <w:pStyle w:val="Ruller41"/>
        <w:rPr>
          <w:rFonts w:ascii="Century" w:hAnsi="Century" w:cs="Miriam"/>
          <w:b/>
          <w:spacing w:val="0"/>
          <w:szCs w:val="24"/>
        </w:rPr>
      </w:pPr>
    </w:p>
    <w:p w:rsidR="00E1330B" w:rsidRPr="00784C6F" w:rsidRDefault="00E1330B" w:rsidP="00E1330B">
      <w:pPr>
        <w:pStyle w:val="Ruller4"/>
        <w:numPr>
          <w:ilvl w:val="0"/>
          <w:numId w:val="0"/>
        </w:numPr>
        <w:rPr>
          <w:rtl/>
        </w:rPr>
      </w:pPr>
      <w:r w:rsidRPr="00784C6F">
        <w:rPr>
          <w:rtl/>
        </w:rPr>
        <w:tab/>
        <w:t xml:space="preserve">דיון נוסף בעקבות פסק דינו של בית משפט זה בבג"ץ 1775/19 </w:t>
      </w:r>
      <w:r w:rsidRPr="00784C6F">
        <w:rPr>
          <w:rFonts w:ascii="Century" w:hAnsi="Century" w:cs="Miriam"/>
          <w:b/>
          <w:spacing w:val="0"/>
          <w:sz w:val="22"/>
          <w:szCs w:val="24"/>
          <w:rtl/>
        </w:rPr>
        <w:t>מרינצ'בה נ' שר הפנים</w:t>
      </w:r>
      <w:r w:rsidRPr="00784C6F">
        <w:rPr>
          <w:rFonts w:ascii="Century" w:hAnsi="Century"/>
          <w:sz w:val="22"/>
          <w:rtl/>
        </w:rPr>
        <w:t xml:space="preserve"> מיום 29.8.2021 (השופטים </w:t>
      </w:r>
      <w:r w:rsidRPr="00784C6F">
        <w:rPr>
          <w:rFonts w:ascii="Century" w:hAnsi="Century" w:cs="Miriam"/>
          <w:b/>
          <w:spacing w:val="0"/>
          <w:sz w:val="22"/>
          <w:szCs w:val="24"/>
          <w:rtl/>
        </w:rPr>
        <w:t>י' עמית</w:t>
      </w:r>
      <w:r w:rsidRPr="00784C6F">
        <w:rPr>
          <w:rFonts w:ascii="Century" w:hAnsi="Century"/>
          <w:sz w:val="22"/>
          <w:rtl/>
        </w:rPr>
        <w:t xml:space="preserve">, </w:t>
      </w:r>
      <w:r w:rsidRPr="00784C6F">
        <w:rPr>
          <w:rFonts w:ascii="Century" w:hAnsi="Century" w:cs="Miriam"/>
          <w:b/>
          <w:spacing w:val="0"/>
          <w:sz w:val="22"/>
          <w:szCs w:val="24"/>
          <w:rtl/>
        </w:rPr>
        <w:t xml:space="preserve">ע' ברון </w:t>
      </w:r>
      <w:r w:rsidRPr="00784C6F">
        <w:rPr>
          <w:rFonts w:ascii="Century" w:hAnsi="Century"/>
          <w:sz w:val="22"/>
          <w:rtl/>
        </w:rPr>
        <w:t>ו</w:t>
      </w:r>
      <w:r w:rsidRPr="00784C6F">
        <w:rPr>
          <w:rFonts w:ascii="Century" w:hAnsi="Century" w:cs="Miriam"/>
          <w:b/>
          <w:spacing w:val="0"/>
          <w:sz w:val="22"/>
          <w:szCs w:val="24"/>
          <w:rtl/>
        </w:rPr>
        <w:t>ד' מינץ</w:t>
      </w:r>
      <w:r w:rsidRPr="00784C6F">
        <w:rPr>
          <w:rFonts w:ascii="Century" w:hAnsi="Century"/>
          <w:sz w:val="22"/>
          <w:rtl/>
        </w:rPr>
        <w:t>;</w:t>
      </w:r>
      <w:r w:rsidRPr="00784C6F">
        <w:rPr>
          <w:rtl/>
        </w:rPr>
        <w:t xml:space="preserve"> </w:t>
      </w:r>
      <w:r w:rsidRPr="00784C6F">
        <w:rPr>
          <w:rFonts w:ascii="Century" w:hAnsi="Century"/>
          <w:sz w:val="22"/>
          <w:rtl/>
        </w:rPr>
        <w:t xml:space="preserve">להלן: </w:t>
      </w:r>
      <w:r w:rsidRPr="00784C6F">
        <w:rPr>
          <w:rFonts w:ascii="Century" w:hAnsi="Century" w:cs="Miriam"/>
          <w:b/>
          <w:spacing w:val="0"/>
          <w:sz w:val="22"/>
          <w:szCs w:val="24"/>
          <w:rtl/>
        </w:rPr>
        <w:t>פסק הדין נושא הדיון הנוסף</w:t>
      </w:r>
      <w:r w:rsidRPr="00784C6F">
        <w:rPr>
          <w:rFonts w:ascii="Century" w:hAnsi="Century"/>
          <w:sz w:val="22"/>
          <w:rtl/>
        </w:rPr>
        <w:t>). במוקד הדיון השאלה האם אלמנ</w:t>
      </w:r>
      <w:r w:rsidRPr="00784C6F">
        <w:rPr>
          <w:rFonts w:ascii="Century" w:hAnsi="Century" w:hint="cs"/>
          <w:sz w:val="22"/>
          <w:rtl/>
        </w:rPr>
        <w:t>ה</w:t>
      </w:r>
      <w:r w:rsidRPr="00784C6F">
        <w:rPr>
          <w:rFonts w:ascii="Century" w:hAnsi="Century"/>
          <w:sz w:val="22"/>
          <w:rtl/>
        </w:rPr>
        <w:t xml:space="preserve"> של בנו או נכדו של יהודי זכאית למעמד </w:t>
      </w:r>
      <w:r w:rsidRPr="00784C6F">
        <w:rPr>
          <w:rFonts w:ascii="Century" w:hAnsi="Century" w:hint="cs"/>
          <w:sz w:val="22"/>
          <w:rtl/>
        </w:rPr>
        <w:t xml:space="preserve">עולה בישראל </w:t>
      </w:r>
      <w:r w:rsidRPr="00784C6F">
        <w:rPr>
          <w:rFonts w:ascii="Century" w:hAnsi="Century"/>
          <w:sz w:val="22"/>
          <w:rtl/>
        </w:rPr>
        <w:t xml:space="preserve">מכוח סעיף 4א(א) לחוק השבות, התש"י-1950 (להלן: </w:t>
      </w:r>
      <w:r w:rsidRPr="00784C6F">
        <w:rPr>
          <w:rFonts w:ascii="Century" w:hAnsi="Century" w:cs="Miriam"/>
          <w:b/>
          <w:spacing w:val="0"/>
          <w:sz w:val="22"/>
          <w:szCs w:val="24"/>
          <w:rtl/>
        </w:rPr>
        <w:t>חוק השבות</w:t>
      </w:r>
      <w:r w:rsidRPr="00784C6F">
        <w:rPr>
          <w:rFonts w:ascii="Century" w:hAnsi="Century"/>
          <w:sz w:val="22"/>
          <w:rtl/>
        </w:rPr>
        <w:t xml:space="preserve"> או </w:t>
      </w:r>
      <w:r w:rsidRPr="00784C6F">
        <w:rPr>
          <w:rFonts w:ascii="Century" w:hAnsi="Century" w:cs="Miriam"/>
          <w:b/>
          <w:spacing w:val="0"/>
          <w:sz w:val="22"/>
          <w:szCs w:val="24"/>
          <w:rtl/>
        </w:rPr>
        <w:t>החוק</w:t>
      </w:r>
      <w:r w:rsidRPr="00784C6F">
        <w:rPr>
          <w:rFonts w:ascii="Century" w:hAnsi="Century"/>
          <w:sz w:val="22"/>
          <w:rtl/>
        </w:rPr>
        <w:t>).</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1"/>
        <w:rPr>
          <w:rtl/>
        </w:rPr>
      </w:pPr>
      <w:r w:rsidRPr="00784C6F">
        <w:rPr>
          <w:rtl/>
        </w:rPr>
        <w:t>פתח דבר</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סעיף 4א(א) לחוק השבות מעגן את זכאותו של בן משפחתו של יהודי לעלות לישראל מכוח החוק, אף שקרוב המשפחה אינו יהודי לפי ההגדרה שקבועה בסעיף 4ב. בין בני המשפחה </w:t>
      </w:r>
      <w:r w:rsidRPr="00784C6F">
        <w:rPr>
          <w:rFonts w:hint="cs"/>
          <w:rtl/>
        </w:rPr>
        <w:t>ש</w:t>
      </w:r>
      <w:r w:rsidRPr="00784C6F">
        <w:rPr>
          <w:rtl/>
        </w:rPr>
        <w:t>בסעיף זה נ</w:t>
      </w:r>
      <w:r w:rsidRPr="00784C6F">
        <w:rPr>
          <w:rFonts w:hint="cs"/>
          <w:rtl/>
        </w:rPr>
        <w:t>מנות</w:t>
      </w:r>
      <w:r w:rsidRPr="00784C6F">
        <w:rPr>
          <w:rtl/>
        </w:rPr>
        <w:t xml:space="preserve"> גם בנות </w:t>
      </w:r>
      <w:r w:rsidRPr="00784C6F">
        <w:rPr>
          <w:rFonts w:hint="cs"/>
          <w:rtl/>
        </w:rPr>
        <w:t>ה</w:t>
      </w:r>
      <w:r w:rsidRPr="00784C6F">
        <w:rPr>
          <w:rtl/>
        </w:rPr>
        <w:t xml:space="preserve">זוג של ילד ושל נכד של יהודי. סעיף 4א(ב) לחוק ממשיך וקובע כי "אין נפקא מינה אם יהודי שמכוחו נתבעת זכות לפי סעיף קטן (א) עודו בחיים או לאו ואם עלה ארצה או לאו". השאלה שבמוקד ההליך שלפנינו היא האם יש לראות באלמנת בנו או נכדו של היהודי (להלן גם: </w:t>
      </w:r>
      <w:r w:rsidRPr="00784C6F">
        <w:rPr>
          <w:rFonts w:ascii="Century" w:hAnsi="Century" w:cs="Miriam"/>
          <w:b/>
          <w:spacing w:val="0"/>
          <w:sz w:val="22"/>
          <w:szCs w:val="24"/>
          <w:rtl/>
        </w:rPr>
        <w:t>אלמנת זכאי שבות</w:t>
      </w:r>
      <w:r w:rsidRPr="00784C6F">
        <w:rPr>
          <w:rtl/>
        </w:rPr>
        <w:t>) כ"בת זוג</w:t>
      </w:r>
      <w:r w:rsidRPr="00784C6F">
        <w:rPr>
          <w:rFonts w:hint="cs"/>
          <w:rtl/>
        </w:rPr>
        <w:t>ו</w:t>
      </w:r>
      <w:r w:rsidRPr="00784C6F">
        <w:rPr>
          <w:rtl/>
        </w:rPr>
        <w:t>" הבאה בגדרי סעיף 4א(א)</w:t>
      </w:r>
      <w:r w:rsidRPr="00784C6F">
        <w:rPr>
          <w:rFonts w:hint="cs"/>
          <w:rtl/>
        </w:rPr>
        <w:t>;</w:t>
      </w:r>
      <w:r w:rsidRPr="00784C6F">
        <w:rPr>
          <w:rtl/>
        </w:rPr>
        <w:t xml:space="preserve"> או שמא סעיף 4א(ב) יוצר הסדר שלילי לעניין זכאותה של אלמנת זכאי שבות, במובן זה שבשונה מפטירתו של היהודי, פטירתו של זכאי השבות מוציאה את האלמנה </w:t>
      </w:r>
      <w:r w:rsidRPr="00784C6F">
        <w:rPr>
          <w:rFonts w:hint="cs"/>
          <w:rtl/>
        </w:rPr>
        <w:t>מקרב הזכאים למעמד</w:t>
      </w:r>
      <w:r w:rsidRPr="00784C6F">
        <w:rPr>
          <w:rtl/>
        </w:rPr>
        <w:t xml:space="preserve"> לפי החוק.</w:t>
      </w:r>
    </w:p>
    <w:p w:rsidR="00E1330B" w:rsidRPr="00784C6F" w:rsidRDefault="00E1330B" w:rsidP="00E1330B">
      <w:pPr>
        <w:pStyle w:val="Ruller41"/>
        <w:rPr>
          <w:rtl/>
        </w:rPr>
      </w:pPr>
      <w:r w:rsidRPr="00784C6F">
        <w:rPr>
          <w:rtl/>
        </w:rPr>
        <w:tab/>
      </w:r>
    </w:p>
    <w:p w:rsidR="00E1330B" w:rsidRPr="00784C6F" w:rsidRDefault="00E1330B" w:rsidP="00E1330B">
      <w:pPr>
        <w:pStyle w:val="1"/>
        <w:rPr>
          <w:rtl/>
        </w:rPr>
      </w:pPr>
      <w:r w:rsidRPr="00784C6F">
        <w:rPr>
          <w:rtl/>
        </w:rPr>
        <w:t xml:space="preserve">רקע עובדתי </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המשיבה 1 והמשיבות 8-7 (להלן ביחד: </w:t>
      </w:r>
      <w:r w:rsidRPr="00784C6F">
        <w:rPr>
          <w:rFonts w:ascii="Century" w:hAnsi="Century" w:cs="Miriam"/>
          <w:b/>
          <w:spacing w:val="0"/>
          <w:sz w:val="22"/>
          <w:szCs w:val="24"/>
          <w:rtl/>
        </w:rPr>
        <w:t>המשיבות</w:t>
      </w:r>
      <w:r w:rsidRPr="00784C6F">
        <w:rPr>
          <w:rtl/>
        </w:rPr>
        <w:t xml:space="preserve">) הן אלמנות של בנים ליהודים, שבקשותיהן למעמד מכוח חוק השבות נדחו על ידי המבקשים (הם שרת הפנים ומנכ"ל רשות האוכלוסין וההגירה; להלן גם: </w:t>
      </w:r>
      <w:r w:rsidRPr="00784C6F">
        <w:rPr>
          <w:rFonts w:ascii="Century" w:hAnsi="Century" w:cs="Miriam"/>
          <w:b/>
          <w:spacing w:val="0"/>
          <w:sz w:val="22"/>
          <w:szCs w:val="24"/>
          <w:rtl/>
        </w:rPr>
        <w:t>המדינה</w:t>
      </w:r>
      <w:r w:rsidRPr="00784C6F">
        <w:rPr>
          <w:rtl/>
        </w:rPr>
        <w:t xml:space="preserve">).  </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0"/>
        </w:numPr>
      </w:pPr>
      <w:r w:rsidRPr="00784C6F">
        <w:rPr>
          <w:rtl/>
        </w:rPr>
        <w:tab/>
        <w:t xml:space="preserve">המשיבה 1 היא אזרחית אוקראינה ילידת שנת 1955. בשנת 1983 נישאה לבן לאב יהודי, ולבני הזוג נולדו 4 ילדים משותפים. כעולה מהעתירה, ילדי בני הזוג התחנכו במוסדות יהודיים באוקראינה. שלושה מתוך ארבעת ילדיהם עלו לישראל מתוקף היותם נכדים ליהודי, ואף שירתו בצבא (הם המשיבים 4-2). בת נוספת של בני הזוג נותרה באוקראינה, והיא אינה בקשר עם </w:t>
      </w:r>
      <w:r w:rsidRPr="00784C6F">
        <w:rPr>
          <w:rFonts w:hint="cs"/>
          <w:rtl/>
        </w:rPr>
        <w:t xml:space="preserve">יתר </w:t>
      </w:r>
      <w:r w:rsidRPr="00784C6F">
        <w:rPr>
          <w:rtl/>
        </w:rPr>
        <w:t xml:space="preserve">המשפחה. כנטען, בני הזוג שמרו על קשרי זוגיות עד למותו של הבעל, על אף שהתגרשו בשנת 1988 "באופן פורמלי" לשם שמירה על זכויותיו של הבעל בדירת אמו; בשנת 2013 נישאו בני הזוג </w:t>
      </w:r>
      <w:r w:rsidRPr="00784C6F">
        <w:rPr>
          <w:rFonts w:hint="cs"/>
          <w:rtl/>
        </w:rPr>
        <w:t>בשנית</w:t>
      </w:r>
      <w:r w:rsidRPr="00784C6F">
        <w:rPr>
          <w:rtl/>
        </w:rPr>
        <w:t xml:space="preserve"> ונותרו נשואים עד </w:t>
      </w:r>
      <w:r w:rsidRPr="00784C6F">
        <w:rPr>
          <w:rtl/>
        </w:rPr>
        <w:lastRenderedPageBreak/>
        <w:t>למותו של הבעל בשנת 2016. בשנת 2018 המשיבה 1 נכנסה לישראל באשרת תייר והגישה בקשה לקבלת מעמד עולה. ביום 18.12.2018 נדחתה בקשתה, תוך שצוין כי:</w:t>
      </w:r>
    </w:p>
    <w:p w:rsidR="00E1330B" w:rsidRPr="00784C6F" w:rsidRDefault="00E1330B" w:rsidP="00E1330B">
      <w:pPr>
        <w:pStyle w:val="Ruller4"/>
        <w:numPr>
          <w:ilvl w:val="0"/>
          <w:numId w:val="0"/>
        </w:numPr>
      </w:pPr>
    </w:p>
    <w:p w:rsidR="00E1330B" w:rsidRPr="00784C6F" w:rsidRDefault="00E1330B" w:rsidP="00E1330B">
      <w:pPr>
        <w:pStyle w:val="Ruller5"/>
      </w:pPr>
      <w:r w:rsidRPr="00784C6F">
        <w:rPr>
          <w:rtl/>
        </w:rPr>
        <w:t>"[...]</w:t>
      </w:r>
    </w:p>
    <w:p w:rsidR="00E1330B" w:rsidRPr="00784C6F" w:rsidRDefault="00E1330B" w:rsidP="00E1330B">
      <w:pPr>
        <w:pStyle w:val="Ruller5"/>
        <w:rPr>
          <w:rtl/>
        </w:rPr>
      </w:pPr>
      <w:r w:rsidRPr="00784C6F">
        <w:rPr>
          <w:rtl/>
        </w:rPr>
        <w:t xml:space="preserve">על פי חוק השבות, מעמד עולה ניתן לאלמן/ה ליהודי בלבד. </w:t>
      </w:r>
    </w:p>
    <w:p w:rsidR="00E1330B" w:rsidRPr="00784C6F" w:rsidRDefault="00E1330B" w:rsidP="00E1330B">
      <w:pPr>
        <w:pStyle w:val="Ruller5"/>
        <w:rPr>
          <w:rtl/>
        </w:rPr>
      </w:pPr>
      <w:r w:rsidRPr="00784C6F">
        <w:rPr>
          <w:rtl/>
        </w:rPr>
        <w:t xml:space="preserve">מאחר ובן זוגך המנוח היה בן לאב יהודי, אינך זכאית עליה מכוח חוק השבות. </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 xml:space="preserve">אי לכך הבקשה נדחית. </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 xml:space="preserve">[...]".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 xml:space="preserve">לצד זאת, הוצע לה להגיש בקשה להסדרת מעמדה מכוח נוהל רשות האוכלוסין וההגירה 5.2.0036 "נוהל מתן מעמד להורים לחייל/ים" (22.5.2022) (להלן: </w:t>
      </w:r>
      <w:r w:rsidRPr="00784C6F">
        <w:rPr>
          <w:rFonts w:ascii="Century" w:hAnsi="Century" w:cs="Miriam"/>
          <w:b/>
          <w:spacing w:val="0"/>
          <w:szCs w:val="24"/>
          <w:rtl/>
        </w:rPr>
        <w:t>נוהל הורה חייל</w:t>
      </w:r>
      <w:r w:rsidRPr="00784C6F">
        <w:rPr>
          <w:rtl/>
        </w:rPr>
        <w:t>). ערר שהגישה על החלטה זו נדחה ביום 5.2.2019, תוך שהובהר כי ההחלטה התקבלה בהתאם להנחיה בנושא מתן מעמד לאלמנות זכאי שבות. כנטען, הבקשה לקבל את ההנחיה האמורה נדחתה בטענה שמדובר ב"הנחיה פנימית שאין להפיץ ברבים" (סעיף 24 לכתב העתירה</w:t>
      </w:r>
      <w:r w:rsidRPr="00784C6F">
        <w:rPr>
          <w:rFonts w:hint="cs"/>
          <w:rtl/>
        </w:rPr>
        <w:t xml:space="preserve"> בבג"ץ</w:t>
      </w:r>
      <w:r w:rsidRPr="00784C6F">
        <w:rPr>
          <w:rtl/>
        </w:rPr>
        <w:t xml:space="preserve"> 1775/19).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המשיבה 7 היא אזרחית אוקראינה ילידת שנת 1968. בשנת 1988 נישאה לבנו של יהודי, גם הוא אזרח אוקראינה. לבני הזוג ילדה משותפת, ו</w:t>
      </w:r>
      <w:r w:rsidRPr="00784C6F">
        <w:rPr>
          <w:rFonts w:hint="cs"/>
          <w:rtl/>
        </w:rPr>
        <w:t xml:space="preserve">הם </w:t>
      </w:r>
      <w:r w:rsidRPr="00784C6F">
        <w:rPr>
          <w:rtl/>
        </w:rPr>
        <w:t>חיו יחד עד למותו של הבעל בשנת 2011. בשנת 2015 עלתה בתם של בני הזוג לישראל וקיבלה מעמד כנכדה ליהודי, ובשנת 2017 נולד לה בן – הוא נכדה של המשיבה 7. באותה שנה נכנסה המשיבה לישראל באשרת תייר, ובהמשך ביקשה לקבל מעמד מכוח חוק השבות כאלמנת בנו של יהודי. בחודש אפריל 2018 בקשתה סורבה. ערר פנימי שהוגש על החלטה זו נדחה בחודש אוקטובר 2018, בנימוק שאלמנת זכאי שבות אינה באה בגדרי החוק, בשונה מאלמנתו של יהודי. המשיבה 7 פנתה לממונה על חופש מידע ברשות האוכלוסין וההגירה בבקשה לקבל את הנוהל הרלוונטי</w:t>
      </w:r>
      <w:r w:rsidRPr="00784C6F">
        <w:rPr>
          <w:rFonts w:hint="cs"/>
          <w:rtl/>
        </w:rPr>
        <w:t xml:space="preserve"> בעניין אלמנות של בנים ליהודים</w:t>
      </w:r>
      <w:r w:rsidRPr="00784C6F">
        <w:rPr>
          <w:rtl/>
        </w:rPr>
        <w:t xml:space="preserve">, </w:t>
      </w:r>
      <w:r w:rsidRPr="00784C6F">
        <w:rPr>
          <w:rFonts w:hint="cs"/>
          <w:rtl/>
        </w:rPr>
        <w:t>אך</w:t>
      </w:r>
      <w:r w:rsidRPr="00784C6F">
        <w:rPr>
          <w:rtl/>
        </w:rPr>
        <w:t xml:space="preserve"> נמסר לה כי לא קיים נוהל אשר מסדיר את הנושא, והיא הופנתה לפסק הדין </w:t>
      </w:r>
      <w:r w:rsidRPr="00784C6F">
        <w:rPr>
          <w:rFonts w:hint="cs"/>
          <w:rtl/>
        </w:rPr>
        <w:t>ב</w:t>
      </w:r>
      <w:r w:rsidRPr="00784C6F">
        <w:rPr>
          <w:rtl/>
        </w:rPr>
        <w:t xml:space="preserve">בג"ץ 848/16 </w:t>
      </w:r>
      <w:r w:rsidRPr="00784C6F">
        <w:rPr>
          <w:rFonts w:ascii="Century" w:hAnsi="Century" w:cs="Miriam"/>
          <w:b/>
          <w:spacing w:val="0"/>
          <w:szCs w:val="24"/>
          <w:rtl/>
        </w:rPr>
        <w:t>דידנקו נ' שר הפנים</w:t>
      </w:r>
      <w:r w:rsidRPr="00784C6F">
        <w:rPr>
          <w:rtl/>
        </w:rPr>
        <w:t xml:space="preserve"> (1.6.2017) (להלן: עניין </w:t>
      </w:r>
      <w:r w:rsidRPr="00784C6F">
        <w:rPr>
          <w:rFonts w:ascii="Century" w:hAnsi="Century" w:cs="Miriam"/>
          <w:b/>
          <w:spacing w:val="0"/>
          <w:szCs w:val="24"/>
          <w:rtl/>
        </w:rPr>
        <w:t>דידנקו</w:t>
      </w:r>
      <w:r w:rsidRPr="00784C6F">
        <w:rPr>
          <w:rtl/>
        </w:rPr>
        <w:t xml:space="preserve">), שבמסגרתו נמחקה בהסכמה עתירתה של אלמנת זכאי שבות.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 xml:space="preserve"> </w:t>
      </w:r>
      <w:r w:rsidRPr="00784C6F">
        <w:rPr>
          <w:rtl/>
        </w:rPr>
        <w:tab/>
        <w:t xml:space="preserve">המשיבה 8 היא אזרחית אוקראינה ילידת 1966. בשנת 1990 נישאה לבנו של יהודי, ולבני הזוג נולדה ילדה משותפת. בשנת 2005 נפטר בעלה, ובשנת 2016 בתם עלתה לישראל כנכדה ליהודי. בשנת 2018 נכנסה המשיבה לישראל באשרת תייר, והגישה מעמד לקבלת מעמד מכוח חוק השבות. בשנת 2019 נדחתה בקשתה, וערר פנימי </w:t>
      </w:r>
      <w:r w:rsidRPr="00784C6F">
        <w:rPr>
          <w:rtl/>
        </w:rPr>
        <w:lastRenderedPageBreak/>
        <w:t xml:space="preserve">שהוגש על החלטה זו נדחה. כעולה מהחומרים שלפניי, ביום 19.9.2019 (לאחר שהוגשה העתירה בעניינה אך בטרם ניתן פסק </w:t>
      </w:r>
      <w:r w:rsidRPr="00784C6F">
        <w:rPr>
          <w:rFonts w:hint="cs"/>
          <w:rtl/>
        </w:rPr>
        <w:t>ה</w:t>
      </w:r>
      <w:r w:rsidRPr="00784C6F">
        <w:rPr>
          <w:rtl/>
        </w:rPr>
        <w:t xml:space="preserve">דין) יצאה המשיבה מישראל ולא שבה, וזאת על מנת לקבל טיפולים רפואיים באוקראינה, הואיל שלא הייתה זכאית למימון הטיפולים הרפואיים בישראל.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לשלמות התמונה יוער כי</w:t>
      </w:r>
      <w:r w:rsidRPr="00784C6F">
        <w:rPr>
          <w:rFonts w:hint="cs"/>
          <w:rtl/>
        </w:rPr>
        <w:t xml:space="preserve"> ארגון </w:t>
      </w:r>
      <w:r w:rsidRPr="00784C6F">
        <w:rPr>
          <w:rtl/>
        </w:rPr>
        <w:t xml:space="preserve">"נתיב", הפועל מטעם המדינה בקרב יהודים ובני משפחותיהם במדינות ברית המועצות לשעבר, אישר </w:t>
      </w:r>
      <w:r w:rsidRPr="00784C6F">
        <w:rPr>
          <w:rFonts w:hint="cs"/>
          <w:rtl/>
        </w:rPr>
        <w:t xml:space="preserve">בעבר </w:t>
      </w:r>
      <w:r w:rsidRPr="00784C6F">
        <w:rPr>
          <w:rtl/>
        </w:rPr>
        <w:t xml:space="preserve">בקשות </w:t>
      </w:r>
      <w:r w:rsidRPr="00784C6F">
        <w:rPr>
          <w:rFonts w:hint="cs"/>
          <w:rtl/>
        </w:rPr>
        <w:t>למעמד עולה שהוגשו מטעם</w:t>
      </w:r>
      <w:r w:rsidRPr="00784C6F">
        <w:rPr>
          <w:rtl/>
        </w:rPr>
        <w:t xml:space="preserve"> אלמנות של זכאי שבות (המדינה הוסיפה כי למיטב ידיעתה הסוכנות היהודית לא נהגה כך). בשנת 2016 גובשה המדיניות העדכנית של המדינה, שלפי</w:t>
      </w:r>
      <w:r w:rsidRPr="00784C6F">
        <w:rPr>
          <w:rFonts w:hint="cs"/>
          <w:rtl/>
        </w:rPr>
        <w:t xml:space="preserve"> פרשנותה, </w:t>
      </w:r>
      <w:r w:rsidRPr="00784C6F">
        <w:rPr>
          <w:rtl/>
        </w:rPr>
        <w:t>אלמנת זכאי השבות אינה באה בגדרי חוק</w:t>
      </w:r>
      <w:r w:rsidRPr="00784C6F">
        <w:rPr>
          <w:rFonts w:hint="cs"/>
          <w:rtl/>
        </w:rPr>
        <w:t xml:space="preserve"> השבות</w:t>
      </w:r>
      <w:r w:rsidRPr="00784C6F">
        <w:rPr>
          <w:rtl/>
        </w:rPr>
        <w:t xml:space="preserve">. </w:t>
      </w:r>
    </w:p>
    <w:p w:rsidR="00E1330B" w:rsidRPr="00784C6F" w:rsidRDefault="00E1330B" w:rsidP="00E1330B">
      <w:pPr>
        <w:pStyle w:val="Ruller41"/>
        <w:rPr>
          <w:rtl/>
        </w:rPr>
      </w:pPr>
    </w:p>
    <w:p w:rsidR="00E1330B" w:rsidRDefault="00E1330B" w:rsidP="00E1330B">
      <w:pPr>
        <w:pStyle w:val="Ruller4"/>
        <w:numPr>
          <w:ilvl w:val="0"/>
          <w:numId w:val="13"/>
        </w:numPr>
        <w:rPr>
          <w:rtl/>
        </w:rPr>
      </w:pPr>
      <w:r w:rsidRPr="00784C6F">
        <w:rPr>
          <w:rtl/>
        </w:rPr>
        <w:t>בעקבות החלטות אלו הוגשו שתי עתירות לבית משפט זה (בג"ץ 1775/19 שהוגש על ידי המשיבים 4-1, יחד עם שני ארגוני סיוע לעולים: המרכז לסיוע משפטי לעולים וגלובל עלייה</w:t>
      </w:r>
      <w:r w:rsidRPr="00784C6F">
        <w:rPr>
          <w:rFonts w:hint="cs"/>
          <w:rtl/>
        </w:rPr>
        <w:t>, הם המשיבים 6-5</w:t>
      </w:r>
      <w:r w:rsidRPr="00784C6F">
        <w:rPr>
          <w:rtl/>
        </w:rPr>
        <w:t xml:space="preserve">; ובג"ץ 2309/19 בעניינן של המשיבות 8-7). לאחר הגשת העתירות ועובר למתן פסק דין, </w:t>
      </w:r>
      <w:r w:rsidRPr="00784C6F">
        <w:rPr>
          <w:rFonts w:hint="cs"/>
          <w:rtl/>
        </w:rPr>
        <w:t xml:space="preserve">חידדה </w:t>
      </w:r>
      <w:r w:rsidRPr="00784C6F">
        <w:rPr>
          <w:rtl/>
        </w:rPr>
        <w:t>רשות האוכלוסין וההגירה את הנחיותיה בעניין מתן מעמד לאלמנ</w:t>
      </w:r>
      <w:r w:rsidRPr="00784C6F">
        <w:rPr>
          <w:rFonts w:hint="cs"/>
          <w:rtl/>
        </w:rPr>
        <w:t>ת</w:t>
      </w:r>
      <w:r w:rsidRPr="00784C6F">
        <w:rPr>
          <w:rtl/>
        </w:rPr>
        <w:t xml:space="preserve"> זכאי שבות. בהקשר זה הפנתה המדינה למסמך שכותרתו "תיקון – חידוד הנחייה בנושא מתן מעמד לאלמנות לזכאי שבות" מיום 28.10.2019, שנחתם על ידי מנהלת אגף אשרות וזרים ברשות האוכ</w:t>
      </w:r>
      <w:r w:rsidR="00825103">
        <w:rPr>
          <w:rtl/>
        </w:rPr>
        <w:t>לוסין וההגירה (</w:t>
      </w:r>
      <w:r w:rsidRPr="00784C6F">
        <w:rPr>
          <w:rtl/>
        </w:rPr>
        <w:t xml:space="preserve">להלן: </w:t>
      </w:r>
      <w:r w:rsidRPr="00784C6F">
        <w:rPr>
          <w:rFonts w:ascii="Century" w:hAnsi="Century" w:cs="Miriam"/>
          <w:b/>
          <w:spacing w:val="0"/>
          <w:sz w:val="22"/>
          <w:szCs w:val="24"/>
          <w:rtl/>
        </w:rPr>
        <w:t>הנחיית רשות האוכלוסין וההגירה</w:t>
      </w:r>
      <w:r w:rsidRPr="00784C6F">
        <w:rPr>
          <w:rFonts w:ascii="Century" w:hAnsi="Century"/>
          <w:sz w:val="22"/>
          <w:rtl/>
        </w:rPr>
        <w:t xml:space="preserve"> או </w:t>
      </w:r>
      <w:r w:rsidR="00825103">
        <w:rPr>
          <w:rFonts w:ascii="Century" w:hAnsi="Century" w:cs="Miriam"/>
          <w:b/>
          <w:spacing w:val="0"/>
          <w:sz w:val="22"/>
          <w:szCs w:val="24"/>
          <w:rtl/>
        </w:rPr>
        <w:t>ההנחיה</w:t>
      </w:r>
      <w:r w:rsidRPr="00784C6F">
        <w:rPr>
          <w:rtl/>
        </w:rPr>
        <w:t xml:space="preserve">; ההנחיה צורפה להשלמת </w:t>
      </w:r>
      <w:r w:rsidRPr="00784C6F">
        <w:rPr>
          <w:rFonts w:hint="cs"/>
          <w:rtl/>
        </w:rPr>
        <w:t>ה</w:t>
      </w:r>
      <w:r w:rsidRPr="00784C6F">
        <w:rPr>
          <w:rtl/>
        </w:rPr>
        <w:t>טיעון מטעם המדינה מיום 2.2.2023). לפי ההנחיה, אלמנת בנו של יהודי שיש לה ילדים משותפים עמו, ואשר לא היה לה בן זוג חדש</w:t>
      </w:r>
      <w:r w:rsidRPr="00784C6F">
        <w:rPr>
          <w:rFonts w:hint="cs"/>
          <w:rtl/>
        </w:rPr>
        <w:t xml:space="preserve"> מאז שנפטר</w:t>
      </w:r>
      <w:r w:rsidRPr="00784C6F">
        <w:rPr>
          <w:rtl/>
        </w:rPr>
        <w:t xml:space="preserve">, עשויה להיות זכאית למעמד </w:t>
      </w:r>
      <w:r w:rsidRPr="00784C6F">
        <w:rPr>
          <w:rFonts w:hint="cs"/>
          <w:rtl/>
        </w:rPr>
        <w:t xml:space="preserve">בישראל </w:t>
      </w:r>
      <w:r w:rsidRPr="00784C6F">
        <w:rPr>
          <w:rtl/>
        </w:rPr>
        <w:t xml:space="preserve">– בשים לב למצב הדברים </w:t>
      </w:r>
      <w:r w:rsidRPr="00784C6F">
        <w:rPr>
          <w:rFonts w:hint="cs"/>
          <w:rtl/>
        </w:rPr>
        <w:t>בעניין</w:t>
      </w:r>
      <w:r w:rsidRPr="00784C6F">
        <w:rPr>
          <w:rtl/>
        </w:rPr>
        <w:t xml:space="preserve"> ילדיהם המשותפים. ככל שכל הילדים המשותפים</w:t>
      </w:r>
      <w:r w:rsidRPr="00784C6F">
        <w:rPr>
          <w:rFonts w:hint="cs"/>
          <w:rtl/>
        </w:rPr>
        <w:t xml:space="preserve"> של בני הזוג</w:t>
      </w:r>
      <w:r w:rsidRPr="00784C6F">
        <w:rPr>
          <w:rtl/>
        </w:rPr>
        <w:t xml:space="preserve"> הם בעלי מעמד עולה ושוהים בישראל, ניתן לאשר לה רישיון מסוג א/5 שיוארך מעת לעת עד לתקופה של 5 שנים, ולאחריהן ניתן לאשר לה מעמד של תושב קבע. לעומת זאת, מקום שבו חלק מ</w:t>
      </w:r>
      <w:r w:rsidRPr="00784C6F">
        <w:rPr>
          <w:rFonts w:hint="cs"/>
          <w:rtl/>
        </w:rPr>
        <w:t>ה</w:t>
      </w:r>
      <w:r w:rsidRPr="00784C6F">
        <w:rPr>
          <w:rtl/>
        </w:rPr>
        <w:t>ילדי</w:t>
      </w:r>
      <w:r w:rsidRPr="00784C6F">
        <w:rPr>
          <w:rFonts w:hint="cs"/>
          <w:rtl/>
        </w:rPr>
        <w:t>ם</w:t>
      </w:r>
      <w:r w:rsidRPr="00784C6F">
        <w:rPr>
          <w:rtl/>
        </w:rPr>
        <w:t xml:space="preserve"> שוהים בישראל וחלק מ</w:t>
      </w:r>
      <w:r w:rsidRPr="00784C6F">
        <w:rPr>
          <w:rFonts w:hint="cs"/>
          <w:rtl/>
        </w:rPr>
        <w:t>הילדים</w:t>
      </w:r>
      <w:r w:rsidRPr="00784C6F">
        <w:rPr>
          <w:rtl/>
        </w:rPr>
        <w:t xml:space="preserve"> שוהים מחוץ לישראל, ניתן לאשר לה רישיון מסוג ב/1 לתקופה של שנתיים ולאחר מכן רישיון מסוג א/5 שיוארך בכל שנה ועד לתקופה של 5 שנים. ביחס לשני המצבים האמורים הודגש כי יש לבחון בכל שלב </w:t>
      </w:r>
      <w:r w:rsidRPr="00784C6F">
        <w:rPr>
          <w:rFonts w:hint="cs"/>
          <w:rtl/>
        </w:rPr>
        <w:t>ה</w:t>
      </w:r>
      <w:r w:rsidRPr="00784C6F">
        <w:rPr>
          <w:rtl/>
        </w:rPr>
        <w:t xml:space="preserve">אם חל שינוי נסיבות, ובתוך כך האם ילדי האלמנה ממשיכים לשהות בישראל ואם מרכז חייה עודנו בישראל. אשר לאלמנתו של נכד ליהודי, נקבע כי ככלל היא אינה זכאית לרישיון שהייה בישראל או למעמד כלשהו; ככל שישנן נסיבות חריגות, תועבר הבקשה לבחינת מטה מינהל האוכלוסין.  </w:t>
      </w:r>
    </w:p>
    <w:p w:rsidR="002B7120" w:rsidRDefault="002B7120" w:rsidP="002B7120">
      <w:pPr>
        <w:pStyle w:val="Ruller41"/>
        <w:rPr>
          <w:rtl/>
        </w:rPr>
      </w:pPr>
    </w:p>
    <w:p w:rsidR="002B7120" w:rsidRPr="002B7120" w:rsidRDefault="002B7120" w:rsidP="002B7120">
      <w:pPr>
        <w:pStyle w:val="Ruller41"/>
        <w:rPr>
          <w:rtl/>
        </w:rPr>
      </w:pPr>
    </w:p>
    <w:p w:rsidR="00E1330B" w:rsidRPr="00784C6F" w:rsidRDefault="00E1330B" w:rsidP="00E1330B">
      <w:pPr>
        <w:pStyle w:val="Ruller41"/>
        <w:rPr>
          <w:rtl/>
        </w:rPr>
      </w:pPr>
    </w:p>
    <w:p w:rsidR="00E1330B" w:rsidRPr="00784C6F" w:rsidRDefault="00E1330B" w:rsidP="00E1330B">
      <w:pPr>
        <w:pStyle w:val="1"/>
        <w:rPr>
          <w:rtl/>
        </w:rPr>
      </w:pPr>
      <w:r w:rsidRPr="00784C6F">
        <w:rPr>
          <w:rtl/>
        </w:rPr>
        <w:lastRenderedPageBreak/>
        <w:t>פסק הדין נושא הדיון הנוסף</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ביום 29.8.2021 ניתן פסק דינו של בית משפט זה אשר קיבל את העתירות (השופטים </w:t>
      </w:r>
      <w:r w:rsidRPr="00784C6F">
        <w:rPr>
          <w:rFonts w:cs="Miriam"/>
          <w:b/>
          <w:spacing w:val="0"/>
          <w:szCs w:val="24"/>
          <w:rtl/>
        </w:rPr>
        <w:t xml:space="preserve">י' עמית </w:t>
      </w:r>
      <w:r w:rsidRPr="00784C6F">
        <w:rPr>
          <w:szCs w:val="24"/>
          <w:rtl/>
        </w:rPr>
        <w:t>ו</w:t>
      </w:r>
      <w:r w:rsidRPr="00784C6F">
        <w:rPr>
          <w:rFonts w:cs="Miriam"/>
          <w:b/>
          <w:spacing w:val="0"/>
          <w:szCs w:val="24"/>
          <w:rtl/>
        </w:rPr>
        <w:t>ע' ברון</w:t>
      </w:r>
      <w:r w:rsidRPr="00784C6F">
        <w:rPr>
          <w:rtl/>
        </w:rPr>
        <w:t>, נגד דעתו החולקת של</w:t>
      </w:r>
      <w:r w:rsidRPr="00784C6F">
        <w:rPr>
          <w:rFonts w:cs="Miriam"/>
          <w:b/>
          <w:spacing w:val="0"/>
          <w:rtl/>
        </w:rPr>
        <w:t xml:space="preserve"> </w:t>
      </w:r>
      <w:r w:rsidRPr="00784C6F">
        <w:rPr>
          <w:rtl/>
        </w:rPr>
        <w:t>השופט</w:t>
      </w:r>
      <w:r w:rsidRPr="00784C6F">
        <w:rPr>
          <w:rFonts w:cs="Miriam"/>
          <w:b/>
          <w:spacing w:val="0"/>
          <w:sz w:val="20"/>
          <w:szCs w:val="24"/>
          <w:rtl/>
        </w:rPr>
        <w:t xml:space="preserve"> ד' מינץ</w:t>
      </w:r>
      <w:r w:rsidRPr="00784C6F">
        <w:rPr>
          <w:rFonts w:cs="Miriam"/>
          <w:b/>
          <w:spacing w:val="0"/>
          <w:rtl/>
        </w:rPr>
        <w:t xml:space="preserve">). </w:t>
      </w:r>
      <w:r w:rsidRPr="00784C6F">
        <w:rPr>
          <w:rtl/>
        </w:rPr>
        <w:t xml:space="preserve">כאמור, במוקד העתירות עמדה שאלת פרשנותו של סעיף 4א(א) לחוק השבות. עמדת </w:t>
      </w:r>
      <w:r w:rsidRPr="00784C6F">
        <w:rPr>
          <w:rFonts w:hint="cs"/>
          <w:rtl/>
        </w:rPr>
        <w:t xml:space="preserve">המדינה </w:t>
      </w:r>
      <w:r w:rsidRPr="00784C6F">
        <w:rPr>
          <w:rtl/>
        </w:rPr>
        <w:t>הייתה כי פרשנות לשונית ותכליתית של החוק מלמדת כי אלמנות של זכאי שבות אינן</w:t>
      </w:r>
      <w:r w:rsidRPr="00784C6F">
        <w:rPr>
          <w:rFonts w:hint="cs"/>
          <w:rtl/>
        </w:rPr>
        <w:t xml:space="preserve"> באות בגדרו</w:t>
      </w:r>
      <w:r w:rsidRPr="00784C6F">
        <w:rPr>
          <w:rtl/>
        </w:rPr>
        <w:t>. זאת מאחר שסעיף 4א(ב) לחוק, אשר קובע כי אין נפקא מינא אם היהודי עודו בחיים, לא חל במצב הדברים שבו בן או נכד של יהודי נפטר</w:t>
      </w:r>
      <w:r w:rsidRPr="00784C6F">
        <w:rPr>
          <w:rFonts w:hint="cs"/>
          <w:rtl/>
        </w:rPr>
        <w:t>.</w:t>
      </w:r>
      <w:r w:rsidRPr="00784C6F">
        <w:rPr>
          <w:rtl/>
        </w:rPr>
        <w:t xml:space="preserve"> לעומת זאת, לעמדת המשיבים, לא ניתן ללמוד מלשון החוק על כוונה להבחין בין אלמנה של יהודי לבין אלמנה של זכאי שבות</w:t>
      </w:r>
      <w:r w:rsidRPr="00784C6F">
        <w:rPr>
          <w:rFonts w:hint="cs"/>
          <w:rtl/>
        </w:rPr>
        <w:t>,</w:t>
      </w:r>
      <w:r w:rsidRPr="00784C6F">
        <w:rPr>
          <w:rtl/>
        </w:rPr>
        <w:t xml:space="preserve"> וכי תכליות החוק</w:t>
      </w:r>
      <w:r w:rsidRPr="00784C6F">
        <w:rPr>
          <w:rFonts w:hint="cs"/>
          <w:rtl/>
        </w:rPr>
        <w:t xml:space="preserve"> אף הן תומכות</w:t>
      </w:r>
      <w:r w:rsidRPr="00784C6F">
        <w:rPr>
          <w:rtl/>
        </w:rPr>
        <w:t xml:space="preserve"> </w:t>
      </w:r>
      <w:r w:rsidRPr="00784C6F">
        <w:rPr>
          <w:rFonts w:hint="cs"/>
          <w:rtl/>
        </w:rPr>
        <w:t>ב</w:t>
      </w:r>
      <w:r w:rsidRPr="00784C6F">
        <w:rPr>
          <w:rtl/>
        </w:rPr>
        <w:t xml:space="preserve">פרשנות </w:t>
      </w:r>
      <w:r w:rsidRPr="00784C6F">
        <w:rPr>
          <w:rFonts w:hint="cs"/>
          <w:rtl/>
        </w:rPr>
        <w:t xml:space="preserve">שלפיה אין מקום לאמץ הבחנה כאמור. </w:t>
      </w:r>
      <w:r w:rsidRPr="00784C6F">
        <w:rPr>
          <w:rtl/>
        </w:rPr>
        <w:t xml:space="preserve">  </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בפתח פסק דינו, קבע השופט </w:t>
      </w:r>
      <w:r w:rsidRPr="00784C6F">
        <w:rPr>
          <w:rFonts w:cs="Miriam"/>
          <w:b/>
          <w:spacing w:val="0"/>
          <w:szCs w:val="24"/>
          <w:rtl/>
        </w:rPr>
        <w:t>י' עמית</w:t>
      </w:r>
      <w:r w:rsidRPr="00784C6F">
        <w:rPr>
          <w:rtl/>
        </w:rPr>
        <w:t xml:space="preserve"> כי לשון הסעיף יכולה לשאת הן את פרשנות המדינה, הן את פרשנות המשיבים. משכך, פנה לבחון את תכלית החקיקה. אשר לתכלית הסובייקטיבית, צוין כי בחינת ההיסטוריה החקיקתית מעלה כי </w:t>
      </w:r>
      <w:r w:rsidRPr="00784C6F">
        <w:rPr>
          <w:rFonts w:hint="cs"/>
          <w:rtl/>
        </w:rPr>
        <w:t>ה</w:t>
      </w:r>
      <w:r w:rsidRPr="00784C6F">
        <w:rPr>
          <w:rtl/>
        </w:rPr>
        <w:t>מצב העיקרי שאותו ראה המחוקק ב</w:t>
      </w:r>
      <w:r w:rsidRPr="00784C6F">
        <w:rPr>
          <w:rFonts w:hint="cs"/>
          <w:rtl/>
        </w:rPr>
        <w:t xml:space="preserve">עת </w:t>
      </w:r>
      <w:r w:rsidRPr="00784C6F">
        <w:rPr>
          <w:rtl/>
        </w:rPr>
        <w:t>חקיקת סעיף 4א(ב) לחוק היה</w:t>
      </w:r>
      <w:r w:rsidRPr="00784C6F">
        <w:rPr>
          <w:rFonts w:hint="cs"/>
          <w:rtl/>
        </w:rPr>
        <w:t xml:space="preserve"> המצב שבו</w:t>
      </w:r>
      <w:r w:rsidRPr="00784C6F">
        <w:rPr>
          <w:rtl/>
        </w:rPr>
        <w:t xml:space="preserve"> היהודי</w:t>
      </w:r>
      <w:r w:rsidRPr="00784C6F">
        <w:rPr>
          <w:rFonts w:hint="cs"/>
          <w:rtl/>
        </w:rPr>
        <w:t xml:space="preserve"> הוא שנפטר</w:t>
      </w:r>
      <w:r w:rsidRPr="00784C6F">
        <w:rPr>
          <w:rtl/>
        </w:rPr>
        <w:t>, ו</w:t>
      </w:r>
      <w:r w:rsidRPr="00784C6F">
        <w:rPr>
          <w:rFonts w:hint="cs"/>
          <w:rtl/>
        </w:rPr>
        <w:t xml:space="preserve">את </w:t>
      </w:r>
      <w:r w:rsidRPr="00784C6F">
        <w:rPr>
          <w:rtl/>
        </w:rPr>
        <w:t>עליית</w:t>
      </w:r>
      <w:r w:rsidRPr="00784C6F">
        <w:rPr>
          <w:rFonts w:hint="cs"/>
          <w:rtl/>
        </w:rPr>
        <w:t>ם של</w:t>
      </w:r>
      <w:r w:rsidRPr="00784C6F">
        <w:rPr>
          <w:rtl/>
        </w:rPr>
        <w:t xml:space="preserve"> שני דורות של צאצאי</w:t>
      </w:r>
      <w:r w:rsidRPr="00784C6F">
        <w:rPr>
          <w:rFonts w:hint="cs"/>
          <w:rtl/>
        </w:rPr>
        <w:t>ו</w:t>
      </w:r>
      <w:r w:rsidRPr="00784C6F">
        <w:rPr>
          <w:rtl/>
        </w:rPr>
        <w:t xml:space="preserve"> ארצה. לצד זאת, צוין כי ה</w:t>
      </w:r>
      <w:r w:rsidRPr="00784C6F">
        <w:rPr>
          <w:rFonts w:hint="cs"/>
          <w:rtl/>
        </w:rPr>
        <w:t>ה</w:t>
      </w:r>
      <w:r w:rsidRPr="00784C6F">
        <w:rPr>
          <w:rtl/>
        </w:rPr>
        <w:t xml:space="preserve">תבטאויות </w:t>
      </w:r>
      <w:r w:rsidRPr="00784C6F">
        <w:rPr>
          <w:rFonts w:hint="cs"/>
          <w:rtl/>
        </w:rPr>
        <w:t>ב</w:t>
      </w:r>
      <w:r w:rsidRPr="00784C6F">
        <w:rPr>
          <w:rtl/>
        </w:rPr>
        <w:t xml:space="preserve">הליך החקיקה מלמדות על כוונה להקנות לבני משפחתו של היהודי זכות שבות שאינה תלויה בנוכחותו הפיזית של היהודי, בשל קרבתם שלהם לעם היהודי; וכי </w:t>
      </w:r>
      <w:r w:rsidRPr="00784C6F">
        <w:rPr>
          <w:rFonts w:hint="cs"/>
          <w:rtl/>
        </w:rPr>
        <w:t>אמירותיהם של חלק מהמשתתפים מלמדות על כך ש</w:t>
      </w:r>
      <w:r w:rsidRPr="00784C6F">
        <w:rPr>
          <w:rtl/>
        </w:rPr>
        <w:t>האפשרות שאלמנת זכאי השבות תעלה לישראל לאחר פטירתו של היהודי ושל זכאי השבות עמדה לנגד עיני המחוקק, ושאיפתו הייתה כי החוק יחול אף בנסיבות אלה. לאחר מכן, עמד השופט</w:t>
      </w:r>
      <w:r w:rsidRPr="00784C6F">
        <w:rPr>
          <w:rFonts w:cs="Miriam"/>
          <w:b/>
          <w:spacing w:val="0"/>
          <w:szCs w:val="24"/>
          <w:rtl/>
        </w:rPr>
        <w:t xml:space="preserve"> עמית</w:t>
      </w:r>
      <w:r w:rsidRPr="00784C6F">
        <w:rPr>
          <w:rtl/>
        </w:rPr>
        <w:t xml:space="preserve"> על</w:t>
      </w:r>
      <w:r w:rsidRPr="00784C6F">
        <w:rPr>
          <w:rFonts w:hint="cs"/>
          <w:rtl/>
        </w:rPr>
        <w:t xml:space="preserve"> השוני בין</w:t>
      </w:r>
      <w:r w:rsidRPr="00784C6F">
        <w:rPr>
          <w:rtl/>
        </w:rPr>
        <w:t xml:space="preserve"> זכותו של בן זוג לפי סעיף 4א(א), </w:t>
      </w:r>
      <w:r w:rsidRPr="00784C6F">
        <w:rPr>
          <w:rFonts w:hint="cs"/>
          <w:rtl/>
        </w:rPr>
        <w:t>לבין</w:t>
      </w:r>
      <w:r w:rsidRPr="00784C6F">
        <w:rPr>
          <w:rtl/>
        </w:rPr>
        <w:t xml:space="preserve"> זכותו של צאצא. צוין כי זכות שניתנת לצאצא נגזרת מזכות אבות, </w:t>
      </w:r>
      <w:r w:rsidRPr="00784C6F">
        <w:rPr>
          <w:rFonts w:hint="cs"/>
          <w:rtl/>
        </w:rPr>
        <w:t>בעוד ש</w:t>
      </w:r>
      <w:r w:rsidRPr="00784C6F">
        <w:rPr>
          <w:rtl/>
        </w:rPr>
        <w:t>זכות בן הזוג</w:t>
      </w:r>
      <w:r w:rsidRPr="00784C6F">
        <w:rPr>
          <w:rFonts w:hint="cs"/>
          <w:rtl/>
        </w:rPr>
        <w:t xml:space="preserve"> מקורה</w:t>
      </w:r>
      <w:r w:rsidRPr="00784C6F">
        <w:rPr>
          <w:rtl/>
        </w:rPr>
        <w:t xml:space="preserve"> </w:t>
      </w:r>
      <w:r w:rsidRPr="00784C6F">
        <w:rPr>
          <w:rFonts w:hint="cs"/>
          <w:rtl/>
        </w:rPr>
        <w:t>בקרבת</w:t>
      </w:r>
      <w:r w:rsidRPr="00784C6F">
        <w:rPr>
          <w:rtl/>
        </w:rPr>
        <w:t xml:space="preserve"> חיתון. בנוסף, לעמדתו, ככל שמתרחקים מ"מעגלי קרבה" ליהודי, כך נחלשת זיקתם של בני משפחתו אליו ולעם היהודי בכלל. </w:t>
      </w:r>
      <w:r w:rsidRPr="00784C6F">
        <w:rPr>
          <w:rFonts w:hint="cs"/>
          <w:rtl/>
        </w:rPr>
        <w:t>כמו כן</w:t>
      </w:r>
      <w:r w:rsidRPr="00784C6F">
        <w:rPr>
          <w:rtl/>
        </w:rPr>
        <w:t xml:space="preserve">, קשר הזוגיות הוא בר ניתוק ואינו מתגבש באופן אוטומטי. נוכח דברים </w:t>
      </w:r>
      <w:r w:rsidRPr="00784C6F">
        <w:rPr>
          <w:rFonts w:hint="cs"/>
          <w:rtl/>
        </w:rPr>
        <w:t>אלה</w:t>
      </w:r>
      <w:r w:rsidRPr="00784C6F">
        <w:rPr>
          <w:rtl/>
        </w:rPr>
        <w:t xml:space="preserve">, </w:t>
      </w:r>
      <w:r w:rsidRPr="00784C6F">
        <w:rPr>
          <w:rFonts w:ascii="Century" w:hAnsi="Century" w:hint="eastAsia"/>
          <w:sz w:val="22"/>
          <w:rtl/>
        </w:rPr>
        <w:t>השופט</w:t>
      </w:r>
      <w:r w:rsidRPr="00784C6F">
        <w:rPr>
          <w:rFonts w:ascii="Century" w:hAnsi="Century" w:cs="Miriam"/>
          <w:b/>
          <w:spacing w:val="0"/>
          <w:sz w:val="22"/>
          <w:szCs w:val="24"/>
          <w:rtl/>
        </w:rPr>
        <w:t xml:space="preserve"> עמית</w:t>
      </w:r>
      <w:r w:rsidRPr="00784C6F">
        <w:rPr>
          <w:rtl/>
        </w:rPr>
        <w:t xml:space="preserve"> היה </w:t>
      </w:r>
      <w:r w:rsidRPr="00784C6F">
        <w:rPr>
          <w:rFonts w:hint="cs"/>
          <w:rtl/>
        </w:rPr>
        <w:t xml:space="preserve">אמנם </w:t>
      </w:r>
      <w:r w:rsidRPr="00784C6F">
        <w:rPr>
          <w:rtl/>
        </w:rPr>
        <w:t xml:space="preserve">נכון להניח כי זכותו של צאצא של יהודי חזקה יותר מזכותו של בן זוג, ואולם לשיטתו אין בכך לשלול את הפרשנות שלפיה אלמנת זכאי שבות זכאית למעמד מכוח החוק. זאת מאחר שהחוק מניח שאלמנתו של היהודי קשורה למשפחת היהודי ולעם היהודי, ואין לשלול באופן גורף קשר זה </w:t>
      </w:r>
      <w:r w:rsidRPr="00784C6F">
        <w:rPr>
          <w:rFonts w:hint="cs"/>
          <w:rtl/>
        </w:rPr>
        <w:t xml:space="preserve">גם </w:t>
      </w:r>
      <w:r w:rsidRPr="00784C6F">
        <w:rPr>
          <w:rtl/>
        </w:rPr>
        <w:t xml:space="preserve">כאשר מדובר באלמנת זכאי השבות. </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rPr>
          <w:rtl/>
        </w:rPr>
      </w:pPr>
      <w:r w:rsidRPr="00784C6F">
        <w:rPr>
          <w:rtl/>
        </w:rPr>
        <w:t xml:space="preserve">השופט </w:t>
      </w:r>
      <w:r w:rsidRPr="00784C6F">
        <w:rPr>
          <w:rFonts w:ascii="Century" w:hAnsi="Century" w:cs="Miriam"/>
          <w:b/>
          <w:spacing w:val="0"/>
          <w:sz w:val="22"/>
          <w:szCs w:val="24"/>
          <w:rtl/>
        </w:rPr>
        <w:t>עמית</w:t>
      </w:r>
      <w:r w:rsidRPr="00784C6F">
        <w:rPr>
          <w:rtl/>
        </w:rPr>
        <w:t xml:space="preserve"> הוסיף וקבע שפרשנות שלפיה אלמנת זכאי השבות באה בגדרי החוק תגשים חלק מתכליותיו של סעיף 4א(א), ובהן הענקת מעמד לבני משפחתו של היהודי בשל קרבתם לעם היהודי; מתן אפשרות לאלמנה להצטרף לעם היהודי כהגדרתו ההלכתית ולהפוך לחלק ממנו; מתן מענה למתח הקיים בין ההגדרה ההלכתית </w:t>
      </w:r>
      <w:r w:rsidRPr="00784C6F">
        <w:rPr>
          <w:rFonts w:hint="cs"/>
          <w:rtl/>
        </w:rPr>
        <w:t xml:space="preserve">למונח </w:t>
      </w:r>
      <w:r w:rsidRPr="00784C6F">
        <w:rPr>
          <w:rtl/>
        </w:rPr>
        <w:lastRenderedPageBreak/>
        <w:t xml:space="preserve">יהודי </w:t>
      </w:r>
      <w:r w:rsidRPr="00784C6F">
        <w:rPr>
          <w:rFonts w:hint="cs"/>
          <w:rtl/>
        </w:rPr>
        <w:t>לבין ה</w:t>
      </w:r>
      <w:r w:rsidRPr="00784C6F">
        <w:rPr>
          <w:rtl/>
        </w:rPr>
        <w:t>הגדרה הלאומית; וכן הגשמת הזכות לחיי משפחה והשוואת מעמדה של האלמנה למעמד של ילדיה, אף ש</w:t>
      </w:r>
      <w:r w:rsidRPr="00784C6F">
        <w:rPr>
          <w:rFonts w:hint="cs"/>
          <w:rtl/>
        </w:rPr>
        <w:t xml:space="preserve">צוין כי </w:t>
      </w:r>
      <w:r w:rsidRPr="00784C6F">
        <w:rPr>
          <w:rtl/>
        </w:rPr>
        <w:t xml:space="preserve">לא זו המשפחה המעורבת שאליה מכוונת מטרתו העיקרית של החוק. לצד זאת, לעמדתו של השופט </w:t>
      </w:r>
      <w:r w:rsidRPr="00784C6F">
        <w:rPr>
          <w:rFonts w:ascii="Century" w:hAnsi="Century" w:cs="Miriam"/>
          <w:b/>
          <w:spacing w:val="0"/>
          <w:sz w:val="22"/>
          <w:szCs w:val="24"/>
          <w:rtl/>
        </w:rPr>
        <w:t>עמית</w:t>
      </w:r>
      <w:r w:rsidRPr="00784C6F">
        <w:rPr>
          <w:rtl/>
        </w:rPr>
        <w:t xml:space="preserve">, הענקת מעמד לאלמנת זכאי השבות מתרחקת מגרעינו הקשה של חוק השבות ומתכליתו הבסיסית – </w:t>
      </w:r>
      <w:r w:rsidRPr="00784C6F">
        <w:rPr>
          <w:rFonts w:hint="cs"/>
          <w:rtl/>
        </w:rPr>
        <w:t xml:space="preserve">עידוד </w:t>
      </w:r>
      <w:r w:rsidRPr="00784C6F">
        <w:rPr>
          <w:rtl/>
        </w:rPr>
        <w:t xml:space="preserve">עלייתם של יהודים ארצה. חרף זאת צוין כי סעיף 4א(ב) קובע כי בני המשפחה הלא יהודיים זכאים לעלות לישראל גם אם הם לא נלווים ליהודי, </w:t>
      </w:r>
      <w:r w:rsidRPr="00784C6F">
        <w:rPr>
          <w:rFonts w:hint="cs"/>
          <w:rtl/>
        </w:rPr>
        <w:t>בנסיבות</w:t>
      </w:r>
      <w:r w:rsidRPr="00784C6F">
        <w:rPr>
          <w:rtl/>
        </w:rPr>
        <w:t xml:space="preserve"> </w:t>
      </w:r>
      <w:r w:rsidRPr="00784C6F">
        <w:rPr>
          <w:rFonts w:hint="cs"/>
          <w:rtl/>
        </w:rPr>
        <w:t>ש</w:t>
      </w:r>
      <w:r w:rsidR="005D137A">
        <w:rPr>
          <w:rFonts w:hint="cs"/>
          <w:rtl/>
        </w:rPr>
        <w:t xml:space="preserve">בהן </w:t>
      </w:r>
      <w:r w:rsidRPr="00784C6F">
        <w:rPr>
          <w:rtl/>
        </w:rPr>
        <w:t xml:space="preserve">מימוש זכותם לא יוביל לעליית יהודים לישראל. בהמשך, הוסיף השופט </w:t>
      </w:r>
      <w:r w:rsidRPr="00784C6F">
        <w:rPr>
          <w:rFonts w:ascii="Century" w:hAnsi="Century" w:cs="Miriam"/>
          <w:b/>
          <w:spacing w:val="0"/>
          <w:szCs w:val="24"/>
          <w:rtl/>
        </w:rPr>
        <w:t>עמית</w:t>
      </w:r>
      <w:r w:rsidRPr="00784C6F">
        <w:rPr>
          <w:rtl/>
        </w:rPr>
        <w:t xml:space="preserve"> והתייחס לשיקולים נוספים שיש בהם להשליך על הפרשנות הראויה בנסיבות העניין. בין היתר, צוין כי עד לשנת 2016 אישרו חלק מהגורמים הפועלים מטעם המדינה בקשות של אלמנות של זכאי שבות, </w:t>
      </w:r>
      <w:r w:rsidRPr="00784C6F">
        <w:rPr>
          <w:rFonts w:hint="cs"/>
          <w:rtl/>
        </w:rPr>
        <w:t>כמפורט לעיל</w:t>
      </w:r>
      <w:r w:rsidRPr="00784C6F">
        <w:rPr>
          <w:rtl/>
        </w:rPr>
        <w:t xml:space="preserve">. השופט </w:t>
      </w:r>
      <w:r w:rsidRPr="00784C6F">
        <w:rPr>
          <w:rFonts w:ascii="Century" w:hAnsi="Century" w:cs="Miriam"/>
          <w:b/>
          <w:spacing w:val="0"/>
          <w:szCs w:val="24"/>
          <w:rtl/>
        </w:rPr>
        <w:t xml:space="preserve">עמית </w:t>
      </w:r>
      <w:r w:rsidRPr="00784C6F">
        <w:rPr>
          <w:rtl/>
        </w:rPr>
        <w:t xml:space="preserve">סבר כי אמנם רשות מינהלית רשאית לשנות את האופן שבו היא מפרשת את סמכותה בהתקיים טעם ענייני, אך </w:t>
      </w:r>
      <w:r w:rsidRPr="00784C6F">
        <w:rPr>
          <w:rFonts w:hint="cs"/>
          <w:rtl/>
        </w:rPr>
        <w:t>מצא כי יש ב</w:t>
      </w:r>
      <w:r w:rsidRPr="00784C6F">
        <w:rPr>
          <w:rtl/>
        </w:rPr>
        <w:t xml:space="preserve">צירוף הנסיבות במקרה דנן להפחית מהמשקל שיש ליתן לעמדתה הפרשנית של המדינה "שמא אף להפך" (שם, פסקה 54), וכי לכך יש להוסיף </w:t>
      </w:r>
      <w:r w:rsidRPr="00784C6F">
        <w:rPr>
          <w:rFonts w:hint="cs"/>
          <w:rtl/>
        </w:rPr>
        <w:t>את העובדה ש</w:t>
      </w:r>
      <w:r w:rsidRPr="00784C6F">
        <w:rPr>
          <w:rtl/>
        </w:rPr>
        <w:t xml:space="preserve">המדינה נמנעה מלפרסם את מדיניותה העדכנית. כמו כן, קבע השופט </w:t>
      </w:r>
      <w:r w:rsidRPr="00784C6F">
        <w:rPr>
          <w:rFonts w:ascii="Century" w:hAnsi="Century" w:cs="Miriam"/>
          <w:b/>
          <w:spacing w:val="0"/>
          <w:szCs w:val="24"/>
          <w:rtl/>
        </w:rPr>
        <w:t>עמית</w:t>
      </w:r>
      <w:r w:rsidRPr="00784C6F">
        <w:rPr>
          <w:rtl/>
        </w:rPr>
        <w:t xml:space="preserve"> כי א</w:t>
      </w:r>
      <w:r w:rsidRPr="00784C6F">
        <w:rPr>
          <w:rFonts w:hint="cs"/>
          <w:rtl/>
        </w:rPr>
        <w:t>ף</w:t>
      </w:r>
      <w:r w:rsidRPr="00784C6F">
        <w:rPr>
          <w:rtl/>
        </w:rPr>
        <w:t xml:space="preserve"> שהנחיית רשות האוכלוסין</w:t>
      </w:r>
      <w:r w:rsidRPr="00784C6F">
        <w:rPr>
          <w:rFonts w:hint="cs"/>
          <w:rtl/>
        </w:rPr>
        <w:t xml:space="preserve"> וההגירה</w:t>
      </w:r>
      <w:r w:rsidRPr="00784C6F">
        <w:rPr>
          <w:rtl/>
        </w:rPr>
        <w:t xml:space="preserve"> נותנת מענה מסוים לחלק מהמקרים</w:t>
      </w:r>
      <w:r w:rsidRPr="00784C6F">
        <w:rPr>
          <w:rFonts w:hint="cs"/>
          <w:rtl/>
        </w:rPr>
        <w:t xml:space="preserve"> שבהן עסקינן, אין בכך</w:t>
      </w:r>
      <w:r w:rsidRPr="00784C6F">
        <w:rPr>
          <w:rtl/>
        </w:rPr>
        <w:t xml:space="preserve"> ל</w:t>
      </w:r>
      <w:r w:rsidRPr="00784C6F">
        <w:rPr>
          <w:rFonts w:hint="cs"/>
          <w:rtl/>
        </w:rPr>
        <w:t>הכריע</w:t>
      </w:r>
      <w:r w:rsidRPr="00784C6F">
        <w:rPr>
          <w:rtl/>
        </w:rPr>
        <w:t xml:space="preserve"> </w:t>
      </w:r>
      <w:r w:rsidRPr="00784C6F">
        <w:rPr>
          <w:rFonts w:hint="cs"/>
          <w:rtl/>
        </w:rPr>
        <w:t>ביחס</w:t>
      </w:r>
      <w:r w:rsidRPr="00784C6F">
        <w:rPr>
          <w:rtl/>
        </w:rPr>
        <w:t xml:space="preserve"> </w:t>
      </w:r>
      <w:r w:rsidRPr="00784C6F">
        <w:rPr>
          <w:rFonts w:hint="cs"/>
          <w:rtl/>
        </w:rPr>
        <w:t>ל</w:t>
      </w:r>
      <w:r w:rsidRPr="00784C6F">
        <w:rPr>
          <w:rtl/>
        </w:rPr>
        <w:t>פרשנות הראויה לחוק השבות.</w:t>
      </w:r>
    </w:p>
    <w:p w:rsidR="00E1330B" w:rsidRPr="00784C6F" w:rsidRDefault="00E1330B" w:rsidP="00E1330B">
      <w:pPr>
        <w:pStyle w:val="Ruller41"/>
        <w:rPr>
          <w:rtl/>
        </w:rPr>
      </w:pPr>
    </w:p>
    <w:p w:rsidR="00E1330B" w:rsidRPr="00784C6F" w:rsidRDefault="00E1330B" w:rsidP="00E1330B">
      <w:pPr>
        <w:pStyle w:val="Ruller4"/>
        <w:rPr>
          <w:rtl/>
        </w:rPr>
      </w:pPr>
      <w:r w:rsidRPr="00784C6F">
        <w:rPr>
          <w:rtl/>
        </w:rPr>
        <w:t xml:space="preserve">בשים לב לאמור, קבע לבסוף השופט </w:t>
      </w:r>
      <w:r w:rsidRPr="00784C6F">
        <w:rPr>
          <w:rFonts w:ascii="Century" w:hAnsi="Century" w:cs="Miriam"/>
          <w:b/>
          <w:spacing w:val="0"/>
          <w:sz w:val="22"/>
          <w:szCs w:val="24"/>
          <w:rtl/>
        </w:rPr>
        <w:t>עמית</w:t>
      </w:r>
      <w:r w:rsidRPr="00784C6F">
        <w:rPr>
          <w:rtl/>
        </w:rPr>
        <w:t xml:space="preserve"> כי אין לשלול באופן גורף את תחולת חוק השבות ביחס לאלמנת זכאי השבות. הו</w:t>
      </w:r>
      <w:r w:rsidRPr="00784C6F">
        <w:rPr>
          <w:rFonts w:hint="cs"/>
          <w:rtl/>
        </w:rPr>
        <w:t>דגש</w:t>
      </w:r>
      <w:r w:rsidRPr="00784C6F">
        <w:rPr>
          <w:rtl/>
        </w:rPr>
        <w:t xml:space="preserve"> כי אין משמעות הדבר </w:t>
      </w:r>
      <w:r w:rsidRPr="00784C6F">
        <w:rPr>
          <w:rFonts w:hint="cs"/>
          <w:rtl/>
        </w:rPr>
        <w:t>שזכאותה מתגבשת באופן אוטומטי</w:t>
      </w:r>
      <w:r w:rsidRPr="00784C6F">
        <w:rPr>
          <w:rtl/>
        </w:rPr>
        <w:t>,</w:t>
      </w:r>
      <w:r w:rsidRPr="00784C6F">
        <w:rPr>
          <w:rFonts w:hint="cs"/>
          <w:rtl/>
        </w:rPr>
        <w:t xml:space="preserve"> אלא שהשאלה האם יש לראות באלמנה כבת זוגו של זכאי השבות וכן האם מתן מעמד לאלמנה תקיים את תכליות החוק </w:t>
      </w:r>
      <w:r w:rsidRPr="00784C6F">
        <w:rPr>
          <w:rtl/>
        </w:rPr>
        <w:t>–</w:t>
      </w:r>
      <w:r w:rsidRPr="00784C6F">
        <w:rPr>
          <w:rFonts w:hint="cs"/>
          <w:rtl/>
        </w:rPr>
        <w:t xml:space="preserve"> תלויה בנסיבות המקרה. לעמדתו,</w:t>
      </w:r>
      <w:r w:rsidRPr="00784C6F">
        <w:rPr>
          <w:rtl/>
        </w:rPr>
        <w:t xml:space="preserve"> רק אלמנה המקיימת קשר גורל עם העם היהודי, וניתן לראות בה כבת זוגו של זכאי השבות, תבוא בגדרי החוק. השופט</w:t>
      </w:r>
      <w:r w:rsidRPr="00784C6F">
        <w:rPr>
          <w:rFonts w:ascii="Century" w:hAnsi="Century" w:cs="Miriam"/>
          <w:b/>
          <w:spacing w:val="0"/>
          <w:sz w:val="22"/>
          <w:szCs w:val="24"/>
          <w:rtl/>
        </w:rPr>
        <w:t xml:space="preserve"> עמית</w:t>
      </w:r>
      <w:r w:rsidRPr="00784C6F">
        <w:rPr>
          <w:rtl/>
        </w:rPr>
        <w:t xml:space="preserve"> הפנה לפסק הדין בבג"ץ 6247/04 </w:t>
      </w:r>
      <w:r w:rsidRPr="00784C6F">
        <w:rPr>
          <w:rFonts w:ascii="Century" w:hAnsi="Century" w:cs="Miriam"/>
          <w:b/>
          <w:spacing w:val="0"/>
          <w:sz w:val="22"/>
          <w:szCs w:val="24"/>
          <w:rtl/>
        </w:rPr>
        <w:t>גורודצקי נ' שר הפנים</w:t>
      </w:r>
      <w:r w:rsidRPr="00784C6F">
        <w:rPr>
          <w:rtl/>
        </w:rPr>
        <w:t xml:space="preserve"> (23.3.2010) (להלן: עניין </w:t>
      </w:r>
      <w:r w:rsidRPr="00784C6F">
        <w:rPr>
          <w:rFonts w:ascii="Century" w:hAnsi="Century" w:cs="Miriam"/>
          <w:b/>
          <w:spacing w:val="0"/>
          <w:sz w:val="22"/>
          <w:szCs w:val="24"/>
          <w:rtl/>
        </w:rPr>
        <w:t>גורודצקי</w:t>
      </w:r>
      <w:r w:rsidRPr="00784C6F">
        <w:rPr>
          <w:rtl/>
        </w:rPr>
        <w:t xml:space="preserve">), במסגרתו נקבע כי אלמנת היהודי לא תהיה זכאית </w:t>
      </w:r>
      <w:r w:rsidRPr="00784C6F">
        <w:rPr>
          <w:rFonts w:hint="cs"/>
          <w:rtl/>
        </w:rPr>
        <w:t xml:space="preserve">למעמד </w:t>
      </w:r>
      <w:r w:rsidRPr="00784C6F">
        <w:rPr>
          <w:rtl/>
        </w:rPr>
        <w:t>במקרה שנישאה מחדש, ו</w:t>
      </w:r>
      <w:r w:rsidRPr="00784C6F">
        <w:rPr>
          <w:rFonts w:hint="cs"/>
          <w:rtl/>
        </w:rPr>
        <w:t>קבע כי יש להחיל קביעה זו</w:t>
      </w:r>
      <w:r w:rsidRPr="00784C6F">
        <w:rPr>
          <w:rtl/>
        </w:rPr>
        <w:t xml:space="preserve"> גם </w:t>
      </w:r>
      <w:r w:rsidRPr="00784C6F">
        <w:rPr>
          <w:rFonts w:hint="cs"/>
          <w:rtl/>
        </w:rPr>
        <w:t>ב</w:t>
      </w:r>
      <w:r w:rsidRPr="00784C6F">
        <w:rPr>
          <w:rtl/>
        </w:rPr>
        <w:t>עניי</w:t>
      </w:r>
      <w:r w:rsidRPr="00784C6F">
        <w:rPr>
          <w:rFonts w:hint="cs"/>
          <w:rtl/>
        </w:rPr>
        <w:t>נה של</w:t>
      </w:r>
      <w:r w:rsidRPr="00784C6F">
        <w:rPr>
          <w:rtl/>
        </w:rPr>
        <w:t xml:space="preserve"> אלמנת זכאי השבות. בנוסף לכך, נקבע שניתן יהיה להתחשב בנסיבות נוספ</w:t>
      </w:r>
      <w:r w:rsidRPr="00784C6F">
        <w:rPr>
          <w:rFonts w:hint="cs"/>
          <w:rtl/>
        </w:rPr>
        <w:t>ו</w:t>
      </w:r>
      <w:r w:rsidRPr="00784C6F">
        <w:rPr>
          <w:rtl/>
        </w:rPr>
        <w:t>ת שיש בהן ללמד על הקשר בין בני הזוג ועל זיקת האלמנה ליהודי וליהדות, ובהן: תקופת הקשר הזוגי; משך הזמן שחלף בין פטירת זכאי השבות למועד העלייה; קיומם של ילדים משותפים וילדים זכאי שבות בפרט;</w:t>
      </w:r>
      <w:r w:rsidRPr="00784C6F">
        <w:rPr>
          <w:rFonts w:hint="cs"/>
          <w:rtl/>
        </w:rPr>
        <w:t xml:space="preserve"> וכן</w:t>
      </w:r>
      <w:r w:rsidRPr="00784C6F">
        <w:rPr>
          <w:rtl/>
        </w:rPr>
        <w:t xml:space="preserve"> עלייתם של הילדים ארצה. נוכח האמור, קבע השופט </w:t>
      </w:r>
      <w:r w:rsidRPr="00784C6F">
        <w:rPr>
          <w:rFonts w:ascii="Century" w:hAnsi="Century" w:cs="Miriam"/>
          <w:b/>
          <w:spacing w:val="0"/>
          <w:sz w:val="22"/>
          <w:szCs w:val="24"/>
          <w:rtl/>
        </w:rPr>
        <w:t>עמית</w:t>
      </w:r>
      <w:r w:rsidRPr="00784C6F">
        <w:rPr>
          <w:rtl/>
        </w:rPr>
        <w:t xml:space="preserve"> כי יש לקבל את העתירות וליתן למשיבות מעמד מכוח חוק השבות.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 xml:space="preserve">השופטת </w:t>
      </w:r>
      <w:r w:rsidRPr="00784C6F">
        <w:rPr>
          <w:rFonts w:ascii="Century" w:hAnsi="Century" w:cs="Miriam"/>
          <w:b/>
          <w:spacing w:val="0"/>
          <w:szCs w:val="24"/>
          <w:rtl/>
        </w:rPr>
        <w:t>ע' ברון</w:t>
      </w:r>
      <w:r w:rsidRPr="00784C6F">
        <w:rPr>
          <w:rtl/>
        </w:rPr>
        <w:t xml:space="preserve"> הצטרפה לתוצאת פסק דינו של השופט </w:t>
      </w:r>
      <w:r w:rsidRPr="00784C6F">
        <w:rPr>
          <w:rFonts w:ascii="Century" w:hAnsi="Century" w:cs="Miriam"/>
          <w:b/>
          <w:spacing w:val="0"/>
          <w:szCs w:val="24"/>
          <w:rtl/>
        </w:rPr>
        <w:t>י' עמית</w:t>
      </w:r>
      <w:r w:rsidRPr="00784C6F">
        <w:rPr>
          <w:rtl/>
        </w:rPr>
        <w:t>. בפסק דינה הבהירה השופטת</w:t>
      </w:r>
      <w:r w:rsidRPr="00784C6F">
        <w:rPr>
          <w:rFonts w:ascii="Century" w:hAnsi="Century" w:cs="Miriam"/>
          <w:b/>
          <w:spacing w:val="0"/>
          <w:szCs w:val="24"/>
          <w:rtl/>
        </w:rPr>
        <w:t xml:space="preserve"> ברון</w:t>
      </w:r>
      <w:r w:rsidRPr="00784C6F">
        <w:rPr>
          <w:rtl/>
        </w:rPr>
        <w:t xml:space="preserve"> כי לשיטתה, לשו</w:t>
      </w:r>
      <w:r w:rsidRPr="00784C6F">
        <w:rPr>
          <w:rFonts w:hint="cs"/>
          <w:rtl/>
        </w:rPr>
        <w:t>נו הברורה של</w:t>
      </w:r>
      <w:r w:rsidRPr="00784C6F">
        <w:rPr>
          <w:rtl/>
        </w:rPr>
        <w:t xml:space="preserve"> סעיף 4א(א) מקנה לכל אחד מזכאי </w:t>
      </w:r>
      <w:r w:rsidRPr="00784C6F">
        <w:rPr>
          <w:rtl/>
        </w:rPr>
        <w:lastRenderedPageBreak/>
        <w:t xml:space="preserve">השבות </w:t>
      </w:r>
      <w:r w:rsidRPr="00784C6F">
        <w:rPr>
          <w:rFonts w:hint="cs"/>
          <w:rtl/>
        </w:rPr>
        <w:t>שנכללים</w:t>
      </w:r>
      <w:r w:rsidRPr="00784C6F">
        <w:rPr>
          <w:rtl/>
        </w:rPr>
        <w:t xml:space="preserve"> בו זכות עצמאית ושוות ערך, הנובעת במישרין מזיקת</w:t>
      </w:r>
      <w:r w:rsidRPr="00784C6F">
        <w:rPr>
          <w:rFonts w:hint="cs"/>
          <w:rtl/>
        </w:rPr>
        <w:t>ם</w:t>
      </w:r>
      <w:r w:rsidRPr="00784C6F">
        <w:rPr>
          <w:rtl/>
        </w:rPr>
        <w:t xml:space="preserve"> ליהודי ומקשרי המשפחה</w:t>
      </w:r>
      <w:r w:rsidRPr="00784C6F">
        <w:rPr>
          <w:rFonts w:hint="cs"/>
          <w:rtl/>
        </w:rPr>
        <w:t xml:space="preserve"> שהם מקיימים</w:t>
      </w:r>
      <w:r w:rsidRPr="00784C6F">
        <w:rPr>
          <w:rtl/>
        </w:rPr>
        <w:t xml:space="preserve"> עמו. צוין כי אין בלשונו של הסעיף אחיזה לקיומו של מדרג</w:t>
      </w:r>
      <w:r w:rsidRPr="00784C6F">
        <w:rPr>
          <w:rFonts w:hint="cs"/>
          <w:rtl/>
        </w:rPr>
        <w:t xml:space="preserve"> בעניין</w:t>
      </w:r>
      <w:r w:rsidRPr="00784C6F">
        <w:rPr>
          <w:rtl/>
        </w:rPr>
        <w:t xml:space="preserve"> טיב או עוצמת הזכויות שנתונות ל</w:t>
      </w:r>
      <w:r w:rsidRPr="00784C6F">
        <w:rPr>
          <w:rFonts w:hint="cs"/>
          <w:rtl/>
        </w:rPr>
        <w:t>זכאים לפי החוק</w:t>
      </w:r>
      <w:r w:rsidRPr="00784C6F">
        <w:rPr>
          <w:rtl/>
        </w:rPr>
        <w:t>.</w:t>
      </w:r>
      <w:r w:rsidRPr="00784C6F">
        <w:rPr>
          <w:rFonts w:hint="cs"/>
          <w:rtl/>
        </w:rPr>
        <w:t xml:space="preserve"> לעמדתה,</w:t>
      </w:r>
      <w:r w:rsidRPr="00784C6F">
        <w:rPr>
          <w:rtl/>
        </w:rPr>
        <w:t xml:space="preserve"> תכליות</w:t>
      </w:r>
      <w:r w:rsidRPr="00784C6F">
        <w:rPr>
          <w:rFonts w:hint="cs"/>
          <w:rtl/>
        </w:rPr>
        <w:t xml:space="preserve"> החוק,</w:t>
      </w:r>
      <w:r w:rsidRPr="00784C6F">
        <w:rPr>
          <w:rtl/>
        </w:rPr>
        <w:t xml:space="preserve"> שעניינן הבטחה כי משפחות מעורבות לא יימנעו מלעלות לישראל מחשש לגורל בני המשפחה הלא יהודיים, ומניעת קרע בין בני משפחה יהודים שמבקשים לממש את זכות השבות לבין בני המשפחה הלא יהודיים, מתקיימות ביחס לכל אחד מזכאי השבות בהיותם בני משפחה אחת. בהתאם ל</w:t>
      </w:r>
      <w:r w:rsidRPr="00784C6F">
        <w:rPr>
          <w:rFonts w:hint="cs"/>
          <w:rtl/>
        </w:rPr>
        <w:t>כך</w:t>
      </w:r>
      <w:r w:rsidRPr="00784C6F">
        <w:rPr>
          <w:rtl/>
        </w:rPr>
        <w:t>, ל</w:t>
      </w:r>
      <w:r w:rsidRPr="00784C6F">
        <w:rPr>
          <w:rFonts w:hint="cs"/>
          <w:rtl/>
        </w:rPr>
        <w:t>שיטת</w:t>
      </w:r>
      <w:r w:rsidRPr="00784C6F">
        <w:rPr>
          <w:rtl/>
        </w:rPr>
        <w:t>ה, גם לבת זוג</w:t>
      </w:r>
      <w:r w:rsidRPr="00784C6F">
        <w:rPr>
          <w:rFonts w:hint="cs"/>
          <w:rtl/>
        </w:rPr>
        <w:t>ו</w:t>
      </w:r>
      <w:r w:rsidRPr="00784C6F">
        <w:rPr>
          <w:rtl/>
        </w:rPr>
        <w:t xml:space="preserve"> של ילד של יהודי נתונה זכות שבות עצמאית שנובעת מכך שהיא בת משפחתו של היהודי – ואין נפקות לשאלה אם מקור הקשר המשפחתי הוא בקשר זוגיות או בקשר דם. עוד הודגש כי עצם פטירתו של הבן של היהודי אינה מנתקת את אלמנתו ממשפחתו של בן זוגה. לעמדתה</w:t>
      </w:r>
      <w:r w:rsidRPr="00784C6F">
        <w:rPr>
          <w:rFonts w:hint="cs"/>
          <w:rtl/>
        </w:rPr>
        <w:t>,</w:t>
      </w:r>
      <w:r w:rsidRPr="00784C6F">
        <w:rPr>
          <w:rtl/>
        </w:rPr>
        <w:t xml:space="preserve"> סעיף 4א(ב) לחוק לא יוצר הסדר שלילי לעניין זכאותה של אלמנתו של בן של יהודי</w:t>
      </w:r>
      <w:r w:rsidRPr="00784C6F">
        <w:rPr>
          <w:rFonts w:hint="cs"/>
          <w:rtl/>
        </w:rPr>
        <w:t xml:space="preserve">. עוד </w:t>
      </w:r>
      <w:r w:rsidRPr="00784C6F">
        <w:rPr>
          <w:rtl/>
        </w:rPr>
        <w:t>הובהר כי אף שייתכנו מקרים שבהם פטירתו של בן של יהודי תביא להתפרקות התא המשפחתי ולניתוקה של בת זוגו ממשפחתו – לדוגמה כאשר האלמנה נישא</w:t>
      </w:r>
      <w:r w:rsidRPr="00784C6F">
        <w:rPr>
          <w:rFonts w:hint="cs"/>
          <w:rtl/>
        </w:rPr>
        <w:t>ה</w:t>
      </w:r>
      <w:r w:rsidRPr="00784C6F">
        <w:rPr>
          <w:rtl/>
        </w:rPr>
        <w:t xml:space="preserve"> מחדש, נקודת המוצא היא כנות הקשר המשפחתי, והנטל להוכיח כי האלמנה התנתקה ממשפחתו של בן זוגה מוטל על הטוען לכך.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 xml:space="preserve">בדעת המיעוט, קבע השופט </w:t>
      </w:r>
      <w:r w:rsidRPr="00784C6F">
        <w:rPr>
          <w:rFonts w:ascii="Century" w:hAnsi="Century" w:cs="Miriam"/>
          <w:b/>
          <w:spacing w:val="0"/>
          <w:szCs w:val="24"/>
          <w:rtl/>
        </w:rPr>
        <w:t>ד' מינץ</w:t>
      </w:r>
      <w:r w:rsidRPr="00784C6F">
        <w:rPr>
          <w:rtl/>
        </w:rPr>
        <w:t xml:space="preserve"> כי דין העתירות להידחות, מאחר שפרשנות סעיף 4א(א) לחוק השבות מוליכה למסקנה שלפיה אלמנתו של זכאי שבות לא באה בגדרי החוק. לשיטתו, די בפרשנות לשונית על מנת להגיע למסקנה זו.</w:t>
      </w:r>
      <w:r w:rsidRPr="00784C6F">
        <w:rPr>
          <w:rFonts w:hint="cs"/>
          <w:rtl/>
        </w:rPr>
        <w:t xml:space="preserve"> השופט </w:t>
      </w:r>
      <w:r w:rsidRPr="00784C6F">
        <w:rPr>
          <w:rFonts w:ascii="Century" w:hAnsi="Century" w:cs="Miriam" w:hint="cs"/>
          <w:b/>
          <w:spacing w:val="0"/>
          <w:szCs w:val="24"/>
          <w:rtl/>
        </w:rPr>
        <w:t xml:space="preserve">מינץ </w:t>
      </w:r>
      <w:r w:rsidRPr="00784C6F">
        <w:rPr>
          <w:rFonts w:hint="cs"/>
          <w:rtl/>
        </w:rPr>
        <w:t>מצא</w:t>
      </w:r>
      <w:r w:rsidRPr="00784C6F">
        <w:rPr>
          <w:rtl/>
        </w:rPr>
        <w:t xml:space="preserve"> כי בסעיף 4א(א) נכללו שלוש קטגוריות</w:t>
      </w:r>
      <w:r w:rsidRPr="00784C6F">
        <w:rPr>
          <w:rFonts w:hint="cs"/>
          <w:rtl/>
        </w:rPr>
        <w:t xml:space="preserve"> של</w:t>
      </w:r>
      <w:r w:rsidRPr="00784C6F">
        <w:rPr>
          <w:rtl/>
        </w:rPr>
        <w:t xml:space="preserve"> זיקה ליהודי: ילד ונכד של יהודי; בן זוג של יהודי; בן זוג של ילד או של נכד ליהודי. לגישתו, סעיף 4א(ב) מבחין בין הקטגוריות השונות – וקובע כי זכאותו של מי שיש לו זיקה ישירה ליהודי אינה ניטלת ממנו אך בשל פטירתו של היהודי. צוין שככל שהמחוקק היה מבקש להרחיב את מעגל הזכאים מכוח חוק השבות, היה נוקט בסעיף 4א(ב) לחוק בלשון "אין נפקא מינה אם </w:t>
      </w:r>
      <w:r w:rsidRPr="00784C6F">
        <w:rPr>
          <w:rFonts w:ascii="Century" w:hAnsi="Century" w:cs="Miriam"/>
          <w:b/>
          <w:spacing w:val="0"/>
          <w:szCs w:val="24"/>
          <w:rtl/>
        </w:rPr>
        <w:t>אדם</w:t>
      </w:r>
      <w:r w:rsidRPr="00784C6F">
        <w:rPr>
          <w:rtl/>
        </w:rPr>
        <w:t xml:space="preserve"> שמכוחו נתבעת זכות [...] עודו בחיים". השופט </w:t>
      </w:r>
      <w:r w:rsidRPr="00784C6F">
        <w:rPr>
          <w:rFonts w:ascii="Century" w:hAnsi="Century" w:cs="Miriam"/>
          <w:b/>
          <w:spacing w:val="0"/>
          <w:szCs w:val="24"/>
          <w:rtl/>
        </w:rPr>
        <w:t>מינץ</w:t>
      </w:r>
      <w:r w:rsidRPr="00784C6F">
        <w:rPr>
          <w:rtl/>
        </w:rPr>
        <w:t xml:space="preserve"> המשיך וקבע כי בכך נקבע הסדר שלילי לעניין זכאותה של אלמנת הבן או הנכד, המלמד על שתיקה מדעת של המחוקק, שהתכוון להוציא אותה מגדרי חוק</w:t>
      </w:r>
      <w:r w:rsidRPr="00784C6F">
        <w:rPr>
          <w:rFonts w:hint="cs"/>
          <w:rtl/>
        </w:rPr>
        <w:t xml:space="preserve"> השבות</w:t>
      </w:r>
      <w:r w:rsidRPr="00784C6F">
        <w:rPr>
          <w:rtl/>
        </w:rPr>
        <w:t xml:space="preserve">. </w:t>
      </w:r>
    </w:p>
    <w:p w:rsidR="00E1330B" w:rsidRPr="00784C6F" w:rsidRDefault="00E1330B" w:rsidP="00E1330B">
      <w:pPr>
        <w:pStyle w:val="Ruller41"/>
        <w:rPr>
          <w:rtl/>
        </w:rPr>
      </w:pPr>
    </w:p>
    <w:p w:rsidR="00E1330B" w:rsidRPr="00784C6F" w:rsidRDefault="00E1330B" w:rsidP="008227A9">
      <w:pPr>
        <w:pStyle w:val="Ruller41"/>
      </w:pPr>
      <w:r w:rsidRPr="00784C6F">
        <w:rPr>
          <w:rtl/>
        </w:rPr>
        <w:tab/>
        <w:t>מעבר לצורך</w:t>
      </w:r>
      <w:r w:rsidRPr="00784C6F">
        <w:rPr>
          <w:rFonts w:hint="cs"/>
          <w:rtl/>
        </w:rPr>
        <w:t xml:space="preserve"> לשיטה זו</w:t>
      </w:r>
      <w:r w:rsidRPr="00784C6F">
        <w:rPr>
          <w:rtl/>
        </w:rPr>
        <w:t xml:space="preserve">, התייחס השופט </w:t>
      </w:r>
      <w:r w:rsidRPr="00784C6F">
        <w:rPr>
          <w:rFonts w:ascii="Century" w:hAnsi="Century" w:cs="Miriam"/>
          <w:b/>
          <w:spacing w:val="0"/>
          <w:szCs w:val="24"/>
          <w:rtl/>
        </w:rPr>
        <w:t>מינץ</w:t>
      </w:r>
      <w:r w:rsidRPr="00784C6F">
        <w:rPr>
          <w:rtl/>
        </w:rPr>
        <w:t xml:space="preserve"> גם לתכלית החקיקה, ומצא שאף היא מובילה לאותה תוצאה. לעמדתו, קיימת הבחנה מהותית ומשמעותית בין הרחבת מעגל הזכאים שי</w:t>
      </w:r>
      <w:r w:rsidRPr="00784C6F">
        <w:rPr>
          <w:rFonts w:hint="cs"/>
          <w:rtl/>
        </w:rPr>
        <w:t xml:space="preserve">ש ביניהם </w:t>
      </w:r>
      <w:r w:rsidRPr="00784C6F">
        <w:rPr>
          <w:rtl/>
        </w:rPr>
        <w:t>קשרי דם לבין הרחבתו למי שחיבור</w:t>
      </w:r>
      <w:r w:rsidRPr="00784C6F">
        <w:rPr>
          <w:rFonts w:hint="cs"/>
          <w:rtl/>
        </w:rPr>
        <w:t>ו</w:t>
      </w:r>
      <w:r w:rsidRPr="00784C6F">
        <w:rPr>
          <w:rtl/>
        </w:rPr>
        <w:t xml:space="preserve"> ליהדות נובע מקשרי חיתון. עוד צוין כי זכותו של בן זוג היא חלשה יותר מזכותו של אדם אשר קונה את זכאותו בשל קשר דם שיש לו עם יהודי, </w:t>
      </w:r>
      <w:r w:rsidRPr="00784C6F">
        <w:rPr>
          <w:rFonts w:hint="cs"/>
          <w:rtl/>
        </w:rPr>
        <w:t>וזו אינה</w:t>
      </w:r>
      <w:r w:rsidRPr="00784C6F">
        <w:rPr>
          <w:rtl/>
        </w:rPr>
        <w:t xml:space="preserve"> ניתנת לערעור; בנוסף, בן הזוג נעדר זכות אבות וזיקתו תלויה בקשר הסכמי עם זכאי השבות או עם היהודי. </w:t>
      </w:r>
      <w:r w:rsidRPr="00784C6F">
        <w:rPr>
          <w:rFonts w:hint="cs"/>
          <w:rtl/>
        </w:rPr>
        <w:t xml:space="preserve">צוין כי </w:t>
      </w:r>
      <w:r w:rsidRPr="00784C6F">
        <w:rPr>
          <w:rtl/>
        </w:rPr>
        <w:t xml:space="preserve">בהעדר </w:t>
      </w:r>
      <w:r w:rsidRPr="00784C6F">
        <w:rPr>
          <w:rtl/>
        </w:rPr>
        <w:lastRenderedPageBreak/>
        <w:t>קשר בין בני הזוג, התכלית שעניינה עידוד העלייה ארצה אינה מתקיימת. לעמדתו, אין מקום להבחין בהקשר זה בין מצב הדברים שבו זכאי השבות נפטר לבין מצב הדברים שבו זכאי השבות ובן הזוג נפרדו.</w:t>
      </w:r>
      <w:r w:rsidR="008227A9">
        <w:rPr>
          <w:rFonts w:hint="cs"/>
          <w:rtl/>
        </w:rPr>
        <w:t xml:space="preserve"> </w:t>
      </w:r>
      <w:r w:rsidRPr="00784C6F">
        <w:rPr>
          <w:rtl/>
        </w:rPr>
        <w:t xml:space="preserve">השופט </w:t>
      </w:r>
      <w:r w:rsidRPr="00784C6F">
        <w:rPr>
          <w:rFonts w:ascii="Century" w:hAnsi="Century" w:cs="Miriam"/>
          <w:b/>
          <w:spacing w:val="0"/>
          <w:szCs w:val="24"/>
          <w:rtl/>
        </w:rPr>
        <w:t>מינץ</w:t>
      </w:r>
      <w:r w:rsidRPr="00784C6F">
        <w:rPr>
          <w:rtl/>
        </w:rPr>
        <w:t xml:space="preserve"> סבר כי אימוץ העמדה של השופט </w:t>
      </w:r>
      <w:r w:rsidRPr="00784C6F">
        <w:rPr>
          <w:rFonts w:ascii="Century" w:hAnsi="Century" w:cs="Miriam"/>
          <w:b/>
          <w:spacing w:val="0"/>
          <w:szCs w:val="24"/>
          <w:rtl/>
        </w:rPr>
        <w:t>עמית</w:t>
      </w:r>
      <w:r w:rsidRPr="00784C6F">
        <w:rPr>
          <w:rtl/>
        </w:rPr>
        <w:t xml:space="preserve"> שלפיה זכותה של אלמנת זכאי השבות תלוית נסיבות היא מוקשית, וסוטה מהכלל שלפיו יש לשאוף להשגת ודאות משפטית. </w:t>
      </w:r>
    </w:p>
    <w:p w:rsidR="00E1330B" w:rsidRPr="00784C6F" w:rsidRDefault="00E1330B" w:rsidP="00E1330B">
      <w:pPr>
        <w:pStyle w:val="Ruller41"/>
        <w:rPr>
          <w:rtl/>
        </w:rPr>
      </w:pPr>
    </w:p>
    <w:p w:rsidR="00E1330B" w:rsidRPr="00385748" w:rsidRDefault="00E1330B" w:rsidP="00385748">
      <w:pPr>
        <w:overflowPunct/>
        <w:autoSpaceDE/>
        <w:adjustRightInd/>
        <w:ind w:firstLine="720"/>
        <w:rPr>
          <w:rFonts w:ascii="Arial TUR" w:hAnsi="Arial TUR" w:cs="FrankRuehl"/>
          <w:spacing w:val="10"/>
          <w:sz w:val="22"/>
          <w:szCs w:val="28"/>
          <w:rtl/>
        </w:rPr>
      </w:pPr>
      <w:r w:rsidRPr="00385748">
        <w:rPr>
          <w:rFonts w:ascii="Arial TUR" w:hAnsi="Arial TUR" w:cs="FrankRuehl"/>
          <w:spacing w:val="10"/>
          <w:sz w:val="22"/>
          <w:szCs w:val="28"/>
          <w:rtl/>
        </w:rPr>
        <w:t xml:space="preserve">ביום 22.9.2022 הורתה הנשיאה </w:t>
      </w:r>
      <w:r w:rsidRPr="00385748">
        <w:rPr>
          <w:rFonts w:ascii="Century" w:hAnsi="Century" w:cs="Miriam"/>
          <w:b/>
          <w:sz w:val="22"/>
          <w:rtl/>
        </w:rPr>
        <w:t>א' חיות</w:t>
      </w:r>
      <w:r w:rsidRPr="00385748">
        <w:rPr>
          <w:rFonts w:ascii="Arial TUR" w:hAnsi="Arial TUR" w:cs="FrankRuehl"/>
          <w:spacing w:val="10"/>
          <w:sz w:val="22"/>
          <w:szCs w:val="28"/>
          <w:rtl/>
        </w:rPr>
        <w:t xml:space="preserve"> על קיומו של דיון נוסף בפסק הדין. </w:t>
      </w:r>
    </w:p>
    <w:p w:rsidR="00E1330B" w:rsidRPr="00784C6F" w:rsidRDefault="00E1330B" w:rsidP="00E1330B">
      <w:pPr>
        <w:pStyle w:val="Ruller41"/>
        <w:rPr>
          <w:rtl/>
        </w:rPr>
      </w:pPr>
    </w:p>
    <w:p w:rsidR="00E1330B" w:rsidRPr="00784C6F" w:rsidRDefault="00E1330B" w:rsidP="00E1330B">
      <w:pPr>
        <w:pStyle w:val="1"/>
        <w:rPr>
          <w:rtl/>
        </w:rPr>
      </w:pPr>
      <w:r w:rsidRPr="00784C6F">
        <w:rPr>
          <w:rtl/>
        </w:rPr>
        <w:t>טענות הצדדים</w:t>
      </w:r>
    </w:p>
    <w:p w:rsidR="00E1330B" w:rsidRPr="00784C6F" w:rsidRDefault="00E1330B" w:rsidP="00E1330B">
      <w:pPr>
        <w:pStyle w:val="Ruller41"/>
        <w:rPr>
          <w:rtl/>
        </w:rPr>
      </w:pPr>
    </w:p>
    <w:p w:rsidR="00E1330B" w:rsidRPr="00784C6F" w:rsidRDefault="00E1330B" w:rsidP="00385748">
      <w:pPr>
        <w:pStyle w:val="Ruller4"/>
        <w:numPr>
          <w:ilvl w:val="0"/>
          <w:numId w:val="13"/>
        </w:numPr>
        <w:rPr>
          <w:rtl/>
        </w:rPr>
      </w:pPr>
      <w:r w:rsidRPr="00784C6F">
        <w:rPr>
          <w:rtl/>
        </w:rPr>
        <w:t xml:space="preserve">המדינה טוענת </w:t>
      </w:r>
      <w:r w:rsidRPr="00784C6F">
        <w:rPr>
          <w:rFonts w:hint="cs"/>
          <w:rtl/>
        </w:rPr>
        <w:t>כי הזכות לשבות קבועה בחוק השבות בנתון ל</w:t>
      </w:r>
      <w:r w:rsidRPr="00784C6F">
        <w:rPr>
          <w:rtl/>
        </w:rPr>
        <w:t xml:space="preserve">סייגים הקבועים בו במפורש </w:t>
      </w:r>
      <w:r w:rsidRPr="00784C6F">
        <w:rPr>
          <w:rFonts w:hint="cs"/>
          <w:rtl/>
        </w:rPr>
        <w:t>ו</w:t>
      </w:r>
      <w:r w:rsidRPr="00784C6F">
        <w:rPr>
          <w:rtl/>
        </w:rPr>
        <w:t xml:space="preserve">לעריכת בדיקות עובדתיות שעניינן התקיימות התנאים שקבועים בחוק. </w:t>
      </w:r>
      <w:r w:rsidRPr="00784C6F">
        <w:rPr>
          <w:rFonts w:hint="cs"/>
          <w:rtl/>
        </w:rPr>
        <w:t xml:space="preserve">על אף זאת, </w:t>
      </w:r>
      <w:r w:rsidRPr="00784C6F">
        <w:rPr>
          <w:rtl/>
        </w:rPr>
        <w:t xml:space="preserve">פסק הדין נושא הדיון הנוסף מקנה לה שיקול דעת </w:t>
      </w:r>
      <w:r w:rsidR="00385748">
        <w:rPr>
          <w:rFonts w:hint="cs"/>
          <w:rtl/>
        </w:rPr>
        <w:t xml:space="preserve">מהותי </w:t>
      </w:r>
      <w:r w:rsidRPr="00784C6F">
        <w:rPr>
          <w:rtl/>
        </w:rPr>
        <w:t>לבחון האם</w:t>
      </w:r>
      <w:r w:rsidR="00385748">
        <w:rPr>
          <w:rFonts w:hint="cs"/>
          <w:rtl/>
        </w:rPr>
        <w:t xml:space="preserve"> יש</w:t>
      </w:r>
      <w:r w:rsidRPr="00784C6F">
        <w:rPr>
          <w:rtl/>
        </w:rPr>
        <w:t xml:space="preserve"> </w:t>
      </w:r>
      <w:r w:rsidR="00385748">
        <w:rPr>
          <w:rFonts w:hint="cs"/>
          <w:rtl/>
        </w:rPr>
        <w:t>ל</w:t>
      </w:r>
      <w:r w:rsidRPr="00784C6F">
        <w:rPr>
          <w:rtl/>
        </w:rPr>
        <w:t>היענות לבקשה פרטנית של אלמנה, מקום שה</w:t>
      </w:r>
      <w:r w:rsidRPr="00784C6F">
        <w:rPr>
          <w:rFonts w:hint="cs"/>
          <w:rtl/>
        </w:rPr>
        <w:t xml:space="preserve">יא </w:t>
      </w:r>
      <w:r w:rsidRPr="00784C6F">
        <w:rPr>
          <w:rtl/>
        </w:rPr>
        <w:t xml:space="preserve">עצמה אינה סבורה שנתון לה שיקול דעת </w:t>
      </w:r>
      <w:r w:rsidRPr="00784C6F">
        <w:rPr>
          <w:rFonts w:hint="cs"/>
          <w:rtl/>
        </w:rPr>
        <w:t>כאמור</w:t>
      </w:r>
      <w:r w:rsidRPr="00784C6F">
        <w:rPr>
          <w:rtl/>
        </w:rPr>
        <w:t xml:space="preserve">. עוד נטען כי ההלכה שנקבעה סותרת את ההלכה הקיימת, שכן </w:t>
      </w:r>
      <w:r w:rsidRPr="00784C6F">
        <w:rPr>
          <w:rFonts w:hint="cs"/>
          <w:rtl/>
        </w:rPr>
        <w:t>ה</w:t>
      </w:r>
      <w:r w:rsidRPr="00784C6F">
        <w:rPr>
          <w:rtl/>
        </w:rPr>
        <w:t xml:space="preserve">פרשנות </w:t>
      </w:r>
      <w:r w:rsidRPr="00784C6F">
        <w:rPr>
          <w:rFonts w:hint="cs"/>
          <w:rtl/>
        </w:rPr>
        <w:t xml:space="preserve">אותה מציגה </w:t>
      </w:r>
      <w:r w:rsidRPr="00784C6F">
        <w:rPr>
          <w:rtl/>
        </w:rPr>
        <w:t xml:space="preserve">המדינה </w:t>
      </w:r>
      <w:r w:rsidRPr="00784C6F">
        <w:rPr>
          <w:rFonts w:hint="cs"/>
          <w:rtl/>
        </w:rPr>
        <w:t>בהקשרנו</w:t>
      </w:r>
      <w:r w:rsidRPr="00784C6F">
        <w:rPr>
          <w:rtl/>
        </w:rPr>
        <w:t xml:space="preserve"> הוצגה במספר הליכים ובית המשפט לא מצא להתערב בה. </w:t>
      </w:r>
      <w:r w:rsidRPr="00784C6F">
        <w:rPr>
          <w:rFonts w:hint="cs"/>
          <w:rtl/>
        </w:rPr>
        <w:t>עוד נטען כי</w:t>
      </w:r>
      <w:r w:rsidRPr="00784C6F">
        <w:rPr>
          <w:rtl/>
        </w:rPr>
        <w:t xml:space="preserve"> ההלכה שנקבעה </w:t>
      </w:r>
      <w:r w:rsidRPr="00784C6F">
        <w:rPr>
          <w:rFonts w:hint="cs"/>
          <w:rtl/>
        </w:rPr>
        <w:t>אינה עולה בקנה אחד עם הפסיקה</w:t>
      </w:r>
      <w:r w:rsidRPr="00784C6F">
        <w:rPr>
          <w:rtl/>
        </w:rPr>
        <w:t xml:space="preserve"> בעניין </w:t>
      </w:r>
      <w:r w:rsidRPr="00784C6F">
        <w:rPr>
          <w:rFonts w:ascii="Century" w:hAnsi="Century" w:cs="Miriam"/>
          <w:b/>
          <w:spacing w:val="0"/>
          <w:sz w:val="22"/>
          <w:szCs w:val="24"/>
          <w:rtl/>
        </w:rPr>
        <w:t>גורודצקי</w:t>
      </w:r>
      <w:r w:rsidRPr="00784C6F">
        <w:rPr>
          <w:rtl/>
        </w:rPr>
        <w:t>.</w:t>
      </w:r>
    </w:p>
    <w:p w:rsidR="00E1330B" w:rsidRPr="00784C6F" w:rsidRDefault="00E1330B" w:rsidP="00E1330B">
      <w:pPr>
        <w:pStyle w:val="Ruller4"/>
        <w:numPr>
          <w:ilvl w:val="0"/>
          <w:numId w:val="0"/>
        </w:numPr>
      </w:pPr>
    </w:p>
    <w:p w:rsidR="00E1330B" w:rsidRPr="00784C6F" w:rsidRDefault="00E1330B" w:rsidP="00E1330B">
      <w:pPr>
        <w:pStyle w:val="Ruller4"/>
        <w:numPr>
          <w:ilvl w:val="0"/>
          <w:numId w:val="0"/>
        </w:numPr>
      </w:pPr>
      <w:r w:rsidRPr="00784C6F">
        <w:rPr>
          <w:rtl/>
        </w:rPr>
        <w:tab/>
        <w:t xml:space="preserve">לגופם של דברים, המדינה סומכת ידה על עמדתו של השופט </w:t>
      </w:r>
      <w:r w:rsidRPr="00784C6F">
        <w:rPr>
          <w:rFonts w:ascii="Century" w:hAnsi="Century" w:cs="Miriam"/>
          <w:b/>
          <w:spacing w:val="0"/>
          <w:sz w:val="22"/>
          <w:szCs w:val="24"/>
          <w:rtl/>
        </w:rPr>
        <w:t>ד' מינץ</w:t>
      </w:r>
      <w:r w:rsidRPr="00784C6F">
        <w:rPr>
          <w:rtl/>
        </w:rPr>
        <w:t xml:space="preserve"> ומבקשת לאמצה. לשיטת המדינה, לשון הסעיף אינה סובלת את הפרשנות שלפיה אלמנתו של זכאי שבות </w:t>
      </w:r>
      <w:r w:rsidRPr="00784C6F">
        <w:rPr>
          <w:rFonts w:hint="cs"/>
          <w:rtl/>
        </w:rPr>
        <w:t>באה בגדרי</w:t>
      </w:r>
      <w:r w:rsidRPr="00784C6F">
        <w:rPr>
          <w:rtl/>
        </w:rPr>
        <w:t xml:space="preserve"> חוק השבות. </w:t>
      </w:r>
      <w:r w:rsidRPr="00784C6F">
        <w:rPr>
          <w:rFonts w:hint="cs"/>
          <w:rtl/>
        </w:rPr>
        <w:t xml:space="preserve">לטענתה נוכח הוראה מפורשת </w:t>
      </w:r>
      <w:r w:rsidRPr="00784C6F">
        <w:rPr>
          <w:rtl/>
        </w:rPr>
        <w:t xml:space="preserve">לעניין זכאותה של אלמנה של יהודי </w:t>
      </w:r>
      <w:r w:rsidRPr="00784C6F">
        <w:rPr>
          <w:rFonts w:hint="cs"/>
          <w:rtl/>
        </w:rPr>
        <w:t>ובהעדרה של קביעה דומה</w:t>
      </w:r>
      <w:r w:rsidRPr="00784C6F">
        <w:rPr>
          <w:rtl/>
        </w:rPr>
        <w:t>, סעיף 4א(ב) הוא בבחינת הסדר שלילי. עוד נטען כי</w:t>
      </w:r>
      <w:r w:rsidRPr="00784C6F">
        <w:rPr>
          <w:rFonts w:hint="cs"/>
          <w:rtl/>
        </w:rPr>
        <w:t xml:space="preserve"> קביעתו של</w:t>
      </w:r>
      <w:r w:rsidRPr="00784C6F">
        <w:rPr>
          <w:rtl/>
        </w:rPr>
        <w:t xml:space="preserve"> סעיף</w:t>
      </w:r>
      <w:r w:rsidRPr="00784C6F">
        <w:rPr>
          <w:rFonts w:hint="cs"/>
          <w:rtl/>
        </w:rPr>
        <w:t xml:space="preserve"> זה</w:t>
      </w:r>
      <w:r w:rsidRPr="00784C6F">
        <w:rPr>
          <w:rtl/>
        </w:rPr>
        <w:t xml:space="preserve"> מ</w:t>
      </w:r>
      <w:r w:rsidRPr="00784C6F">
        <w:rPr>
          <w:rFonts w:hint="cs"/>
          <w:rtl/>
        </w:rPr>
        <w:t>למדת</w:t>
      </w:r>
      <w:r w:rsidRPr="00784C6F">
        <w:rPr>
          <w:rtl/>
        </w:rPr>
        <w:t xml:space="preserve"> כי המחוקק סבר שהמונח "בן זוג"</w:t>
      </w:r>
      <w:r w:rsidRPr="00784C6F">
        <w:rPr>
          <w:rFonts w:hint="cs"/>
          <w:rtl/>
        </w:rPr>
        <w:t xml:space="preserve"> כשלעצמו</w:t>
      </w:r>
      <w:r w:rsidRPr="00784C6F">
        <w:rPr>
          <w:rtl/>
        </w:rPr>
        <w:t xml:space="preserve"> לא כולל את המונח אלמנה. במישור התכלית הסובייקטיבית, נטען כי עיון בהיסטוריה החקיקתית מעלה כי </w:t>
      </w:r>
      <w:r w:rsidRPr="00784C6F">
        <w:rPr>
          <w:rFonts w:hint="cs"/>
          <w:rtl/>
        </w:rPr>
        <w:t>ה</w:t>
      </w:r>
      <w:r w:rsidRPr="00784C6F">
        <w:rPr>
          <w:rtl/>
        </w:rPr>
        <w:t xml:space="preserve">מצב העיקרי שעמד לנגד עיני המחוקק היה פטירת היהודי ועליית משפחתו הקרובה לישראל, להבדיל מפטירת </w:t>
      </w:r>
      <w:r w:rsidRPr="00784C6F">
        <w:rPr>
          <w:rFonts w:hint="cs"/>
          <w:rtl/>
        </w:rPr>
        <w:t>בנו או נכדו</w:t>
      </w:r>
      <w:r w:rsidRPr="00784C6F">
        <w:rPr>
          <w:rtl/>
        </w:rPr>
        <w:t xml:space="preserve">. עוד </w:t>
      </w:r>
      <w:r w:rsidRPr="00784C6F">
        <w:rPr>
          <w:rFonts w:hint="cs"/>
          <w:rtl/>
        </w:rPr>
        <w:t>הודגש</w:t>
      </w:r>
      <w:r w:rsidRPr="00784C6F">
        <w:rPr>
          <w:rtl/>
        </w:rPr>
        <w:t xml:space="preserve"> כי פרשנות המדינה תואמת גם את תכליתו האובייקטיבית של הסעיף, מאחר שככלל, מתן מעמד לאלמנת זכאי </w:t>
      </w:r>
      <w:r w:rsidRPr="00784C6F">
        <w:rPr>
          <w:rFonts w:hint="cs"/>
          <w:rtl/>
        </w:rPr>
        <w:t>ה</w:t>
      </w:r>
      <w:r w:rsidRPr="00784C6F">
        <w:rPr>
          <w:rtl/>
        </w:rPr>
        <w:t xml:space="preserve">שבות לא </w:t>
      </w:r>
      <w:r w:rsidRPr="00784C6F">
        <w:rPr>
          <w:rFonts w:hint="cs"/>
          <w:rtl/>
        </w:rPr>
        <w:t>ת</w:t>
      </w:r>
      <w:r w:rsidRPr="00784C6F">
        <w:rPr>
          <w:rtl/>
        </w:rPr>
        <w:t xml:space="preserve">עודד את עלייתם של יהודים לישראל. כנטען, לתכלית זו ניתן מעמד חוקתי במסגרת סעיף 5 לחוק-יסוד: ישראל – מדינת הלאום של העם היהודי. המדינה </w:t>
      </w:r>
      <w:r w:rsidRPr="00784C6F">
        <w:rPr>
          <w:rFonts w:hint="cs"/>
          <w:rtl/>
        </w:rPr>
        <w:t>מוסיפה</w:t>
      </w:r>
      <w:r w:rsidRPr="00784C6F">
        <w:rPr>
          <w:rtl/>
        </w:rPr>
        <w:t xml:space="preserve"> כי </w:t>
      </w:r>
      <w:r w:rsidRPr="00784C6F">
        <w:rPr>
          <w:rFonts w:hint="cs"/>
          <w:rtl/>
        </w:rPr>
        <w:t>ב</w:t>
      </w:r>
      <w:r w:rsidRPr="00784C6F">
        <w:rPr>
          <w:rtl/>
        </w:rPr>
        <w:t xml:space="preserve">מקרים שבהם </w:t>
      </w:r>
      <w:r w:rsidRPr="00784C6F">
        <w:rPr>
          <w:rFonts w:hint="cs"/>
          <w:rtl/>
        </w:rPr>
        <w:t>התכלית של</w:t>
      </w:r>
      <w:r w:rsidRPr="00784C6F">
        <w:rPr>
          <w:rtl/>
        </w:rPr>
        <w:t xml:space="preserve"> ע</w:t>
      </w:r>
      <w:r w:rsidRPr="00784C6F">
        <w:rPr>
          <w:rFonts w:hint="cs"/>
          <w:rtl/>
        </w:rPr>
        <w:t>י</w:t>
      </w:r>
      <w:r w:rsidRPr="00784C6F">
        <w:rPr>
          <w:rtl/>
        </w:rPr>
        <w:t>ד</w:t>
      </w:r>
      <w:r w:rsidRPr="00784C6F">
        <w:rPr>
          <w:rFonts w:hint="cs"/>
          <w:rtl/>
        </w:rPr>
        <w:t>ו</w:t>
      </w:r>
      <w:r w:rsidRPr="00784C6F">
        <w:rPr>
          <w:rtl/>
        </w:rPr>
        <w:t xml:space="preserve">ד עלייתם של יהודים </w:t>
      </w:r>
      <w:r w:rsidRPr="00784C6F">
        <w:rPr>
          <w:rFonts w:hint="cs"/>
          <w:rtl/>
        </w:rPr>
        <w:t>מתקיימת,</w:t>
      </w:r>
      <w:r w:rsidRPr="00784C6F">
        <w:rPr>
          <w:rtl/>
        </w:rPr>
        <w:t xml:space="preserve"> הנחיית רשות האוכלוסין וההגירה</w:t>
      </w:r>
      <w:r w:rsidRPr="00784C6F">
        <w:rPr>
          <w:rFonts w:hint="cs"/>
          <w:rtl/>
        </w:rPr>
        <w:t xml:space="preserve"> נותנת מענה מספק</w:t>
      </w:r>
      <w:r w:rsidRPr="00784C6F">
        <w:rPr>
          <w:rtl/>
        </w:rPr>
        <w:t xml:space="preserve">. עוד הודגש כי לעמדת המדינה, זכאותו של בן זוג מכוח החוק אינה זהה באופייה לזכאותו של יהודי או של צאצא של יהודי, שכן היא תלויה בזכותו של היהודי ונובעת ממנה. לשיטתה, קיים מדרג בין זכאי השבות המנויים בסעיף 4א(א), כשזכותם של בני זוג היא חלשה יותר מזכותם של צאצאים של יהודי. </w:t>
      </w:r>
      <w:r w:rsidRPr="00784C6F">
        <w:rPr>
          <w:rtl/>
        </w:rPr>
        <w:lastRenderedPageBreak/>
        <w:t xml:space="preserve">לשיטת המדינה, הדבר נכון כאשר מדובר בבן זוג של יהודי, ומקל וחומר כאשר מדובר בבן זוג של </w:t>
      </w:r>
      <w:r w:rsidRPr="00784C6F">
        <w:rPr>
          <w:rFonts w:hint="cs"/>
          <w:rtl/>
        </w:rPr>
        <w:t>זכאי שבות</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המשיבים 6-1 טוענים, בעיקרם של דברים, כי אין מקום להתערב בפסק הדין נושא הבקשות לדיון נוסף. כנטען, הפרשנות שאומצה בפסק הדין היא הפרשנות הראויה, והיא נתמכת הן בלשון הסעיף, הן בתכליתו. לגישתם, החוק מקנה זכאות ליהודי ולבני משפחתו המעורבת הכוללת שלוש דורות, מתוך מטרה לאפשר לכל מי שקשר את גורלו לגורל העם היהודי לעלות לישראל. נטען כי תכלית זו מתגשמת גם כאשר מדובר באלמנה של זכאי שבות. הודגש כי במקרים רבים בקרב יהודי התפוצות, בן לאב יהודי מז</w:t>
      </w:r>
      <w:r w:rsidRPr="00784C6F">
        <w:rPr>
          <w:rFonts w:hint="cs"/>
          <w:rtl/>
        </w:rPr>
        <w:t>ו</w:t>
      </w:r>
      <w:r w:rsidRPr="00784C6F">
        <w:rPr>
          <w:rtl/>
        </w:rPr>
        <w:t>הה כיהודי ומתקבל ככזה על ידי הקהילה היהודית – וכך גם בני משפחתו הגרעינית. לטענתם, הדבר נלמד גם מנסיבותיה האישיות של המשיבה 1, שלאחר נישואיה אימצה אורח חיי</w:t>
      </w:r>
      <w:r w:rsidRPr="00784C6F">
        <w:rPr>
          <w:rFonts w:hint="cs"/>
          <w:rtl/>
        </w:rPr>
        <w:t>ם</w:t>
      </w:r>
      <w:r w:rsidRPr="00784C6F">
        <w:rPr>
          <w:rtl/>
        </w:rPr>
        <w:t xml:space="preserve"> יהודי, כאשר שלוש</w:t>
      </w:r>
      <w:r w:rsidRPr="00784C6F">
        <w:rPr>
          <w:rFonts w:hint="cs"/>
          <w:rtl/>
        </w:rPr>
        <w:t>ה</w:t>
      </w:r>
      <w:r w:rsidRPr="00784C6F">
        <w:rPr>
          <w:rtl/>
        </w:rPr>
        <w:t xml:space="preserve"> מתוך ארבעת ילדיה עלו לישראל והתגייסו לצ</w:t>
      </w:r>
      <w:r w:rsidRPr="00784C6F">
        <w:rPr>
          <w:rFonts w:hint="cs"/>
          <w:rtl/>
        </w:rPr>
        <w:t>בא</w:t>
      </w:r>
      <w:r w:rsidRPr="00784C6F">
        <w:rPr>
          <w:rtl/>
        </w:rPr>
        <w:t xml:space="preserve">. עוד הודגש כי המדינה פיתחה תכניות רבות שמטרתן לעודד עליית נכדים ליהודי, במטרה שאלה יובילו לעליית הוריהם. המשיבים דוחים את העמדה שלפיה קיים מדרג בין זכאי השבות שמנויים בסעיף 4א(א) וטוענים כי גם לבני הזוג נתונה זכות עצמאית ושוות ערך. לשיטתם, פרשנות המדינה עשויה לסכל עלייתם של צאצאים ליהודי – כדוגמת נכדים </w:t>
      </w:r>
      <w:r w:rsidRPr="00784C6F">
        <w:rPr>
          <w:rFonts w:hint="cs"/>
          <w:rtl/>
        </w:rPr>
        <w:t xml:space="preserve">קטינים </w:t>
      </w:r>
      <w:r w:rsidR="00AC17A6">
        <w:rPr>
          <w:rtl/>
        </w:rPr>
        <w:t>ליהודי במצב שבו אמם היא אלמנ</w:t>
      </w:r>
      <w:r w:rsidR="00AC17A6">
        <w:rPr>
          <w:rFonts w:hint="cs"/>
          <w:rtl/>
        </w:rPr>
        <w:t>ת בנו של יהודי</w:t>
      </w:r>
      <w:r w:rsidRPr="00784C6F">
        <w:rPr>
          <w:rFonts w:hint="cs"/>
          <w:rtl/>
        </w:rPr>
        <w:t xml:space="preserve">, ולא תוכל לקבל אשרת עולה לפי פרשנות המדינה. </w:t>
      </w:r>
      <w:r w:rsidRPr="00784C6F">
        <w:rPr>
          <w:rtl/>
        </w:rPr>
        <w:t>עוד הודגש כי אין בפתרונות החלופיים שהוצגו על ידי המ</w:t>
      </w:r>
      <w:r w:rsidRPr="00784C6F">
        <w:rPr>
          <w:rFonts w:hint="cs"/>
          <w:rtl/>
        </w:rPr>
        <w:t>דינה</w:t>
      </w:r>
      <w:r w:rsidRPr="00784C6F">
        <w:rPr>
          <w:rtl/>
        </w:rPr>
        <w:t xml:space="preserve"> כדי ליתן מענה הולם לאלמנות של זכאי שבות.   </w:t>
      </w:r>
    </w:p>
    <w:p w:rsidR="00E1330B" w:rsidRPr="00784C6F" w:rsidRDefault="00E1330B" w:rsidP="00E1330B">
      <w:pPr>
        <w:pStyle w:val="Ruller4"/>
        <w:numPr>
          <w:ilvl w:val="0"/>
          <w:numId w:val="0"/>
        </w:numPr>
        <w:rPr>
          <w:rtl/>
        </w:rPr>
      </w:pPr>
    </w:p>
    <w:p w:rsidR="00E1330B" w:rsidRPr="00784C6F" w:rsidRDefault="00E1330B" w:rsidP="00E1330B">
      <w:pPr>
        <w:pStyle w:val="Ruller41"/>
        <w:rPr>
          <w:rtl/>
        </w:rPr>
      </w:pPr>
      <w:r w:rsidRPr="00784C6F">
        <w:rPr>
          <w:rtl/>
        </w:rPr>
        <w:tab/>
        <w:t xml:space="preserve">המשיבות 8-7 מצטרפות לעמדת המשיבים 6-1 וגורסות כי פרשנות שופטי הרוב בפסק הדין מתיישבת עם האופן שבו פורש המונח "בן זוג" בדברי חקיקה אחרים. כנטען, סעיף 4א(ב) קובע כי זכותם של בני המשפחה </w:t>
      </w:r>
      <w:r w:rsidRPr="00784C6F">
        <w:rPr>
          <w:rFonts w:hint="cs"/>
          <w:rtl/>
        </w:rPr>
        <w:t>ובהם</w:t>
      </w:r>
      <w:r w:rsidRPr="00784C6F">
        <w:rPr>
          <w:rtl/>
        </w:rPr>
        <w:t xml:space="preserve"> בת הזוג של הילד </w:t>
      </w:r>
      <w:r w:rsidRPr="00784C6F">
        <w:rPr>
          <w:rFonts w:hint="cs"/>
          <w:rtl/>
        </w:rPr>
        <w:t xml:space="preserve">או </w:t>
      </w:r>
      <w:r w:rsidRPr="00784C6F">
        <w:rPr>
          <w:rtl/>
        </w:rPr>
        <w:t>של הנכד</w:t>
      </w:r>
      <w:r w:rsidRPr="00784C6F">
        <w:rPr>
          <w:rFonts w:hint="cs"/>
          <w:rtl/>
        </w:rPr>
        <w:t xml:space="preserve">, </w:t>
      </w:r>
      <w:r w:rsidRPr="00784C6F">
        <w:rPr>
          <w:rtl/>
        </w:rPr>
        <w:t xml:space="preserve">עומדת להם במנותק משאלת מימוש הזכות על ידי יהודי, שהוא מקור זכותם של כלל בני המשפחה. המשיבות מדגישות כי הקשר הרגשי והמשפחתי בין בני הזוג ממשיך להתקיים אף לאחר שבן הזוג נפטר, וכי יש ליתן משקל לכך שבפועל במדינות ברית המועצות לשעבר השיוך הדתי-לאומי נקבע לפי האב. לשיטתן, עמדת המדינה שלפיה </w:t>
      </w:r>
      <w:r w:rsidRPr="00784C6F">
        <w:rPr>
          <w:rFonts w:hint="cs"/>
          <w:rtl/>
        </w:rPr>
        <w:t xml:space="preserve">קיים שוני עקרוני בין זכאותן של בנות זוג לפי החוק לבין זכאותם של צאצאים עשויה להיות בעלת השלכת רוחב בהקשרים אחרים. </w:t>
      </w:r>
      <w:r w:rsidRPr="00784C6F">
        <w:rPr>
          <w:rtl/>
        </w:rPr>
        <w:t>עוד נטען כי יש ליתן משקל לכך שעד שנת 2016</w:t>
      </w:r>
      <w:r w:rsidRPr="00784C6F">
        <w:rPr>
          <w:rFonts w:hint="cs"/>
          <w:rtl/>
        </w:rPr>
        <w:t xml:space="preserve"> בקשות של</w:t>
      </w:r>
      <w:r w:rsidRPr="00784C6F">
        <w:rPr>
          <w:rtl/>
        </w:rPr>
        <w:t xml:space="preserve"> אלמנו</w:t>
      </w:r>
      <w:r w:rsidRPr="00784C6F">
        <w:rPr>
          <w:rFonts w:hint="cs"/>
          <w:rtl/>
        </w:rPr>
        <w:t>ת</w:t>
      </w:r>
      <w:r w:rsidRPr="00784C6F">
        <w:rPr>
          <w:rtl/>
        </w:rPr>
        <w:t xml:space="preserve"> זכאי שבות לקבל מעמד מכוח </w:t>
      </w:r>
      <w:r w:rsidRPr="00784C6F">
        <w:rPr>
          <w:rFonts w:hint="cs"/>
          <w:rtl/>
        </w:rPr>
        <w:t>החוק נענו בחיוב</w:t>
      </w:r>
      <w:r w:rsidRPr="00784C6F">
        <w:rPr>
          <w:rtl/>
        </w:rPr>
        <w:t xml:space="preserve">. </w:t>
      </w:r>
      <w:r w:rsidRPr="00784C6F">
        <w:rPr>
          <w:rFonts w:hint="cs"/>
          <w:rtl/>
        </w:rPr>
        <w:t>משכך</w:t>
      </w:r>
      <w:r w:rsidRPr="00784C6F">
        <w:rPr>
          <w:rtl/>
        </w:rPr>
        <w:t>,</w:t>
      </w:r>
      <w:r w:rsidRPr="00784C6F" w:rsidDel="00640066">
        <w:rPr>
          <w:rtl/>
        </w:rPr>
        <w:t xml:space="preserve"> </w:t>
      </w:r>
      <w:r w:rsidRPr="00784C6F">
        <w:rPr>
          <w:rtl/>
        </w:rPr>
        <w:t xml:space="preserve">מדיניות </w:t>
      </w:r>
      <w:r w:rsidRPr="00784C6F">
        <w:rPr>
          <w:rFonts w:hint="cs"/>
          <w:rtl/>
        </w:rPr>
        <w:t>משרד הפנים</w:t>
      </w:r>
      <w:r w:rsidRPr="00784C6F">
        <w:rPr>
          <w:rtl/>
        </w:rPr>
        <w:t xml:space="preserve"> מובילה</w:t>
      </w:r>
      <w:r w:rsidRPr="00784C6F">
        <w:rPr>
          <w:rFonts w:hint="cs"/>
          <w:rtl/>
        </w:rPr>
        <w:t xml:space="preserve"> לשיטתן</w:t>
      </w:r>
      <w:r w:rsidRPr="00784C6F">
        <w:rPr>
          <w:rtl/>
        </w:rPr>
        <w:t xml:space="preserve"> לפגיעה בשוויון.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יוער כי המדינה לא ביקשה את עיכוב ביצועו של פסק הדין – ובהתאם, כעולה מהחומרים שלפניי, </w:t>
      </w:r>
      <w:r w:rsidRPr="00784C6F">
        <w:rPr>
          <w:rFonts w:hint="cs"/>
          <w:rtl/>
        </w:rPr>
        <w:t>ל</w:t>
      </w:r>
      <w:r w:rsidRPr="00784C6F">
        <w:rPr>
          <w:rtl/>
        </w:rPr>
        <w:t xml:space="preserve">משיבות 1 ו-7 </w:t>
      </w:r>
      <w:r w:rsidRPr="00784C6F">
        <w:rPr>
          <w:rFonts w:hint="cs"/>
          <w:rtl/>
        </w:rPr>
        <w:t>הוקנתה אזרחות ישראלית</w:t>
      </w:r>
      <w:r w:rsidRPr="00784C6F">
        <w:rPr>
          <w:rtl/>
        </w:rPr>
        <w:t xml:space="preserve">, ואילו </w:t>
      </w:r>
      <w:r w:rsidRPr="00784C6F">
        <w:rPr>
          <w:rFonts w:hint="cs"/>
          <w:rtl/>
        </w:rPr>
        <w:t>ל</w:t>
      </w:r>
      <w:r w:rsidRPr="00784C6F">
        <w:rPr>
          <w:rtl/>
        </w:rPr>
        <w:t xml:space="preserve">משיבה 8 טרם </w:t>
      </w:r>
      <w:r w:rsidRPr="00784C6F">
        <w:rPr>
          <w:rFonts w:hint="cs"/>
          <w:rtl/>
        </w:rPr>
        <w:lastRenderedPageBreak/>
        <w:t>ניתנה אזרחות כאמור</w:t>
      </w:r>
      <w:r w:rsidRPr="00784C6F">
        <w:rPr>
          <w:rtl/>
        </w:rPr>
        <w:t xml:space="preserve"> בשל שהייתה באוקראינה כפי שפורט לעיל (וראו: סעיף 14 לתגובת משיבות 8-7 </w:t>
      </w:r>
      <w:r w:rsidRPr="00784C6F">
        <w:rPr>
          <w:rFonts w:hint="cs"/>
          <w:rtl/>
        </w:rPr>
        <w:t xml:space="preserve">לעתירה לקיום דיון נוסף </w:t>
      </w:r>
      <w:r w:rsidRPr="00784C6F">
        <w:rPr>
          <w:rtl/>
        </w:rPr>
        <w:t xml:space="preserve">מיום 22.4.2022). </w:t>
      </w:r>
    </w:p>
    <w:p w:rsidR="00E1330B" w:rsidRPr="00784C6F" w:rsidRDefault="00E1330B" w:rsidP="00E1330B">
      <w:pPr>
        <w:pStyle w:val="Ruller41"/>
        <w:rPr>
          <w:rtl/>
        </w:rPr>
      </w:pPr>
    </w:p>
    <w:p w:rsidR="00E1330B" w:rsidRPr="00784C6F" w:rsidRDefault="00E1330B" w:rsidP="00056C59">
      <w:pPr>
        <w:pStyle w:val="Ruller41"/>
        <w:rPr>
          <w:rtl/>
        </w:rPr>
      </w:pPr>
      <w:r w:rsidRPr="00784C6F">
        <w:rPr>
          <w:rtl/>
        </w:rPr>
        <w:tab/>
        <w:t xml:space="preserve">ביום 21.3.2023 קיימנו דיון שבמהלכו ציינו המשיבים כי בעקבות פסק הדין, בעת בחינת </w:t>
      </w:r>
      <w:r w:rsidRPr="00784C6F">
        <w:rPr>
          <w:rFonts w:hint="cs"/>
          <w:rtl/>
        </w:rPr>
        <w:t>בקשותיהם</w:t>
      </w:r>
      <w:r w:rsidRPr="00784C6F">
        <w:rPr>
          <w:rtl/>
        </w:rPr>
        <w:t xml:space="preserve"> של אלמנ</w:t>
      </w:r>
      <w:r w:rsidRPr="00784C6F">
        <w:rPr>
          <w:rFonts w:hint="cs"/>
          <w:rtl/>
        </w:rPr>
        <w:t>י</w:t>
      </w:r>
      <w:r w:rsidRPr="00784C6F">
        <w:rPr>
          <w:rtl/>
        </w:rPr>
        <w:t xml:space="preserve"> זכאי שבות המדינה בוחנת </w:t>
      </w:r>
      <w:r w:rsidRPr="00784C6F">
        <w:rPr>
          <w:rFonts w:hint="cs"/>
          <w:rtl/>
        </w:rPr>
        <w:t xml:space="preserve">זיקתם </w:t>
      </w:r>
      <w:r w:rsidRPr="00784C6F">
        <w:rPr>
          <w:rtl/>
        </w:rPr>
        <w:t>לעם</w:t>
      </w:r>
      <w:r w:rsidRPr="00784C6F">
        <w:rPr>
          <w:rFonts w:hint="cs"/>
          <w:rtl/>
        </w:rPr>
        <w:t xml:space="preserve"> היהודי</w:t>
      </w:r>
      <w:r w:rsidRPr="00784C6F">
        <w:rPr>
          <w:rtl/>
        </w:rPr>
        <w:t xml:space="preserve"> </w:t>
      </w:r>
      <w:r w:rsidRPr="00784C6F">
        <w:rPr>
          <w:rFonts w:hint="cs"/>
          <w:rtl/>
        </w:rPr>
        <w:t>בהקשר של קיום המסורת היהודית</w:t>
      </w:r>
      <w:r w:rsidRPr="00784C6F">
        <w:rPr>
          <w:rtl/>
        </w:rPr>
        <w:t xml:space="preserve"> (פרוטוקול הדיון, </w:t>
      </w:r>
      <w:r w:rsidRPr="00784C6F">
        <w:rPr>
          <w:rFonts w:hint="cs"/>
          <w:rtl/>
        </w:rPr>
        <w:t>ב</w:t>
      </w:r>
      <w:r w:rsidRPr="00784C6F">
        <w:rPr>
          <w:rtl/>
        </w:rPr>
        <w:t>עמ' 10, ש' 7-4). המשיבים הפנו להחלטה מיום 20.3.2023 של מרכזת מרשם ומעמד ברשות האוכלוסין וההגירה, שבמסגרתה אלמ</w:t>
      </w:r>
      <w:r w:rsidRPr="00784C6F">
        <w:rPr>
          <w:rFonts w:hint="cs"/>
          <w:rtl/>
        </w:rPr>
        <w:t>ן</w:t>
      </w:r>
      <w:r w:rsidRPr="00784C6F">
        <w:rPr>
          <w:rtl/>
        </w:rPr>
        <w:t xml:space="preserve"> של בת של יהודי התבקש לספק פרטים נוספים על אורח חייו</w:t>
      </w:r>
      <w:r w:rsidRPr="00784C6F">
        <w:rPr>
          <w:rFonts w:hint="cs"/>
          <w:rtl/>
        </w:rPr>
        <w:t xml:space="preserve"> בטרם תתקבל החלטה בעניין זכאותו לפי החוק</w:t>
      </w:r>
      <w:r w:rsidRPr="00784C6F">
        <w:rPr>
          <w:rtl/>
        </w:rPr>
        <w:t>, ובהם האם היה חבר פעיל בבית הכנסת ו</w:t>
      </w:r>
      <w:r w:rsidRPr="00784C6F">
        <w:rPr>
          <w:rFonts w:hint="cs"/>
          <w:rtl/>
        </w:rPr>
        <w:t xml:space="preserve">כן </w:t>
      </w:r>
      <w:r w:rsidRPr="00784C6F">
        <w:rPr>
          <w:rtl/>
        </w:rPr>
        <w:t xml:space="preserve">מדוע לאחר פטירת אשתו לא המשיך לחגוג את החגים היהודים. המשיבים טענו כי עיקרו של המבחן שהציג השופט </w:t>
      </w:r>
      <w:r w:rsidRPr="00784C6F">
        <w:rPr>
          <w:rFonts w:ascii="Century" w:hAnsi="Century" w:cs="Miriam"/>
          <w:b/>
          <w:spacing w:val="0"/>
          <w:szCs w:val="24"/>
          <w:rtl/>
        </w:rPr>
        <w:t>י' עמית</w:t>
      </w:r>
      <w:r w:rsidRPr="00784C6F">
        <w:rPr>
          <w:rtl/>
        </w:rPr>
        <w:t xml:space="preserve"> בפסק דינו נוגע לטיב הקשר בין בני הזוג</w:t>
      </w:r>
      <w:r w:rsidRPr="00784C6F">
        <w:rPr>
          <w:rFonts w:hint="cs"/>
          <w:rtl/>
        </w:rPr>
        <w:t xml:space="preserve"> ואינו מכוון לקיום אורח חיים יהודי</w:t>
      </w:r>
      <w:r w:rsidRPr="00784C6F">
        <w:rPr>
          <w:rtl/>
        </w:rPr>
        <w:t>. נוכח האמור, ה</w:t>
      </w:r>
      <w:r w:rsidR="00056C59">
        <w:rPr>
          <w:rFonts w:hint="cs"/>
          <w:rtl/>
        </w:rPr>
        <w:t>וסיפו ו</w:t>
      </w:r>
      <w:r w:rsidRPr="00784C6F">
        <w:rPr>
          <w:rtl/>
        </w:rPr>
        <w:t xml:space="preserve">ביקשו שגדרי שיקול הדעת הנתון למדינה יובהר במסגרת פסק הדין בדיון הנוסף. </w:t>
      </w:r>
    </w:p>
    <w:p w:rsidR="00E1330B" w:rsidRPr="00784C6F" w:rsidRDefault="00E1330B" w:rsidP="00E1330B">
      <w:pPr>
        <w:pStyle w:val="Ruller41"/>
        <w:rPr>
          <w:rtl/>
        </w:rPr>
      </w:pPr>
    </w:p>
    <w:p w:rsidR="00E1330B" w:rsidRPr="00784C6F" w:rsidRDefault="00E1330B" w:rsidP="00E1330B">
      <w:pPr>
        <w:pStyle w:val="1"/>
        <w:rPr>
          <w:rtl/>
        </w:rPr>
      </w:pPr>
      <w:r w:rsidRPr="00784C6F">
        <w:rPr>
          <w:rtl/>
        </w:rPr>
        <w:t>דיון והכרעה</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השאלה שעומדת לפתחנו היא אפוא אם אלמנתו של זכאי שבות</w:t>
      </w:r>
      <w:r w:rsidRPr="00784C6F">
        <w:rPr>
          <w:rFonts w:hint="cs"/>
          <w:rtl/>
        </w:rPr>
        <w:t xml:space="preserve"> </w:t>
      </w:r>
      <w:r w:rsidRPr="00784C6F">
        <w:rPr>
          <w:rtl/>
        </w:rPr>
        <w:t xml:space="preserve">זכאית למעמד מכוח סעיף 4א(א) לחוק השבות. אקדים אחרית לראשית ואומר כי הגעתי למסקנה שיש להשיב לשאלה האמורה בחיוב, והכל כפי שיתואר להלן. מתווה הדיון יהיה כדלקמן: תחילה אציג את התשתית הנורמטיבית לעניין סעיף 4א לחוק השבות וכן את התשתית המשפטית למלאכת הפרשנות התכליתית. בהמשך אפנה לבחינת פרשנותו של סעיף 4א לחוק השבות. </w:t>
      </w:r>
    </w:p>
    <w:p w:rsidR="00E1330B" w:rsidRPr="00784C6F" w:rsidRDefault="00E1330B" w:rsidP="00E1330B">
      <w:pPr>
        <w:pStyle w:val="Ruller41"/>
        <w:rPr>
          <w:rtl/>
        </w:rPr>
      </w:pPr>
    </w:p>
    <w:p w:rsidR="00E1330B" w:rsidRDefault="00EE42DD" w:rsidP="00EE42DD">
      <w:pPr>
        <w:pStyle w:val="Ruller4"/>
        <w:numPr>
          <w:ilvl w:val="0"/>
          <w:numId w:val="0"/>
        </w:numPr>
        <w:rPr>
          <w:rtl/>
        </w:rPr>
      </w:pPr>
      <w:r>
        <w:rPr>
          <w:rtl/>
        </w:rPr>
        <w:tab/>
      </w:r>
      <w:r w:rsidR="00E1330B" w:rsidRPr="00784C6F">
        <w:rPr>
          <w:rtl/>
        </w:rPr>
        <w:t xml:space="preserve">בפתח הדברים, אבקש להתייחס לטענת המדינה שלפיה פסק הדין נושא הדיון הנוסף סותר במשתמע הלכה קיימת. בהקשר זה הפנתה המדינה לשני פסקי דין במסגרתם נמחקו </w:t>
      </w:r>
      <w:r w:rsidR="00E1330B" w:rsidRPr="00784C6F">
        <w:rPr>
          <w:rFonts w:hint="cs"/>
          <w:rtl/>
        </w:rPr>
        <w:t xml:space="preserve">בהסכמה </w:t>
      </w:r>
      <w:r w:rsidR="00E1330B" w:rsidRPr="00784C6F">
        <w:rPr>
          <w:rtl/>
        </w:rPr>
        <w:t>עתירות של אלמנות של זכאי שבות (בג"ץ 46</w:t>
      </w:r>
      <w:r w:rsidR="00E1330B" w:rsidRPr="00784C6F">
        <w:rPr>
          <w:rFonts w:hint="cs"/>
          <w:rtl/>
        </w:rPr>
        <w:t>83</w:t>
      </w:r>
      <w:r w:rsidR="00E1330B" w:rsidRPr="00784C6F">
        <w:rPr>
          <w:rtl/>
        </w:rPr>
        <w:t xml:space="preserve">/18 </w:t>
      </w:r>
      <w:r w:rsidR="00E1330B" w:rsidRPr="00784C6F">
        <w:rPr>
          <w:rFonts w:ascii="Century" w:hAnsi="Century" w:cs="Miriam"/>
          <w:b/>
          <w:spacing w:val="0"/>
          <w:sz w:val="22"/>
          <w:szCs w:val="24"/>
          <w:rtl/>
        </w:rPr>
        <w:t>נצ'פורנקו נ' שר הפנים</w:t>
      </w:r>
      <w:r w:rsidR="00E1330B" w:rsidRPr="00784C6F">
        <w:rPr>
          <w:rtl/>
        </w:rPr>
        <w:t xml:space="preserve"> (5.12.2019); (להלן: עניין </w:t>
      </w:r>
      <w:r w:rsidR="00E1330B" w:rsidRPr="00784C6F">
        <w:rPr>
          <w:rFonts w:ascii="Century" w:hAnsi="Century" w:cs="Miriam"/>
          <w:b/>
          <w:spacing w:val="0"/>
          <w:sz w:val="22"/>
          <w:szCs w:val="24"/>
          <w:rtl/>
        </w:rPr>
        <w:t>נצ'פורנקו</w:t>
      </w:r>
      <w:r w:rsidR="00E1330B" w:rsidRPr="00784C6F">
        <w:rPr>
          <w:rFonts w:ascii="Century" w:hAnsi="Century"/>
          <w:sz w:val="22"/>
          <w:rtl/>
        </w:rPr>
        <w:t xml:space="preserve">); </w:t>
      </w:r>
      <w:r w:rsidR="00E1330B" w:rsidRPr="00784C6F">
        <w:rPr>
          <w:rtl/>
        </w:rPr>
        <w:t xml:space="preserve">עניין </w:t>
      </w:r>
      <w:r w:rsidR="00E1330B" w:rsidRPr="00784C6F">
        <w:rPr>
          <w:rFonts w:ascii="Century" w:hAnsi="Century" w:cs="Miriam"/>
          <w:b/>
          <w:spacing w:val="0"/>
          <w:sz w:val="22"/>
          <w:szCs w:val="24"/>
          <w:rtl/>
        </w:rPr>
        <w:t>דידנקו</w:t>
      </w:r>
      <w:r w:rsidR="00E1330B" w:rsidRPr="00784C6F">
        <w:rPr>
          <w:rtl/>
        </w:rPr>
        <w:t xml:space="preserve">). המדינה טענה כי מאחר שפרשנותה </w:t>
      </w:r>
      <w:r w:rsidR="00E1330B" w:rsidRPr="00784C6F">
        <w:rPr>
          <w:rFonts w:hint="cs"/>
          <w:rtl/>
        </w:rPr>
        <w:t xml:space="preserve">אשר שוללת את תחולת </w:t>
      </w:r>
      <w:r w:rsidR="00E1330B" w:rsidRPr="00784C6F">
        <w:rPr>
          <w:rtl/>
        </w:rPr>
        <w:t xml:space="preserve">סעיף 4א(א) </w:t>
      </w:r>
      <w:r w:rsidR="00E1330B" w:rsidRPr="00784C6F">
        <w:rPr>
          <w:rFonts w:hint="cs"/>
          <w:rtl/>
        </w:rPr>
        <w:t>ביחס</w:t>
      </w:r>
      <w:r w:rsidR="00E1330B" w:rsidRPr="00784C6F">
        <w:rPr>
          <w:rtl/>
        </w:rPr>
        <w:t xml:space="preserve"> </w:t>
      </w:r>
      <w:r w:rsidR="00E1330B" w:rsidRPr="00784C6F">
        <w:rPr>
          <w:rFonts w:hint="cs"/>
          <w:rtl/>
        </w:rPr>
        <w:t>ל</w:t>
      </w:r>
      <w:r w:rsidR="00E1330B" w:rsidRPr="00784C6F">
        <w:rPr>
          <w:rtl/>
        </w:rPr>
        <w:t xml:space="preserve">אלמנות של זכאי שבות הוצגה בהליכים אלו, ובית המשפט לא מצא להתערב בה, ההלכה שנקבעה בפסק הדין נושא הדיון הנוסף סותרת הלכות קיימות – גם אם לא מפורשות. אין בידי לקבל טענה זו של המדינה. הן בעניין </w:t>
      </w:r>
      <w:r w:rsidR="00E1330B" w:rsidRPr="00784C6F">
        <w:rPr>
          <w:rFonts w:ascii="Century" w:hAnsi="Century" w:cs="Miriam"/>
          <w:b/>
          <w:spacing w:val="0"/>
          <w:sz w:val="22"/>
          <w:szCs w:val="24"/>
          <w:rtl/>
        </w:rPr>
        <w:t>נצ'פורנקו</w:t>
      </w:r>
      <w:r w:rsidR="00E1330B" w:rsidRPr="00784C6F">
        <w:rPr>
          <w:rtl/>
        </w:rPr>
        <w:t xml:space="preserve">, הן בעניין </w:t>
      </w:r>
      <w:r w:rsidR="00E1330B" w:rsidRPr="00784C6F">
        <w:rPr>
          <w:rFonts w:ascii="Century" w:hAnsi="Century" w:cs="Miriam"/>
          <w:b/>
          <w:spacing w:val="0"/>
          <w:sz w:val="22"/>
          <w:szCs w:val="24"/>
          <w:rtl/>
        </w:rPr>
        <w:t>דידנקו</w:t>
      </w:r>
      <w:r w:rsidR="00E1330B" w:rsidRPr="00784C6F">
        <w:rPr>
          <w:rtl/>
        </w:rPr>
        <w:t xml:space="preserve"> העתירות נמחקו בהסכמת ה</w:t>
      </w:r>
      <w:r w:rsidR="00E1330B" w:rsidRPr="00784C6F">
        <w:rPr>
          <w:rFonts w:hint="cs"/>
          <w:rtl/>
        </w:rPr>
        <w:t>עותרות</w:t>
      </w:r>
      <w:r w:rsidR="00E1330B" w:rsidRPr="00784C6F">
        <w:rPr>
          <w:rtl/>
        </w:rPr>
        <w:t xml:space="preserve">. ברי כי מקום שבו </w:t>
      </w:r>
      <w:r w:rsidR="00E1330B" w:rsidRPr="00784C6F">
        <w:rPr>
          <w:rFonts w:hint="cs"/>
          <w:rtl/>
        </w:rPr>
        <w:t>העותר</w:t>
      </w:r>
      <w:r w:rsidR="00E1330B" w:rsidRPr="00784C6F">
        <w:rPr>
          <w:rtl/>
        </w:rPr>
        <w:t xml:space="preserve"> לא עומד עוד על עתירתו לאחר שנמצא פתרון שמוסכם עליו, אין במחיקת העתירה לבקשתו משום הבעת עמדה, ולו משתמעת, לגופן של הטענות שהועלו על ידי הצדדים. </w:t>
      </w:r>
    </w:p>
    <w:p w:rsidR="00E1330B" w:rsidRPr="00784C6F" w:rsidRDefault="00E1330B" w:rsidP="00E1330B">
      <w:pPr>
        <w:pStyle w:val="1"/>
        <w:rPr>
          <w:rtl/>
        </w:rPr>
      </w:pPr>
      <w:r w:rsidRPr="00784C6F">
        <w:rPr>
          <w:rtl/>
        </w:rPr>
        <w:lastRenderedPageBreak/>
        <w:t>התשתית הנורמטיבית</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חוק השבות הוא אחד מהחוק</w:t>
      </w:r>
      <w:r w:rsidR="00E4678E">
        <w:rPr>
          <w:rtl/>
        </w:rPr>
        <w:t>ים היסודיים של מדינת ישראל ו</w:t>
      </w:r>
      <w:r w:rsidRPr="00784C6F">
        <w:rPr>
          <w:rtl/>
        </w:rPr>
        <w:t xml:space="preserve">מהווה ביטוי מובהק להיותה מדינה יהודית, לצד היותה מדינה דמוקרטית. פעמים רבות הדגיש בית משפט זה את חשיבותו וייחודו של החוק, שמבטא את זכות ההגדרה העצמית של עם ישראל ושיש בו להגשים את הייעוד המרכזי של המדינה, כמדינת קיבוץ גלויות (בג"ץ 2597/99 </w:t>
      </w:r>
      <w:r w:rsidRPr="00784C6F">
        <w:rPr>
          <w:rFonts w:ascii="Century" w:hAnsi="Century" w:cs="Miriam"/>
          <w:b/>
          <w:spacing w:val="0"/>
          <w:sz w:val="22"/>
          <w:szCs w:val="24"/>
          <w:rtl/>
        </w:rPr>
        <w:t>טושביים נ' שר הפנים</w:t>
      </w:r>
      <w:r w:rsidRPr="00784C6F">
        <w:rPr>
          <w:rtl/>
        </w:rPr>
        <w:t>, פ"ד נח(5) 412, 426-427 (2004)</w:t>
      </w:r>
      <w:r w:rsidRPr="00784C6F">
        <w:rPr>
          <w:rFonts w:hint="cs"/>
          <w:rtl/>
        </w:rPr>
        <w:t xml:space="preserve"> (להלן: עניין </w:t>
      </w:r>
      <w:r w:rsidRPr="00784C6F">
        <w:rPr>
          <w:rFonts w:ascii="Century" w:hAnsi="Century" w:cs="Miriam"/>
          <w:b/>
          <w:spacing w:val="0"/>
          <w:sz w:val="22"/>
          <w:szCs w:val="24"/>
          <w:rtl/>
        </w:rPr>
        <w:t>טושביים</w:t>
      </w:r>
      <w:r w:rsidRPr="00784C6F">
        <w:rPr>
          <w:rFonts w:hint="cs"/>
          <w:rtl/>
        </w:rPr>
        <w:t>)</w:t>
      </w:r>
      <w:r w:rsidRPr="00784C6F">
        <w:rPr>
          <w:rtl/>
        </w:rPr>
        <w:t xml:space="preserve">; כן ראו: בג"ץ 1188/10 </w:t>
      </w:r>
      <w:r w:rsidRPr="00784C6F">
        <w:rPr>
          <w:rFonts w:ascii="Century" w:hAnsi="Century" w:cs="Miriam"/>
          <w:b/>
          <w:spacing w:val="0"/>
          <w:sz w:val="22"/>
          <w:szCs w:val="24"/>
          <w:rtl/>
        </w:rPr>
        <w:t>פוזרסקי נ' משרד הפנים</w:t>
      </w:r>
      <w:r w:rsidRPr="00784C6F">
        <w:rPr>
          <w:rFonts w:ascii="Century" w:hAnsi="Century"/>
          <w:sz w:val="22"/>
          <w:rtl/>
        </w:rPr>
        <w:t>, פסקה 20</w:t>
      </w:r>
      <w:r w:rsidRPr="00784C6F">
        <w:rPr>
          <w:rFonts w:ascii="Century" w:hAnsi="Century" w:cs="Miriam"/>
          <w:b/>
          <w:spacing w:val="0"/>
          <w:sz w:val="22"/>
          <w:szCs w:val="24"/>
          <w:rtl/>
        </w:rPr>
        <w:t xml:space="preserve"> </w:t>
      </w:r>
      <w:r w:rsidRPr="00784C6F">
        <w:rPr>
          <w:rtl/>
        </w:rPr>
        <w:t xml:space="preserve">(31.7.2013) (להלן: עניין </w:t>
      </w:r>
      <w:r w:rsidRPr="00784C6F">
        <w:rPr>
          <w:rFonts w:ascii="Century" w:hAnsi="Century" w:cs="Miriam"/>
          <w:b/>
          <w:spacing w:val="0"/>
          <w:sz w:val="22"/>
          <w:szCs w:val="24"/>
          <w:rtl/>
        </w:rPr>
        <w:t>פוזרסקי</w:t>
      </w:r>
      <w:r w:rsidRPr="00784C6F">
        <w:rPr>
          <w:rtl/>
        </w:rPr>
        <w:t xml:space="preserve">); עניין </w:t>
      </w:r>
      <w:r w:rsidRPr="00784C6F">
        <w:rPr>
          <w:rFonts w:ascii="Century" w:hAnsi="Century" w:cs="Miriam"/>
          <w:b/>
          <w:spacing w:val="0"/>
          <w:sz w:val="22"/>
          <w:szCs w:val="24"/>
          <w:rtl/>
        </w:rPr>
        <w:t>גורודצקי</w:t>
      </w:r>
      <w:r w:rsidRPr="00784C6F">
        <w:rPr>
          <w:rtl/>
        </w:rPr>
        <w:t xml:space="preserve">, פסקה 15; בג"ץ 265/87 </w:t>
      </w:r>
      <w:r w:rsidRPr="00784C6F">
        <w:rPr>
          <w:rFonts w:ascii="Century" w:hAnsi="Century" w:cs="Miriam"/>
          <w:b/>
          <w:spacing w:val="0"/>
          <w:sz w:val="22"/>
          <w:szCs w:val="24"/>
          <w:rtl/>
        </w:rPr>
        <w:t>ברספורד נ' משרד הפנים</w:t>
      </w:r>
      <w:r w:rsidRPr="00784C6F">
        <w:rPr>
          <w:rtl/>
        </w:rPr>
        <w:t xml:space="preserve">, פ"ד מג(4) 793, 845 (1989) (להלן: עניין </w:t>
      </w:r>
      <w:r w:rsidRPr="00784C6F">
        <w:rPr>
          <w:rFonts w:ascii="Century" w:hAnsi="Century" w:cs="Miriam"/>
          <w:b/>
          <w:spacing w:val="0"/>
          <w:sz w:val="22"/>
          <w:szCs w:val="24"/>
          <w:rtl/>
        </w:rPr>
        <w:t>ברספורד</w:t>
      </w:r>
      <w:r w:rsidRPr="00784C6F">
        <w:rPr>
          <w:rtl/>
        </w:rPr>
        <w:t xml:space="preserve">); מיכאל קורינאלדי </w:t>
      </w:r>
      <w:r w:rsidRPr="00784C6F">
        <w:rPr>
          <w:rFonts w:ascii="Century" w:hAnsi="Century" w:cs="Miriam"/>
          <w:b/>
          <w:spacing w:val="0"/>
          <w:sz w:val="22"/>
          <w:szCs w:val="24"/>
          <w:rtl/>
        </w:rPr>
        <w:t>חידת הזהות היהודית – חוק השבות – הלכה למעשה</w:t>
      </w:r>
      <w:r w:rsidRPr="00784C6F">
        <w:rPr>
          <w:rtl/>
        </w:rPr>
        <w:t xml:space="preserve"> 13 (2001) (להלן: </w:t>
      </w:r>
      <w:r w:rsidRPr="00784C6F">
        <w:rPr>
          <w:rFonts w:ascii="Century" w:hAnsi="Century" w:cs="Miriam"/>
          <w:b/>
          <w:spacing w:val="0"/>
          <w:sz w:val="22"/>
          <w:szCs w:val="24"/>
          <w:rtl/>
        </w:rPr>
        <w:t>קורינאלדי</w:t>
      </w:r>
      <w:r w:rsidRPr="00784C6F">
        <w:rPr>
          <w:rtl/>
        </w:rPr>
        <w:t xml:space="preserve">)). סעיף 1, הוא </w:t>
      </w:r>
      <w:r w:rsidRPr="00784C6F">
        <w:rPr>
          <w:rFonts w:hint="cs"/>
          <w:rtl/>
        </w:rPr>
        <w:t>"</w:t>
      </w:r>
      <w:r w:rsidRPr="00784C6F">
        <w:rPr>
          <w:rtl/>
        </w:rPr>
        <w:t>סעיף התשתית</w:t>
      </w:r>
      <w:r w:rsidRPr="00784C6F">
        <w:rPr>
          <w:rFonts w:hint="cs"/>
          <w:rtl/>
        </w:rPr>
        <w:t>" של החוק</w:t>
      </w:r>
      <w:r w:rsidRPr="00784C6F">
        <w:rPr>
          <w:rtl/>
        </w:rPr>
        <w:t xml:space="preserve">, קובע את זכותו של יהודי לעלות לישראל. אשרת עולה או תעודת עולה תינתן ליהודי אשר "הביע את רצונו להשתקע בישראל" (סעיפים 2 ו-3 לחוק). זאת, למעט אם מצא שר הפנים כי המבקש מקיים את אחד הסייגים הקבועים בסעיף 2(ב) לחוק, הכוללים פעילות נגד העם היהודי; אפשרות לסיכון בריאות הציבור או ביטחון המדינה; וכן עבר פלילי שעלול לסכן את שלום הציבור. סעיף 2(א) לחוק האזרחות, התשי"ב-1952 </w:t>
      </w:r>
      <w:r w:rsidRPr="00784C6F">
        <w:rPr>
          <w:rFonts w:hint="cs"/>
          <w:rtl/>
        </w:rPr>
        <w:t xml:space="preserve">(להלן: </w:t>
      </w:r>
      <w:r w:rsidRPr="00784C6F">
        <w:rPr>
          <w:rFonts w:ascii="Century" w:hAnsi="Century" w:cs="Miriam" w:hint="eastAsia"/>
          <w:b/>
          <w:spacing w:val="0"/>
          <w:sz w:val="22"/>
          <w:szCs w:val="24"/>
          <w:rtl/>
        </w:rPr>
        <w:t>חוק</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האזרחות</w:t>
      </w:r>
      <w:r w:rsidRPr="00784C6F">
        <w:rPr>
          <w:rFonts w:hint="cs"/>
          <w:rtl/>
        </w:rPr>
        <w:t xml:space="preserve">) </w:t>
      </w:r>
      <w:r w:rsidRPr="00784C6F">
        <w:rPr>
          <w:rtl/>
        </w:rPr>
        <w:t>מוסיף וקובע כי עולה לפי חוק השבות זכאי לאזרחות ישראלית. מלבד הסייגים שפורטו כאמור, ובשונה משיקול הדעת הרחב שנתון לשר הפנים בהפעלת סמכויותיו לפי חוק הכניסה לישראל, התשי"ב-1952, שיקול הדע</w:t>
      </w:r>
      <w:r w:rsidRPr="00784C6F">
        <w:rPr>
          <w:rFonts w:hint="cs"/>
          <w:rtl/>
        </w:rPr>
        <w:t>ת</w:t>
      </w:r>
      <w:r w:rsidRPr="00784C6F">
        <w:rPr>
          <w:rtl/>
        </w:rPr>
        <w:t xml:space="preserve"> </w:t>
      </w:r>
      <w:r w:rsidRPr="00784C6F">
        <w:rPr>
          <w:rFonts w:hint="cs"/>
          <w:rtl/>
        </w:rPr>
        <w:t>המוקנה לצורך</w:t>
      </w:r>
      <w:r w:rsidRPr="00784C6F">
        <w:rPr>
          <w:rtl/>
        </w:rPr>
        <w:t xml:space="preserve"> הפעלת חוק השבות הוא מצומצם. בעניין </w:t>
      </w:r>
      <w:r w:rsidRPr="00784C6F">
        <w:rPr>
          <w:rFonts w:ascii="Century" w:hAnsi="Century" w:cs="Miriam"/>
          <w:b/>
          <w:spacing w:val="0"/>
          <w:sz w:val="22"/>
          <w:szCs w:val="24"/>
          <w:rtl/>
        </w:rPr>
        <w:t>סטמקה</w:t>
      </w:r>
      <w:r w:rsidRPr="00784C6F">
        <w:rPr>
          <w:rtl/>
        </w:rPr>
        <w:t xml:space="preserve"> התייחס לכך השופט </w:t>
      </w:r>
      <w:r w:rsidRPr="00784C6F">
        <w:rPr>
          <w:rFonts w:ascii="Century" w:hAnsi="Century" w:cs="Miriam"/>
          <w:b/>
          <w:spacing w:val="0"/>
          <w:sz w:val="22"/>
          <w:szCs w:val="24"/>
          <w:rtl/>
        </w:rPr>
        <w:t>מ' חשין</w:t>
      </w:r>
      <w:r w:rsidRPr="00784C6F">
        <w:rPr>
          <w:rtl/>
        </w:rPr>
        <w:t xml:space="preserve"> בדברים הבאים: </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"זכות השבות מוענקת ליהודי – באשר יהודי הוא – והמאפיין העיקרי של הזכות הוא הנחרצות שבה, זכות שהיא כמעט זכות אבסולוטית. כל יהודי, באשר הוא שם, יכול וזכאי – לרצונו בלבד – לממש את זכות השבות, הזכות של </w:t>
      </w:r>
      <w:r w:rsidRPr="00784C6F">
        <w:rPr>
          <w:rFonts w:hint="cs"/>
          <w:rtl/>
        </w:rPr>
        <w:t>'</w:t>
      </w:r>
      <w:r w:rsidRPr="00784C6F">
        <w:rPr>
          <w:rtl/>
        </w:rPr>
        <w:t>ושבו בנים לגבולם</w:t>
      </w:r>
      <w:r w:rsidRPr="00784C6F">
        <w:rPr>
          <w:rFonts w:hint="cs"/>
          <w:rtl/>
        </w:rPr>
        <w:t>'</w:t>
      </w:r>
      <w:r w:rsidRPr="00784C6F">
        <w:rPr>
          <w:rtl/>
        </w:rPr>
        <w:t>. לבד מאותם חריגים – מצומצמים בהיקפם – אין להתנות על הזכות ואין לרשות שיקול-דעת אם תעניק, ואם לא תעניק זכות של שבות ליהודי המבקש לעלות ארצה. נחרצותה זו של הזכות מקורה בייחודיות שבה, בהיותה הביטוי המוחשי לקשר בין היהודי – באשר הוא – לבין ארץ-ישראל. יהודי מן ה</w:t>
      </w:r>
      <w:r w:rsidRPr="00784C6F">
        <w:rPr>
          <w:rFonts w:hint="cs"/>
          <w:rtl/>
        </w:rPr>
        <w:t>'</w:t>
      </w:r>
      <w:r w:rsidRPr="00784C6F">
        <w:rPr>
          <w:rtl/>
        </w:rPr>
        <w:t>גולה</w:t>
      </w:r>
      <w:r w:rsidRPr="00784C6F">
        <w:rPr>
          <w:rFonts w:hint="cs"/>
          <w:rtl/>
        </w:rPr>
        <w:t>'</w:t>
      </w:r>
      <w:r w:rsidRPr="00784C6F">
        <w:rPr>
          <w:rtl/>
        </w:rPr>
        <w:t xml:space="preserve"> המבקש להשתקע בארץ, אין הוא מהגר; </w:t>
      </w:r>
      <w:r w:rsidRPr="00784C6F">
        <w:rPr>
          <w:rFonts w:hint="cs"/>
          <w:rtl/>
        </w:rPr>
        <w:t>'</w:t>
      </w:r>
      <w:r w:rsidRPr="00784C6F">
        <w:rPr>
          <w:rtl/>
        </w:rPr>
        <w:t>עולה</w:t>
      </w:r>
      <w:r w:rsidRPr="00784C6F">
        <w:rPr>
          <w:rFonts w:hint="cs"/>
          <w:rtl/>
        </w:rPr>
        <w:t>'</w:t>
      </w:r>
      <w:r w:rsidRPr="00784C6F">
        <w:rPr>
          <w:rtl/>
        </w:rPr>
        <w:t xml:space="preserve"> הוא ארצה, </w:t>
      </w:r>
      <w:r w:rsidRPr="00784C6F">
        <w:rPr>
          <w:rFonts w:hint="cs"/>
          <w:rtl/>
        </w:rPr>
        <w:t>'</w:t>
      </w:r>
      <w:r w:rsidRPr="00784C6F">
        <w:rPr>
          <w:rtl/>
        </w:rPr>
        <w:t>שב</w:t>
      </w:r>
      <w:r w:rsidRPr="00784C6F">
        <w:rPr>
          <w:rFonts w:hint="cs"/>
          <w:rtl/>
        </w:rPr>
        <w:t>'</w:t>
      </w:r>
      <w:r w:rsidRPr="00784C6F">
        <w:rPr>
          <w:rtl/>
        </w:rPr>
        <w:t xml:space="preserve"> הוא ארצה, בבחינת ושבו בנים לגבולם" (בג"ץ 3648/97 </w:t>
      </w:r>
      <w:r w:rsidRPr="00784C6F">
        <w:rPr>
          <w:rFonts w:ascii="Century" w:hAnsi="Century" w:cs="Miriam"/>
          <w:b/>
          <w:spacing w:val="0"/>
          <w:szCs w:val="24"/>
          <w:rtl/>
        </w:rPr>
        <w:t>סטמקה נ' שר הפנים</w:t>
      </w:r>
      <w:r w:rsidRPr="00784C6F">
        <w:rPr>
          <w:rtl/>
        </w:rPr>
        <w:t xml:space="preserve">, פ"ד נג(2) 728, 751 (1999) (להלן: עניין </w:t>
      </w:r>
      <w:r w:rsidRPr="00784C6F">
        <w:rPr>
          <w:rFonts w:ascii="Century" w:hAnsi="Century" w:cs="Miriam"/>
          <w:b/>
          <w:spacing w:val="0"/>
          <w:szCs w:val="24"/>
          <w:rtl/>
        </w:rPr>
        <w:t>סטמקה</w:t>
      </w:r>
      <w:r w:rsidRPr="00784C6F">
        <w:rPr>
          <w:rtl/>
        </w:rPr>
        <w:t xml:space="preserve">; בקשה לדיון נוסף נדחתה – דנג"ץ 3063/99 </w:t>
      </w:r>
      <w:r w:rsidRPr="00784C6F">
        <w:rPr>
          <w:rFonts w:ascii="Century" w:hAnsi="Century" w:cs="Miriam"/>
          <w:b/>
          <w:spacing w:val="0"/>
          <w:szCs w:val="24"/>
          <w:rtl/>
        </w:rPr>
        <w:t>רביניקוב נ' שר הפנים</w:t>
      </w:r>
      <w:r w:rsidRPr="00784C6F">
        <w:rPr>
          <w:rtl/>
        </w:rPr>
        <w:t xml:space="preserve"> (22.8.2000) (להלן: </w:t>
      </w:r>
      <w:r w:rsidRPr="00784C6F">
        <w:rPr>
          <w:rFonts w:ascii="Century" w:hAnsi="Century" w:cs="Miriam"/>
          <w:b/>
          <w:spacing w:val="0"/>
          <w:szCs w:val="24"/>
          <w:rtl/>
        </w:rPr>
        <w:t>דיון נוסף סטמקה</w:t>
      </w:r>
      <w:r w:rsidRPr="00784C6F">
        <w:rPr>
          <w:rtl/>
        </w:rPr>
        <w:t>)</w:t>
      </w:r>
      <w:r w:rsidRPr="00784C6F">
        <w:rPr>
          <w:rFonts w:hint="cs"/>
          <w:rtl/>
        </w:rPr>
        <w:t>)</w:t>
      </w:r>
      <w:r w:rsidRPr="00784C6F">
        <w:rPr>
          <w:rtl/>
        </w:rPr>
        <w:t>.</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rPr>
          <w:rtl/>
        </w:rPr>
      </w:pPr>
      <w:r w:rsidRPr="00784C6F">
        <w:rPr>
          <w:rtl/>
        </w:rPr>
        <w:lastRenderedPageBreak/>
        <w:t>סעיף 4ב מגדיר יהודי לצרכי החוק כמי שנולד לאם יהודייה או שהתגייר, ואינו בן דת אחרת. ואולם, כאמור, זכות השבות אינה נתונה אך ליהודי, אלא גם לבני משפחתו הלא יהודיים. זכותם של בני המשפחה קבועה בסעיף 4א לחוק. נוכח חשיבות הוראות הסעיף לענייננו, אביאן כלשונן:</w:t>
      </w:r>
    </w:p>
    <w:p w:rsidR="00E1330B" w:rsidRPr="00784C6F" w:rsidRDefault="00E1330B" w:rsidP="00E1330B">
      <w:pPr>
        <w:pStyle w:val="Ruller41"/>
        <w:rPr>
          <w:rtl/>
        </w:rPr>
      </w:pPr>
    </w:p>
    <w:tbl>
      <w:tblPr>
        <w:bidiVisual/>
        <w:tblW w:w="0" w:type="auto"/>
        <w:tblInd w:w="1644" w:type="dxa"/>
        <w:tblLook w:val="04A0" w:firstRow="1" w:lastRow="0" w:firstColumn="1" w:lastColumn="0" w:noHBand="0" w:noVBand="1"/>
      </w:tblPr>
      <w:tblGrid>
        <w:gridCol w:w="837"/>
        <w:gridCol w:w="567"/>
        <w:gridCol w:w="3261"/>
      </w:tblGrid>
      <w:tr w:rsidR="00E1330B" w:rsidRPr="00784C6F" w:rsidTr="00C13F2E">
        <w:tc>
          <w:tcPr>
            <w:tcW w:w="708" w:type="dxa"/>
          </w:tcPr>
          <w:p w:rsidR="00E1330B" w:rsidRPr="00784C6F" w:rsidRDefault="00E1330B" w:rsidP="00C13F2E">
            <w:pPr>
              <w:pStyle w:val="Ruller41"/>
              <w:tabs>
                <w:tab w:val="clear" w:pos="800"/>
              </w:tabs>
              <w:spacing w:line="240" w:lineRule="auto"/>
              <w:rPr>
                <w:rFonts w:ascii="Miriam" w:hAnsi="Miriam" w:cs="Miriam"/>
                <w:sz w:val="28"/>
                <w:rtl/>
              </w:rPr>
            </w:pPr>
            <w:r w:rsidRPr="00784C6F">
              <w:rPr>
                <w:rFonts w:ascii="Miriam" w:hAnsi="Miriam" w:cs="Miriam" w:hint="eastAsia"/>
                <w:sz w:val="20"/>
                <w:szCs w:val="20"/>
                <w:rtl/>
              </w:rPr>
              <w:t>זכויות</w:t>
            </w:r>
            <w:r w:rsidRPr="00784C6F">
              <w:rPr>
                <w:rFonts w:ascii="Miriam" w:hAnsi="Miriam" w:cs="Miriam"/>
                <w:sz w:val="20"/>
                <w:szCs w:val="20"/>
                <w:rtl/>
              </w:rPr>
              <w:t xml:space="preserve"> </w:t>
            </w:r>
            <w:r w:rsidRPr="00784C6F">
              <w:rPr>
                <w:rFonts w:ascii="Miriam" w:hAnsi="Miriam" w:cs="Miriam" w:hint="eastAsia"/>
                <w:sz w:val="20"/>
                <w:szCs w:val="20"/>
                <w:rtl/>
              </w:rPr>
              <w:t>בני</w:t>
            </w:r>
            <w:r w:rsidRPr="00784C6F">
              <w:rPr>
                <w:rFonts w:ascii="Miriam" w:hAnsi="Miriam" w:cs="Miriam"/>
                <w:sz w:val="20"/>
                <w:szCs w:val="20"/>
                <w:rtl/>
              </w:rPr>
              <w:t xml:space="preserve"> </w:t>
            </w:r>
            <w:r w:rsidRPr="00784C6F">
              <w:rPr>
                <w:rFonts w:ascii="Miriam" w:hAnsi="Miriam" w:cs="Miriam" w:hint="eastAsia"/>
                <w:sz w:val="20"/>
                <w:szCs w:val="20"/>
                <w:rtl/>
              </w:rPr>
              <w:t>משפחה</w:t>
            </w:r>
          </w:p>
        </w:tc>
        <w:tc>
          <w:tcPr>
            <w:tcW w:w="567" w:type="dxa"/>
          </w:tcPr>
          <w:p w:rsidR="00E1330B" w:rsidRPr="00784C6F" w:rsidRDefault="00E1330B" w:rsidP="00C13F2E">
            <w:pPr>
              <w:pStyle w:val="Ruller41"/>
              <w:tabs>
                <w:tab w:val="clear" w:pos="800"/>
              </w:tabs>
              <w:spacing w:line="240" w:lineRule="auto"/>
              <w:rPr>
                <w:rFonts w:ascii="Century" w:hAnsi="Century"/>
                <w:sz w:val="28"/>
                <w:rtl/>
              </w:rPr>
            </w:pPr>
            <w:r w:rsidRPr="00784C6F">
              <w:rPr>
                <w:rFonts w:ascii="Century" w:hAnsi="Century" w:hint="cs"/>
                <w:sz w:val="28"/>
                <w:rtl/>
              </w:rPr>
              <w:t>4א.</w:t>
            </w:r>
          </w:p>
        </w:tc>
        <w:tc>
          <w:tcPr>
            <w:tcW w:w="3261" w:type="dxa"/>
          </w:tcPr>
          <w:p w:rsidR="00E1330B" w:rsidRPr="00784C6F" w:rsidRDefault="00E1330B" w:rsidP="00C13F2E">
            <w:pPr>
              <w:pStyle w:val="Ruller41"/>
              <w:spacing w:line="240" w:lineRule="auto"/>
              <w:rPr>
                <w:rFonts w:ascii="Century" w:hAnsi="Century"/>
                <w:rtl/>
              </w:rPr>
            </w:pPr>
            <w:r w:rsidRPr="00784C6F">
              <w:rPr>
                <w:rFonts w:ascii="Century" w:hAnsi="Century" w:hint="cs"/>
                <w:sz w:val="28"/>
                <w:rtl/>
              </w:rPr>
              <w:t xml:space="preserve">(א) </w:t>
            </w:r>
            <w:r w:rsidRPr="00784C6F">
              <w:rPr>
                <w:rFonts w:ascii="Century" w:hAnsi="Century"/>
                <w:rtl/>
              </w:rPr>
              <w:t xml:space="preserve">הזכויות של יהודי לפי חוק זה והזכויות של עולה לפי חוק האזרחות, תשי"ב-1952, וכן הזכויות של עולה לפי כל חיקוק אחר, מוקנות גם לילד ולנכד של יהודי, לבן זוג של יהודי </w:t>
            </w:r>
            <w:r w:rsidRPr="00784C6F">
              <w:rPr>
                <w:rFonts w:ascii="Century" w:hAnsi="Century" w:cs="Miriam"/>
                <w:b/>
                <w:spacing w:val="0"/>
                <w:szCs w:val="24"/>
                <w:rtl/>
              </w:rPr>
              <w:t>ולבן זוג של ילד ושל נכד של יהודי</w:t>
            </w:r>
            <w:r w:rsidRPr="00784C6F">
              <w:rPr>
                <w:rFonts w:ascii="Century" w:hAnsi="Century"/>
                <w:rtl/>
              </w:rPr>
              <w:t>; להוציא אדם שהיה יהודי והמיר דתו מרצון.</w:t>
            </w:r>
          </w:p>
          <w:p w:rsidR="00E1330B" w:rsidRPr="00784C6F" w:rsidRDefault="00E1330B" w:rsidP="00C13F2E">
            <w:pPr>
              <w:pStyle w:val="Ruller41"/>
              <w:tabs>
                <w:tab w:val="clear" w:pos="800"/>
              </w:tabs>
              <w:spacing w:line="240" w:lineRule="auto"/>
              <w:rPr>
                <w:rFonts w:ascii="Century" w:hAnsi="Century"/>
                <w:sz w:val="28"/>
                <w:rtl/>
              </w:rPr>
            </w:pPr>
            <w:r w:rsidRPr="00784C6F">
              <w:rPr>
                <w:rFonts w:ascii="Century" w:hAnsi="Century" w:hint="cs"/>
                <w:sz w:val="28"/>
                <w:rtl/>
              </w:rPr>
              <w:t xml:space="preserve">(ב) </w:t>
            </w:r>
            <w:r w:rsidRPr="00784C6F">
              <w:rPr>
                <w:rFonts w:ascii="Century" w:hAnsi="Century"/>
                <w:rtl/>
              </w:rPr>
              <w:t>אין נפקא מינה אם</w:t>
            </w:r>
            <w:r w:rsidRPr="00784C6F">
              <w:rPr>
                <w:rFonts w:ascii="Century" w:hAnsi="Century" w:cs="Miriam"/>
                <w:b/>
                <w:spacing w:val="0"/>
                <w:szCs w:val="24"/>
                <w:rtl/>
              </w:rPr>
              <w:t xml:space="preserve"> יהודי</w:t>
            </w:r>
            <w:r w:rsidRPr="00784C6F">
              <w:rPr>
                <w:rFonts w:ascii="Century" w:hAnsi="Century"/>
                <w:rtl/>
              </w:rPr>
              <w:t xml:space="preserve"> שמכוחו נתבעת זכות לפי סעיף קטן (א) עודו בחיים או לאו ואם עלה ארצה או לאו</w:t>
            </w:r>
            <w:r w:rsidRPr="00784C6F">
              <w:rPr>
                <w:rFonts w:ascii="Century" w:hAnsi="Century" w:hint="cs"/>
                <w:sz w:val="28"/>
                <w:rtl/>
              </w:rPr>
              <w:t>.</w:t>
            </w:r>
          </w:p>
          <w:p w:rsidR="00E1330B" w:rsidRPr="00784C6F" w:rsidRDefault="00E1330B" w:rsidP="00C13F2E">
            <w:pPr>
              <w:pStyle w:val="Ruller41"/>
              <w:tabs>
                <w:tab w:val="clear" w:pos="800"/>
              </w:tabs>
              <w:spacing w:line="240" w:lineRule="auto"/>
              <w:rPr>
                <w:rFonts w:ascii="Century" w:hAnsi="Century"/>
                <w:sz w:val="28"/>
                <w:rtl/>
              </w:rPr>
            </w:pPr>
            <w:r w:rsidRPr="00784C6F">
              <w:rPr>
                <w:rFonts w:ascii="Century" w:hAnsi="Century" w:hint="cs"/>
                <w:sz w:val="28"/>
                <w:rtl/>
              </w:rPr>
              <w:t>[...]</w:t>
            </w:r>
          </w:p>
          <w:p w:rsidR="00E1330B" w:rsidRPr="00784C6F" w:rsidRDefault="00E1330B" w:rsidP="00C13F2E">
            <w:pPr>
              <w:pStyle w:val="Ruller41"/>
              <w:tabs>
                <w:tab w:val="clear" w:pos="800"/>
              </w:tabs>
              <w:spacing w:line="240" w:lineRule="auto"/>
              <w:rPr>
                <w:rFonts w:ascii="Century" w:hAnsi="Century"/>
                <w:sz w:val="28"/>
                <w:rtl/>
              </w:rPr>
            </w:pPr>
          </w:p>
          <w:p w:rsidR="00E1330B" w:rsidRPr="00784C6F" w:rsidRDefault="00E1330B" w:rsidP="00C13F2E">
            <w:pPr>
              <w:pStyle w:val="Ruller41"/>
              <w:tabs>
                <w:tab w:val="clear" w:pos="800"/>
              </w:tabs>
              <w:spacing w:line="240" w:lineRule="auto"/>
              <w:rPr>
                <w:rFonts w:ascii="Century" w:hAnsi="Century"/>
                <w:sz w:val="28"/>
                <w:rtl/>
              </w:rPr>
            </w:pPr>
            <w:r w:rsidRPr="00784C6F">
              <w:rPr>
                <w:rFonts w:ascii="Century" w:hAnsi="Century" w:hint="cs"/>
                <w:sz w:val="28"/>
                <w:rtl/>
              </w:rPr>
              <w:t xml:space="preserve">(ההדגשות הוספו </w:t>
            </w:r>
            <w:r w:rsidRPr="00784C6F">
              <w:rPr>
                <w:rFonts w:ascii="Century" w:hAnsi="Century"/>
                <w:sz w:val="28"/>
                <w:rtl/>
              </w:rPr>
              <w:t>–</w:t>
            </w:r>
            <w:r w:rsidRPr="00784C6F">
              <w:rPr>
                <w:rFonts w:ascii="Century" w:hAnsi="Century" w:hint="cs"/>
                <w:sz w:val="28"/>
                <w:rtl/>
              </w:rPr>
              <w:t xml:space="preserve"> ע' פ')</w:t>
            </w:r>
          </w:p>
          <w:p w:rsidR="00E1330B" w:rsidRPr="00784C6F" w:rsidRDefault="00E1330B" w:rsidP="00C13F2E">
            <w:pPr>
              <w:pStyle w:val="Ruller41"/>
              <w:tabs>
                <w:tab w:val="clear" w:pos="800"/>
              </w:tabs>
              <w:spacing w:line="240" w:lineRule="auto"/>
              <w:rPr>
                <w:rFonts w:ascii="Century" w:hAnsi="Century"/>
                <w:sz w:val="28"/>
              </w:rPr>
            </w:pPr>
          </w:p>
        </w:tc>
      </w:tr>
    </w:tbl>
    <w:p w:rsidR="00E1330B" w:rsidRPr="00784C6F" w:rsidRDefault="00E1330B" w:rsidP="00E1330B">
      <w:pPr>
        <w:pStyle w:val="Ruller41"/>
      </w:pPr>
    </w:p>
    <w:p w:rsidR="00E1330B" w:rsidRPr="00784C6F" w:rsidRDefault="00E1330B" w:rsidP="00E1330B">
      <w:pPr>
        <w:pStyle w:val="Ruller41"/>
        <w:rPr>
          <w:rtl/>
        </w:rPr>
      </w:pPr>
      <w:r w:rsidRPr="00784C6F">
        <w:rPr>
          <w:rtl/>
        </w:rPr>
        <w:tab/>
        <w:t xml:space="preserve">הנה כי כן, סעיף 4א(א) קובע כי לבני המשפחה שמנויים בסעיף – ובהם בן זוג של ילד או של נכד של יהודי – </w:t>
      </w:r>
      <w:r w:rsidRPr="00784C6F">
        <w:rPr>
          <w:rFonts w:hint="cs"/>
          <w:rtl/>
        </w:rPr>
        <w:t>מוקנות</w:t>
      </w:r>
      <w:r w:rsidRPr="00784C6F">
        <w:rPr>
          <w:rtl/>
        </w:rPr>
        <w:t xml:space="preserve"> הזכויות שנתונות ליהודי לפי חוק השבות וכן הזכויות שנתונות לעולה לפי חוק האזרחות. סעיף 4א(ב) ממשיך וקובע כי זכות שמקורה ביהודי אינה תלויה בכך שהיהודי מימש את זכותו שלו, ו</w:t>
      </w:r>
      <w:r w:rsidRPr="00784C6F">
        <w:rPr>
          <w:rFonts w:hint="cs"/>
          <w:rtl/>
        </w:rPr>
        <w:t>היא תעמוד</w:t>
      </w:r>
      <w:r w:rsidRPr="00784C6F">
        <w:rPr>
          <w:rtl/>
        </w:rPr>
        <w:t xml:space="preserve"> לבן המשפחה גם אם </w:t>
      </w:r>
      <w:r w:rsidRPr="00784C6F">
        <w:rPr>
          <w:rFonts w:hint="cs"/>
          <w:rtl/>
        </w:rPr>
        <w:t>היהודי</w:t>
      </w:r>
      <w:r w:rsidRPr="00784C6F">
        <w:rPr>
          <w:rtl/>
        </w:rPr>
        <w:t xml:space="preserve"> נפטר או שלא עלה לארץ. מקורו של סעיף 4א בתיקון מס' 2 לחוק (חוק השבות (תיקון מס' 2) התש"ל-1970, ס"ח 582 </w:t>
      </w:r>
      <w:r w:rsidRPr="00784C6F">
        <w:rPr>
          <w:rFonts w:hint="cs"/>
          <w:rtl/>
        </w:rPr>
        <w:t>(</w:t>
      </w:r>
      <w:r w:rsidRPr="00784C6F">
        <w:rPr>
          <w:rtl/>
        </w:rPr>
        <w:t xml:space="preserve">להלן: </w:t>
      </w:r>
      <w:r w:rsidRPr="00784C6F">
        <w:rPr>
          <w:rFonts w:ascii="Century" w:hAnsi="Century" w:cs="Miriam"/>
          <w:b/>
          <w:spacing w:val="0"/>
          <w:szCs w:val="24"/>
          <w:rtl/>
        </w:rPr>
        <w:t>תיקון מס' 2</w:t>
      </w:r>
      <w:r w:rsidRPr="00784C6F">
        <w:rPr>
          <w:rtl/>
        </w:rPr>
        <w:t>)</w:t>
      </w:r>
      <w:r w:rsidRPr="00784C6F">
        <w:rPr>
          <w:rFonts w:hint="cs"/>
          <w:rtl/>
        </w:rPr>
        <w:t>, אליו אדרש בפירוט בהמשך</w:t>
      </w:r>
      <w:r w:rsidRPr="00784C6F">
        <w:rPr>
          <w:rtl/>
        </w:rPr>
        <w:t xml:space="preserve">), שבגדרו נוספה גם ההגדרה למונח "יהודי" לצרכי החוק.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במהלך השנים נדרש בית המשפט </w:t>
      </w:r>
      <w:r w:rsidRPr="00784C6F">
        <w:rPr>
          <w:rFonts w:hint="cs"/>
          <w:rtl/>
        </w:rPr>
        <w:t>לפרשנותו של</w:t>
      </w:r>
      <w:r w:rsidRPr="00784C6F">
        <w:rPr>
          <w:rtl/>
        </w:rPr>
        <w:t xml:space="preserve"> סעיף 4א(א)</w:t>
      </w:r>
      <w:r w:rsidRPr="00784C6F">
        <w:rPr>
          <w:rFonts w:hint="cs"/>
          <w:rtl/>
        </w:rPr>
        <w:t xml:space="preserve"> בהקשרים שונים</w:t>
      </w:r>
      <w:r w:rsidRPr="00784C6F">
        <w:rPr>
          <w:rtl/>
        </w:rPr>
        <w:t xml:space="preserve">. בעניין </w:t>
      </w:r>
      <w:r w:rsidRPr="00784C6F">
        <w:rPr>
          <w:rFonts w:ascii="Century" w:hAnsi="Century" w:cs="Miriam"/>
          <w:b/>
          <w:spacing w:val="0"/>
          <w:sz w:val="22"/>
          <w:szCs w:val="24"/>
          <w:rtl/>
        </w:rPr>
        <w:t xml:space="preserve">סטמקה </w:t>
      </w:r>
      <w:r w:rsidRPr="00784C6F">
        <w:rPr>
          <w:rtl/>
        </w:rPr>
        <w:t xml:space="preserve">נדונה שאלת תחולת </w:t>
      </w:r>
      <w:r w:rsidRPr="00784C6F">
        <w:rPr>
          <w:rFonts w:hint="cs"/>
          <w:rtl/>
        </w:rPr>
        <w:t>הסעיף כאשר</w:t>
      </w:r>
      <w:r w:rsidRPr="00784C6F">
        <w:rPr>
          <w:rtl/>
        </w:rPr>
        <w:t xml:space="preserve"> יהודי שהוא אזרח ישראל נישא לבת זוגו שאינה יהודייה.</w:t>
      </w:r>
      <w:r w:rsidRPr="00784C6F">
        <w:rPr>
          <w:rFonts w:hint="cs"/>
          <w:rtl/>
        </w:rPr>
        <w:t xml:space="preserve"> </w:t>
      </w:r>
      <w:r w:rsidRPr="00784C6F">
        <w:rPr>
          <w:rtl/>
        </w:rPr>
        <w:t>נקבע</w:t>
      </w:r>
      <w:r w:rsidRPr="00784C6F">
        <w:rPr>
          <w:rFonts w:hint="cs"/>
          <w:rtl/>
        </w:rPr>
        <w:t xml:space="preserve"> שבת זוג כאמור לא באה בגדרי חוק השבות, ובהתאם אזרח </w:t>
      </w:r>
      <w:r w:rsidRPr="00784C6F">
        <w:rPr>
          <w:rFonts w:hint="eastAsia"/>
          <w:rtl/>
        </w:rPr>
        <w:t>זר</w:t>
      </w:r>
      <w:r w:rsidRPr="00784C6F">
        <w:rPr>
          <w:rtl/>
        </w:rPr>
        <w:t xml:space="preserve"> </w:t>
      </w:r>
      <w:r w:rsidRPr="00784C6F">
        <w:rPr>
          <w:rFonts w:hint="cs"/>
          <w:rtl/>
        </w:rPr>
        <w:t xml:space="preserve">אשר </w:t>
      </w:r>
      <w:r w:rsidRPr="00784C6F">
        <w:rPr>
          <w:rFonts w:hint="eastAsia"/>
          <w:rtl/>
        </w:rPr>
        <w:t>נישא</w:t>
      </w:r>
      <w:r w:rsidRPr="00784C6F">
        <w:rPr>
          <w:rtl/>
        </w:rPr>
        <w:t xml:space="preserve"> </w:t>
      </w:r>
      <w:r w:rsidRPr="00784C6F">
        <w:rPr>
          <w:rFonts w:hint="eastAsia"/>
          <w:rtl/>
        </w:rPr>
        <w:t>לאזרח</w:t>
      </w:r>
      <w:r w:rsidRPr="00784C6F">
        <w:rPr>
          <w:rtl/>
        </w:rPr>
        <w:t xml:space="preserve"> </w:t>
      </w:r>
      <w:r w:rsidRPr="00784C6F">
        <w:rPr>
          <w:rFonts w:hint="eastAsia"/>
          <w:rtl/>
        </w:rPr>
        <w:t>ישראל</w:t>
      </w:r>
      <w:r w:rsidRPr="00784C6F">
        <w:rPr>
          <w:rtl/>
        </w:rPr>
        <w:t xml:space="preserve"> </w:t>
      </w:r>
      <w:r w:rsidRPr="00784C6F">
        <w:rPr>
          <w:rFonts w:hint="cs"/>
          <w:rtl/>
        </w:rPr>
        <w:t>לא</w:t>
      </w:r>
      <w:r w:rsidRPr="00784C6F">
        <w:rPr>
          <w:rtl/>
        </w:rPr>
        <w:t xml:space="preserve"> </w:t>
      </w:r>
      <w:r w:rsidRPr="00784C6F">
        <w:rPr>
          <w:rFonts w:hint="eastAsia"/>
          <w:rtl/>
        </w:rPr>
        <w:t>קונה</w:t>
      </w:r>
      <w:r w:rsidRPr="00784C6F">
        <w:rPr>
          <w:rtl/>
        </w:rPr>
        <w:t xml:space="preserve"> </w:t>
      </w:r>
      <w:r w:rsidRPr="00784C6F">
        <w:rPr>
          <w:rFonts w:hint="eastAsia"/>
          <w:rtl/>
        </w:rPr>
        <w:t>בעצם</w:t>
      </w:r>
      <w:r w:rsidRPr="00784C6F">
        <w:rPr>
          <w:rtl/>
        </w:rPr>
        <w:t xml:space="preserve"> </w:t>
      </w:r>
      <w:r w:rsidRPr="00784C6F">
        <w:rPr>
          <w:rFonts w:hint="eastAsia"/>
          <w:rtl/>
        </w:rPr>
        <w:t>נישואיו</w:t>
      </w:r>
      <w:r w:rsidRPr="00784C6F">
        <w:rPr>
          <w:rtl/>
        </w:rPr>
        <w:t xml:space="preserve"> </w:t>
      </w:r>
      <w:r w:rsidRPr="00784C6F">
        <w:rPr>
          <w:rFonts w:hint="eastAsia"/>
          <w:rtl/>
        </w:rPr>
        <w:t>זכות</w:t>
      </w:r>
      <w:r w:rsidRPr="00784C6F">
        <w:rPr>
          <w:rtl/>
        </w:rPr>
        <w:t xml:space="preserve"> </w:t>
      </w:r>
      <w:r w:rsidRPr="00784C6F">
        <w:rPr>
          <w:rFonts w:hint="eastAsia"/>
          <w:rtl/>
        </w:rPr>
        <w:t>להתאזרחות</w:t>
      </w:r>
      <w:r w:rsidRPr="00784C6F">
        <w:rPr>
          <w:rtl/>
        </w:rPr>
        <w:t xml:space="preserve">. כך נקבע באותו העניין: "אכן, אנשים שהיו משפחה קודם עלייתם ארצה, לא זו בלבד שלא נעשה להפרדה ביניהם, אלא שנעודד אותם לעלות ארצה כאיש אחד. זו תכליתו של סעיף 4א לחוק ותכלית זו נגשים במלואה. לא כן הוא דין במקרים מעין-אלה שלפנינו, שבהם יהודי ישראלי נושא לו לאישה לא-ישראלית לא-יהודייה. יהודי זה – בין שנולד בארץ בין </w:t>
      </w:r>
      <w:r w:rsidRPr="00784C6F">
        <w:rPr>
          <w:rtl/>
        </w:rPr>
        <w:lastRenderedPageBreak/>
        <w:t xml:space="preserve">שעלה ארצה בזמן-מן-הזמנים – זכותו לשבות מיצתה עצמה, וממילא אין לא-יהודי שיוכל לספח עצמו לזכות שאינה עוד בנמצא" (שם, בעמ' 757). קרי, </w:t>
      </w:r>
      <w:r w:rsidRPr="00784C6F">
        <w:rPr>
          <w:rFonts w:hint="cs"/>
          <w:rtl/>
        </w:rPr>
        <w:t>כעולה</w:t>
      </w:r>
      <w:r w:rsidRPr="00784C6F">
        <w:rPr>
          <w:rtl/>
        </w:rPr>
        <w:t xml:space="preserve"> </w:t>
      </w:r>
      <w:r w:rsidRPr="00784C6F">
        <w:rPr>
          <w:rFonts w:hint="cs"/>
          <w:rtl/>
        </w:rPr>
        <w:t>מ</w:t>
      </w:r>
      <w:r w:rsidRPr="00784C6F">
        <w:rPr>
          <w:rtl/>
        </w:rPr>
        <w:t xml:space="preserve">פסק הדין, השאלה </w:t>
      </w:r>
      <w:r w:rsidRPr="00784C6F">
        <w:rPr>
          <w:rFonts w:hint="cs"/>
          <w:rtl/>
        </w:rPr>
        <w:t>ה</w:t>
      </w:r>
      <w:r w:rsidRPr="00784C6F">
        <w:rPr>
          <w:rtl/>
        </w:rPr>
        <w:t xml:space="preserve">אם בת הזוג של יהודי באה בגדרי </w:t>
      </w:r>
      <w:r w:rsidRPr="00784C6F">
        <w:rPr>
          <w:rFonts w:hint="cs"/>
          <w:rtl/>
        </w:rPr>
        <w:t>החוק</w:t>
      </w:r>
      <w:r w:rsidRPr="00784C6F">
        <w:rPr>
          <w:rtl/>
        </w:rPr>
        <w:t xml:space="preserve"> תיבחן לפי העיתוי שבו נהפכו השניים לבני זוג</w:t>
      </w:r>
      <w:r w:rsidRPr="00784C6F">
        <w:rPr>
          <w:rFonts w:hint="cs"/>
          <w:rtl/>
        </w:rPr>
        <w:t>; במקרים שבהם</w:t>
      </w:r>
      <w:r w:rsidRPr="00784C6F">
        <w:rPr>
          <w:rtl/>
        </w:rPr>
        <w:t xml:space="preserve"> </w:t>
      </w:r>
      <w:r w:rsidRPr="00784C6F">
        <w:rPr>
          <w:rFonts w:hint="cs"/>
          <w:rtl/>
        </w:rPr>
        <w:t>בני הזוג נישאו</w:t>
      </w:r>
      <w:r w:rsidRPr="00784C6F">
        <w:rPr>
          <w:rtl/>
        </w:rPr>
        <w:t xml:space="preserve"> לאחר עלייתו של היהודי לישראל, לא נתונה ל</w:t>
      </w:r>
      <w:r w:rsidRPr="00784C6F">
        <w:rPr>
          <w:rFonts w:hint="cs"/>
          <w:rtl/>
        </w:rPr>
        <w:t>בת הזוג</w:t>
      </w:r>
      <w:r w:rsidRPr="00784C6F">
        <w:rPr>
          <w:rtl/>
        </w:rPr>
        <w:t xml:space="preserve"> זכות מכוח חוק</w:t>
      </w:r>
      <w:r w:rsidRPr="00784C6F">
        <w:rPr>
          <w:rFonts w:hint="cs"/>
          <w:rtl/>
        </w:rPr>
        <w:t xml:space="preserve"> השבות</w:t>
      </w:r>
      <w:r w:rsidRPr="00784C6F">
        <w:rPr>
          <w:rtl/>
        </w:rPr>
        <w:t xml:space="preserve">. </w:t>
      </w:r>
    </w:p>
    <w:p w:rsidR="00E1330B" w:rsidRPr="00784C6F" w:rsidRDefault="00E1330B" w:rsidP="00E1330B">
      <w:pPr>
        <w:pStyle w:val="Ruller4"/>
        <w:numPr>
          <w:ilvl w:val="0"/>
          <w:numId w:val="0"/>
        </w:numPr>
      </w:pPr>
    </w:p>
    <w:p w:rsidR="00E1330B" w:rsidRPr="00784C6F" w:rsidRDefault="00E1330B" w:rsidP="00E1330B">
      <w:pPr>
        <w:pStyle w:val="Ruller4"/>
        <w:numPr>
          <w:ilvl w:val="0"/>
          <w:numId w:val="13"/>
        </w:numPr>
      </w:pPr>
      <w:r w:rsidRPr="00784C6F">
        <w:rPr>
          <w:rtl/>
        </w:rPr>
        <w:t xml:space="preserve">בעניין </w:t>
      </w:r>
      <w:r w:rsidRPr="00784C6F">
        <w:rPr>
          <w:rFonts w:ascii="Century" w:hAnsi="Century" w:cs="Miriam"/>
          <w:b/>
          <w:spacing w:val="0"/>
          <w:sz w:val="22"/>
          <w:szCs w:val="24"/>
          <w:rtl/>
        </w:rPr>
        <w:t>פוזרסקי</w:t>
      </w:r>
      <w:r w:rsidRPr="00784C6F">
        <w:rPr>
          <w:rtl/>
        </w:rPr>
        <w:t xml:space="preserve"> נדונה עתירתו של יהודי אשר עלה לישראל מאוקראינה מכוח חוק השבות וקיבל אזרחות; לאחר מכן עזב את ישראל, חזר לאוקראינה ואף פעל לביטול אזרחותו הישראלית. בטרם אושרה בקשתו לביטול אזרחות, התחתן העותר עם אישה לא יהודייה, ולאחר ביטול האזרחות אף אימץ את ילדיה הקטינים. בחלוף מספר שנים, ביקש לעלות בשנית לישראל יחד עם משפחתו הכוללת את ילדיו ואשתו. המדינה סירבה ליתן מעמד לבני המשפחה לפי סעיף 4א(א), בטענה כי </w:t>
      </w:r>
      <w:r w:rsidRPr="00784C6F">
        <w:rPr>
          <w:rFonts w:hint="cs"/>
          <w:rtl/>
        </w:rPr>
        <w:t>שבעוד שזכאותו של היהודי לממש את זכות השבות אינה מוגבלת, המצב שונה ביחס לבני משפחתו: כאשר</w:t>
      </w:r>
      <w:r w:rsidRPr="00784C6F">
        <w:rPr>
          <w:rtl/>
        </w:rPr>
        <w:t xml:space="preserve"> היהודי כבר מימש את זכות העלייה ארצה וקיבל אזרחות ישראלית, מוצתה זכותו להקנות לבני משפחתו את זכות העלייה. בית המשפט קיבל את העתירה וקבע כי זכאותם של בני משפחתו של יהודי לשבות אינה מותנית בכך שהיהודי לא עלה ארצה בעבר.</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tl/>
        </w:rPr>
        <w:t>בנוסף, בשורה של פסקי דין הדגיש בית משפט זה כי יש לפרש את זכאותם של בני המשפחה ככזו שחלה אך בהתקיימם של קשרי משפחה מהותיים, להבדיל מקשרי משפחה פורמליים. נקבע</w:t>
      </w:r>
      <w:r w:rsidRPr="00784C6F">
        <w:rPr>
          <w:rFonts w:hint="cs"/>
          <w:rtl/>
        </w:rPr>
        <w:t xml:space="preserve"> ש</w:t>
      </w:r>
      <w:r w:rsidRPr="00784C6F">
        <w:rPr>
          <w:rtl/>
        </w:rPr>
        <w:t xml:space="preserve">כאשר התא המשפחתי שמכונן את זכאותו של קרוב המשפחה מתפרק – </w:t>
      </w:r>
      <w:r w:rsidRPr="00784C6F">
        <w:rPr>
          <w:rFonts w:hint="cs"/>
          <w:rtl/>
        </w:rPr>
        <w:t>זכאותו מכוח החוק נשללת</w:t>
      </w:r>
      <w:r w:rsidRPr="00784C6F">
        <w:rPr>
          <w:rtl/>
        </w:rPr>
        <w:t xml:space="preserve">. כך, בבג"ץ 8030/03‏ </w:t>
      </w:r>
      <w:r w:rsidRPr="00784C6F">
        <w:rPr>
          <w:rFonts w:cs="Miriam"/>
          <w:b/>
          <w:spacing w:val="0"/>
          <w:sz w:val="22"/>
          <w:szCs w:val="24"/>
          <w:rtl/>
        </w:rPr>
        <w:t>סמוילוב נ' משרד הפנים</w:t>
      </w:r>
      <w:r w:rsidRPr="00784C6F">
        <w:rPr>
          <w:rtl/>
        </w:rPr>
        <w:t xml:space="preserve">, פ"ד נח(6) 115 (2004) (להלן: עניין </w:t>
      </w:r>
      <w:r w:rsidRPr="00784C6F">
        <w:rPr>
          <w:rFonts w:cs="Miriam"/>
          <w:b/>
          <w:spacing w:val="0"/>
          <w:sz w:val="22"/>
          <w:szCs w:val="24"/>
          <w:rtl/>
        </w:rPr>
        <w:t>סמוילוב</w:t>
      </w:r>
      <w:r w:rsidRPr="00784C6F">
        <w:rPr>
          <w:sz w:val="22"/>
          <w:rtl/>
        </w:rPr>
        <w:t>)</w:t>
      </w:r>
      <w:r w:rsidRPr="00784C6F">
        <w:rPr>
          <w:rtl/>
        </w:rPr>
        <w:t xml:space="preserve">, נדונה בקשתם של אשתו בנפרד ובנו המאומץ של יהודי לקבל מעמד מכוח חוק השבות. בעניין זה, משרד הפנים ערך בדיקה לעניין כנות הקשר בין בני המשפחה, שלא הושלמה לאחר שנודע כי בני הזוג מצויים בהליך גירושים וכי הוגשה בקשה לביטול אימוצו של הבן. נקבע כי </w:t>
      </w:r>
      <w:r w:rsidRPr="00784C6F">
        <w:rPr>
          <w:rFonts w:hint="cs"/>
          <w:rtl/>
        </w:rPr>
        <w:t>אין לראות בהם כבני משפחה</w:t>
      </w:r>
      <w:r w:rsidRPr="00784C6F">
        <w:rPr>
          <w:rtl/>
        </w:rPr>
        <w:t xml:space="preserve"> </w:t>
      </w:r>
      <w:r w:rsidRPr="00784C6F">
        <w:rPr>
          <w:rFonts w:hint="cs"/>
          <w:rtl/>
        </w:rPr>
        <w:t>כהגדרתם</w:t>
      </w:r>
      <w:r w:rsidRPr="00784C6F">
        <w:rPr>
          <w:rtl/>
        </w:rPr>
        <w:t xml:space="preserve"> </w:t>
      </w:r>
      <w:r w:rsidRPr="00784C6F">
        <w:rPr>
          <w:rFonts w:hint="cs"/>
          <w:rtl/>
        </w:rPr>
        <w:t>ב</w:t>
      </w:r>
      <w:r w:rsidRPr="00784C6F">
        <w:rPr>
          <w:rtl/>
        </w:rPr>
        <w:t xml:space="preserve">חוק. בית המשפט הדגיש כי יש לפרש את סעיף 4א "פירוש לשוני דינמי" </w:t>
      </w:r>
      <w:r w:rsidRPr="00784C6F">
        <w:rPr>
          <w:rFonts w:hint="cs"/>
          <w:rtl/>
        </w:rPr>
        <w:t>ש</w:t>
      </w:r>
      <w:r w:rsidRPr="00784C6F">
        <w:rPr>
          <w:rtl/>
        </w:rPr>
        <w:t>עולה בקנה אחד עם תכליתו של החוק, כך שזכות השבות תוענק אך לבני משפחה שקשרו גורלם בגורלו של היהודי שחוק השבות חל עליו. קביעה זו השתרשה בפסיקה בבחינת זכאותם של בני המשפחה</w:t>
      </w:r>
      <w:r w:rsidRPr="00784C6F">
        <w:rPr>
          <w:rFonts w:hint="cs"/>
          <w:rtl/>
        </w:rPr>
        <w:t>, כפי שצוין באחת הפרשות</w:t>
      </w:r>
      <w:r w:rsidRPr="00784C6F">
        <w:rPr>
          <w:rtl/>
        </w:rPr>
        <w:t xml:space="preserve">: "כחוט השני עוברת בהלכה הפסוקה המסקנה לפיה השיקול העיקרי בפרשנותו של סעיף 4א(א) לחוק השבות הוא מהות וכנות הקשר שבין זכאי השבות לקרוביו, להבדיל ממעמדם הפורמאלי של האחרונים" (בג"ץ 5020/08 </w:t>
      </w:r>
      <w:r w:rsidRPr="00784C6F">
        <w:rPr>
          <w:rFonts w:ascii="Century" w:hAnsi="Century" w:cs="Miriam"/>
          <w:b/>
          <w:spacing w:val="0"/>
          <w:szCs w:val="24"/>
          <w:rtl/>
        </w:rPr>
        <w:t>פולטורצקי נ' מדינת ישראל</w:t>
      </w:r>
      <w:r w:rsidRPr="00784C6F">
        <w:rPr>
          <w:rtl/>
        </w:rPr>
        <w:t xml:space="preserve">, פסקה </w:t>
      </w:r>
      <w:r w:rsidRPr="00784C6F">
        <w:rPr>
          <w:rFonts w:hint="cs"/>
          <w:rtl/>
        </w:rPr>
        <w:t>19</w:t>
      </w:r>
      <w:r w:rsidRPr="00784C6F">
        <w:rPr>
          <w:rtl/>
        </w:rPr>
        <w:t xml:space="preserve"> (12.9.2013</w:t>
      </w:r>
      <w:r w:rsidRPr="00784C6F">
        <w:rPr>
          <w:rFonts w:hint="cs"/>
          <w:rtl/>
        </w:rPr>
        <w:t xml:space="preserve">) (להלן: עניין </w:t>
      </w:r>
      <w:r w:rsidRPr="00784C6F">
        <w:rPr>
          <w:rFonts w:ascii="Century" w:hAnsi="Century" w:cs="Miriam"/>
          <w:b/>
          <w:spacing w:val="0"/>
          <w:szCs w:val="24"/>
          <w:rtl/>
        </w:rPr>
        <w:t>פולטורצקי</w:t>
      </w:r>
      <w:r w:rsidRPr="00784C6F">
        <w:rPr>
          <w:rFonts w:hint="cs"/>
          <w:rtl/>
        </w:rPr>
        <w:t>)</w:t>
      </w:r>
      <w:r w:rsidRPr="00784C6F">
        <w:rPr>
          <w:rtl/>
        </w:rPr>
        <w:t xml:space="preserve">; כן ראו: בג"ץ 5517/16 </w:t>
      </w:r>
      <w:r w:rsidRPr="00784C6F">
        <w:rPr>
          <w:rFonts w:ascii="Century" w:hAnsi="Century" w:cs="Miriam"/>
          <w:b/>
          <w:spacing w:val="0"/>
          <w:szCs w:val="24"/>
          <w:rtl/>
        </w:rPr>
        <w:t>יעקובוב נ' שר הפנים</w:t>
      </w:r>
      <w:r w:rsidRPr="00784C6F">
        <w:rPr>
          <w:rtl/>
        </w:rPr>
        <w:t xml:space="preserve">, פסקאות 26-25 (24.4.2018); בג"ץ 7321/12 </w:t>
      </w:r>
      <w:r w:rsidRPr="00784C6F">
        <w:rPr>
          <w:rFonts w:ascii="Century" w:hAnsi="Century" w:cs="Miriam"/>
          <w:b/>
          <w:spacing w:val="0"/>
          <w:szCs w:val="24"/>
          <w:rtl/>
        </w:rPr>
        <w:t>לזרב נ' רשות האוכלוסין</w:t>
      </w:r>
      <w:r w:rsidRPr="00784C6F">
        <w:rPr>
          <w:rtl/>
        </w:rPr>
        <w:t xml:space="preserve">, פסקאות 12-11 (19.4.2017); </w:t>
      </w:r>
      <w:r w:rsidRPr="00784C6F">
        <w:rPr>
          <w:rtl/>
        </w:rPr>
        <w:lastRenderedPageBreak/>
        <w:t xml:space="preserve">בג"ץ 11406/03‏ </w:t>
      </w:r>
      <w:r w:rsidRPr="00784C6F">
        <w:rPr>
          <w:rFonts w:ascii="Century" w:hAnsi="Century" w:cs="Miriam"/>
          <w:b/>
          <w:spacing w:val="0"/>
          <w:szCs w:val="24"/>
          <w:rtl/>
        </w:rPr>
        <w:t>פרוסקורוב נ' שר הפנים</w:t>
      </w:r>
      <w:r w:rsidRPr="00784C6F">
        <w:rPr>
          <w:rtl/>
        </w:rPr>
        <w:t xml:space="preserve">, פסקה 6 (6.12.2004); ע"פ 3363/98 </w:t>
      </w:r>
      <w:r w:rsidRPr="00784C6F">
        <w:rPr>
          <w:rFonts w:ascii="Century" w:hAnsi="Century" w:cs="Miriam"/>
          <w:b/>
          <w:spacing w:val="0"/>
          <w:szCs w:val="24"/>
          <w:rtl/>
        </w:rPr>
        <w:t>קניאז'ינסקי נ' מדינת ישראל</w:t>
      </w:r>
      <w:r w:rsidRPr="00784C6F">
        <w:rPr>
          <w:rtl/>
        </w:rPr>
        <w:t xml:space="preserve">, פ"ד נג(2) 479, 489-488 (1999) (להלן: עניין </w:t>
      </w:r>
      <w:r w:rsidRPr="00784C6F">
        <w:rPr>
          <w:rFonts w:ascii="Century" w:hAnsi="Century" w:cs="Miriam"/>
          <w:b/>
          <w:spacing w:val="0"/>
          <w:szCs w:val="24"/>
          <w:rtl/>
        </w:rPr>
        <w:t>קניאז'ינסקי</w:t>
      </w:r>
      <w:r w:rsidRPr="00784C6F">
        <w:rPr>
          <w:rtl/>
        </w:rPr>
        <w:t>)</w:t>
      </w:r>
      <w:r w:rsidRPr="00784C6F">
        <w:rPr>
          <w:rFonts w:hint="cs"/>
          <w:rtl/>
        </w:rPr>
        <w:t>)</w:t>
      </w:r>
      <w:r w:rsidRPr="00784C6F">
        <w:rPr>
          <w:rtl/>
        </w:rPr>
        <w:t>. כמו כן, הובעה</w:t>
      </w:r>
      <w:r w:rsidRPr="00784C6F">
        <w:rPr>
          <w:rFonts w:hint="cs"/>
          <w:rtl/>
        </w:rPr>
        <w:t xml:space="preserve"> בפסיקה</w:t>
      </w:r>
      <w:r w:rsidRPr="00784C6F">
        <w:rPr>
          <w:rtl/>
        </w:rPr>
        <w:t xml:space="preserve"> עמדה שלפיה יש להכיר </w:t>
      </w:r>
      <w:r w:rsidRPr="00784C6F">
        <w:rPr>
          <w:rFonts w:hint="cs"/>
          <w:rtl/>
        </w:rPr>
        <w:t>בקשר הורות</w:t>
      </w:r>
      <w:r w:rsidRPr="00784C6F">
        <w:rPr>
          <w:rtl/>
        </w:rPr>
        <w:t xml:space="preserve"> כאשר ה</w:t>
      </w:r>
      <w:r w:rsidRPr="00784C6F">
        <w:rPr>
          <w:rFonts w:hint="cs"/>
          <w:rtl/>
        </w:rPr>
        <w:t>ו</w:t>
      </w:r>
      <w:r w:rsidRPr="00784C6F">
        <w:rPr>
          <w:rtl/>
        </w:rPr>
        <w:t>א מתקיי</w:t>
      </w:r>
      <w:r w:rsidRPr="00784C6F">
        <w:rPr>
          <w:rFonts w:hint="cs"/>
          <w:rtl/>
        </w:rPr>
        <w:t>ם</w:t>
      </w:r>
      <w:r w:rsidRPr="00784C6F">
        <w:rPr>
          <w:rtl/>
        </w:rPr>
        <w:t xml:space="preserve"> מבחינה מהותית, </w:t>
      </w:r>
      <w:r w:rsidRPr="00784C6F">
        <w:rPr>
          <w:rFonts w:hint="cs"/>
          <w:rtl/>
        </w:rPr>
        <w:t>אף</w:t>
      </w:r>
      <w:r w:rsidRPr="00784C6F">
        <w:rPr>
          <w:rtl/>
        </w:rPr>
        <w:t xml:space="preserve"> בנסיבות שבהן </w:t>
      </w:r>
      <w:r w:rsidRPr="00784C6F">
        <w:rPr>
          <w:rFonts w:hint="cs"/>
          <w:rtl/>
        </w:rPr>
        <w:t>לא הושלם הליך אימוץ</w:t>
      </w:r>
      <w:r w:rsidRPr="00784C6F">
        <w:rPr>
          <w:rtl/>
        </w:rPr>
        <w:t xml:space="preserve"> פורמל</w:t>
      </w:r>
      <w:r w:rsidRPr="00784C6F">
        <w:rPr>
          <w:rFonts w:hint="cs"/>
          <w:rtl/>
        </w:rPr>
        <w:t>י</w:t>
      </w:r>
      <w:r w:rsidRPr="00784C6F">
        <w:rPr>
          <w:rtl/>
        </w:rPr>
        <w:t xml:space="preserve"> (</w:t>
      </w:r>
      <w:r w:rsidRPr="00784C6F">
        <w:rPr>
          <w:rFonts w:hint="cs"/>
          <w:rtl/>
        </w:rPr>
        <w:t xml:space="preserve">עניין </w:t>
      </w:r>
      <w:r w:rsidRPr="00784C6F">
        <w:rPr>
          <w:rFonts w:ascii="Century" w:hAnsi="Century" w:cs="Miriam"/>
          <w:b/>
          <w:spacing w:val="0"/>
          <w:szCs w:val="24"/>
          <w:rtl/>
        </w:rPr>
        <w:t>פולטורצקי</w:t>
      </w:r>
      <w:r w:rsidRPr="00784C6F">
        <w:rPr>
          <w:rtl/>
        </w:rPr>
        <w:t>, פסקה 11; והשוו</w:t>
      </w:r>
      <w:r w:rsidRPr="00784C6F">
        <w:rPr>
          <w:rFonts w:hint="cs"/>
          <w:rtl/>
        </w:rPr>
        <w:t>:</w:t>
      </w:r>
      <w:r w:rsidRPr="00784C6F">
        <w:rPr>
          <w:rtl/>
        </w:rPr>
        <w:t xml:space="preserve"> פסקה כ לפסק דינו של השופט </w:t>
      </w:r>
      <w:r w:rsidRPr="00784C6F">
        <w:rPr>
          <w:rFonts w:ascii="Century" w:hAnsi="Century" w:cs="Miriam"/>
          <w:b/>
          <w:spacing w:val="0"/>
          <w:sz w:val="22"/>
          <w:szCs w:val="24"/>
          <w:rtl/>
        </w:rPr>
        <w:t>א' רובינשטיין</w:t>
      </w:r>
      <w:r w:rsidRPr="00784C6F">
        <w:rPr>
          <w:rtl/>
        </w:rPr>
        <w:t>).</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בעניין </w:t>
      </w:r>
      <w:r w:rsidRPr="00784C6F">
        <w:rPr>
          <w:rFonts w:ascii="Century" w:hAnsi="Century" w:cs="Miriam"/>
          <w:b/>
          <w:spacing w:val="0"/>
          <w:sz w:val="22"/>
          <w:szCs w:val="24"/>
          <w:rtl/>
        </w:rPr>
        <w:t>גורודצקי</w:t>
      </w:r>
      <w:r w:rsidRPr="00784C6F">
        <w:rPr>
          <w:rtl/>
        </w:rPr>
        <w:t>, שקביעותיו רלוונטיות במיוחד לענייננו, נדונה שאלת זכאותה של אלמנתו של יהודי אשר נישאה מחדש, וביקשה לקבל מעמד</w:t>
      </w:r>
      <w:r w:rsidRPr="00784C6F">
        <w:rPr>
          <w:rFonts w:hint="cs"/>
          <w:rtl/>
        </w:rPr>
        <w:t xml:space="preserve"> בישראל</w:t>
      </w:r>
      <w:r w:rsidRPr="00784C6F">
        <w:rPr>
          <w:rtl/>
        </w:rPr>
        <w:t xml:space="preserve"> מכוח חוק השבות. באותו העניין לא הייתה מחלוקת כי אין בעצם פטירתו של היהודי</w:t>
      </w:r>
      <w:r w:rsidRPr="00784C6F">
        <w:rPr>
          <w:rFonts w:hint="cs"/>
          <w:rtl/>
        </w:rPr>
        <w:t xml:space="preserve"> כדי</w:t>
      </w:r>
      <w:r w:rsidRPr="00784C6F">
        <w:rPr>
          <w:rtl/>
        </w:rPr>
        <w:t xml:space="preserve"> לשלול את זכאותה של אלמנתו, בהתאם ל</w:t>
      </w:r>
      <w:r w:rsidRPr="00784C6F">
        <w:rPr>
          <w:rFonts w:hint="cs"/>
          <w:rtl/>
        </w:rPr>
        <w:t xml:space="preserve">הוראת </w:t>
      </w:r>
      <w:r w:rsidRPr="00784C6F">
        <w:rPr>
          <w:rtl/>
        </w:rPr>
        <w:t>סעיף 4א(ב) – שקובע</w:t>
      </w:r>
      <w:r w:rsidRPr="00784C6F">
        <w:rPr>
          <w:rFonts w:hint="cs"/>
          <w:rtl/>
        </w:rPr>
        <w:t>ת</w:t>
      </w:r>
      <w:r w:rsidRPr="00784C6F">
        <w:rPr>
          <w:rtl/>
        </w:rPr>
        <w:t xml:space="preserve"> כאמור כי</w:t>
      </w:r>
      <w:r w:rsidRPr="00784C6F">
        <w:rPr>
          <w:rFonts w:hint="cs"/>
          <w:rtl/>
        </w:rPr>
        <w:t xml:space="preserve"> אין</w:t>
      </w:r>
      <w:r w:rsidRPr="00784C6F">
        <w:rPr>
          <w:rtl/>
        </w:rPr>
        <w:t xml:space="preserve"> </w:t>
      </w:r>
      <w:r w:rsidRPr="00784C6F">
        <w:rPr>
          <w:rFonts w:hint="cs"/>
          <w:rtl/>
        </w:rPr>
        <w:t>בפטירתו של היהודי לשלול זכות מכוח החוק</w:t>
      </w:r>
      <w:r w:rsidRPr="00784C6F">
        <w:rPr>
          <w:rtl/>
        </w:rPr>
        <w:t>. ואולם, בית המשפט קבע שמשעה שהאלמנה בחרה להינשא מחדש ולקשור את עצמה למשפחה חדשה, אין היא יכול</w:t>
      </w:r>
      <w:r w:rsidRPr="00784C6F">
        <w:rPr>
          <w:rFonts w:hint="cs"/>
          <w:rtl/>
        </w:rPr>
        <w:t>ה</w:t>
      </w:r>
      <w:r w:rsidRPr="00784C6F">
        <w:rPr>
          <w:rtl/>
        </w:rPr>
        <w:t xml:space="preserve"> לדרוש גם את זכויותיה ממשפחתה הקודמת. </w:t>
      </w:r>
      <w:r w:rsidRPr="00784C6F">
        <w:rPr>
          <w:rFonts w:hint="cs"/>
          <w:rtl/>
        </w:rPr>
        <w:t xml:space="preserve">עוד צוין כי מצב זה מתרחק מגרעינו של חוק השבות, וכי במקרים המתאימים </w:t>
      </w:r>
      <w:r w:rsidRPr="00784C6F">
        <w:rPr>
          <w:rtl/>
        </w:rPr>
        <w:t>ניתן יהיה ליתן לאלמנה שנישאה מחדש מעמד</w:t>
      </w:r>
      <w:r w:rsidRPr="00784C6F">
        <w:rPr>
          <w:rFonts w:hint="cs"/>
          <w:rtl/>
        </w:rPr>
        <w:t xml:space="preserve"> בישראל</w:t>
      </w:r>
      <w:r w:rsidRPr="00784C6F">
        <w:rPr>
          <w:rtl/>
        </w:rPr>
        <w:t xml:space="preserve"> מכוח נהליה של רשות האוכלוסין וההגירה.</w:t>
      </w:r>
    </w:p>
    <w:p w:rsidR="00E1330B" w:rsidRPr="00784C6F" w:rsidRDefault="00E1330B" w:rsidP="00E1330B">
      <w:pPr>
        <w:pStyle w:val="Ruller41"/>
        <w:rPr>
          <w:rtl/>
        </w:rPr>
      </w:pPr>
    </w:p>
    <w:p w:rsidR="00E1330B" w:rsidRPr="00784C6F" w:rsidRDefault="00E1330B" w:rsidP="00E1330B">
      <w:pPr>
        <w:pStyle w:val="Ruller41"/>
        <w:rPr>
          <w:rFonts w:ascii="Century" w:hAnsi="Century" w:cs="Miriam"/>
          <w:b/>
          <w:spacing w:val="0"/>
          <w:szCs w:val="24"/>
          <w:rtl/>
        </w:rPr>
      </w:pPr>
      <w:r w:rsidRPr="00784C6F">
        <w:rPr>
          <w:rtl/>
        </w:rPr>
        <w:tab/>
        <w:t xml:space="preserve">יוער כי לאורך השנים נשמעו קריאות להגביל ולסייג את זכותם של חברי המשפחה הלא יהודיים מן הצד האחד (ראו למשל: גדעון ספיר "האם חוק השבות עודנו מוצדק" </w:t>
      </w:r>
      <w:r w:rsidRPr="00784C6F">
        <w:rPr>
          <w:rFonts w:ascii="Century" w:hAnsi="Century" w:cs="Miriam"/>
          <w:b/>
          <w:spacing w:val="0"/>
          <w:szCs w:val="24"/>
          <w:rtl/>
        </w:rPr>
        <w:t xml:space="preserve">ספר אדמונד לוי </w:t>
      </w:r>
      <w:r w:rsidRPr="00784C6F">
        <w:rPr>
          <w:rtl/>
        </w:rPr>
        <w:t>279, 290-289</w:t>
      </w:r>
      <w:r w:rsidRPr="00784C6F">
        <w:rPr>
          <w:rFonts w:ascii="Century" w:hAnsi="Century" w:cs="Miriam"/>
          <w:b/>
          <w:spacing w:val="0"/>
          <w:szCs w:val="24"/>
          <w:rtl/>
        </w:rPr>
        <w:t xml:space="preserve"> </w:t>
      </w:r>
      <w:r w:rsidRPr="00784C6F">
        <w:rPr>
          <w:rFonts w:ascii="Century" w:hAnsi="Century"/>
          <w:rtl/>
        </w:rPr>
        <w:t xml:space="preserve">(אוהד גורדון, 2017); רות גביזון </w:t>
      </w:r>
      <w:r w:rsidRPr="00784C6F">
        <w:rPr>
          <w:rFonts w:ascii="Century" w:hAnsi="Century" w:cs="Miriam"/>
          <w:b/>
          <w:spacing w:val="0"/>
          <w:szCs w:val="24"/>
          <w:rtl/>
        </w:rPr>
        <w:t>שישים שנה לחוק השבות: היסטוריה, אידאולוגיה, הצדקה</w:t>
      </w:r>
      <w:r w:rsidRPr="00784C6F">
        <w:rPr>
          <w:rFonts w:ascii="Century" w:hAnsi="Century"/>
          <w:rtl/>
        </w:rPr>
        <w:t xml:space="preserve"> 48, 79-76 (מרכז מציל"ה למחשבה ציונית, יהודית, ליברלית והומניסטית, 2009)) או להרחיב את תחולתו גם לגבי נינים מן הצד השני (אשר מעוז "הבן הנשכח: על סעיף 4א(א) לחוק השבות ועל השמטה שבהיסח דעת" </w:t>
      </w:r>
      <w:r w:rsidRPr="00784C6F">
        <w:rPr>
          <w:rFonts w:ascii="Century" w:hAnsi="Century" w:cs="Miriam"/>
          <w:b/>
          <w:spacing w:val="0"/>
          <w:szCs w:val="24"/>
          <w:rtl/>
        </w:rPr>
        <w:t>הפרקליט</w:t>
      </w:r>
      <w:r w:rsidRPr="00784C6F">
        <w:rPr>
          <w:rFonts w:ascii="Century" w:hAnsi="Century"/>
          <w:rtl/>
        </w:rPr>
        <w:t xml:space="preserve"> לח(ב)(2) 637 (1989) (להלן: </w:t>
      </w:r>
      <w:r w:rsidRPr="00784C6F">
        <w:rPr>
          <w:rFonts w:ascii="Century" w:hAnsi="Century" w:cs="Miriam"/>
          <w:b/>
          <w:spacing w:val="0"/>
          <w:szCs w:val="24"/>
          <w:rtl/>
        </w:rPr>
        <w:t>מעוז</w:t>
      </w:r>
      <w:r w:rsidRPr="00784C6F">
        <w:rPr>
          <w:rFonts w:ascii="Century" w:hAnsi="Century"/>
          <w:rtl/>
        </w:rPr>
        <w:t xml:space="preserve">)) ואולם הצעות אלה לא הבשילו לידי תיקוני חקיקה.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השאלה שעומדת במוקד דיוננו היא האם בנסיבות שבהן הילד או הנכד של היהודי נפטר, אין תחולה לסעיף 4א(א) לגבי אלמנתו. בטרם אכריע בשאלה זו, ברצוני להעיר הערה מקדימה. כפי שצוין לעיל, בעבר, גורמים מטעם המדינה אפשרו לאלמנות זכאי שבות לעלות לישראל מכוח </w:t>
      </w:r>
      <w:r w:rsidRPr="00784C6F">
        <w:rPr>
          <w:rFonts w:hint="cs"/>
          <w:rtl/>
        </w:rPr>
        <w:t>ה</w:t>
      </w:r>
      <w:r w:rsidRPr="00784C6F">
        <w:rPr>
          <w:rtl/>
        </w:rPr>
        <w:t xml:space="preserve">חוק. כנטען על ידי המדינה, עם ריבוי הבקשות של אלמנות זכאי שבות, גיבשה המדינה בשנת 2016 מדיניות מסודרת </w:t>
      </w:r>
      <w:r w:rsidRPr="00784C6F">
        <w:rPr>
          <w:rFonts w:hint="cs"/>
          <w:rtl/>
        </w:rPr>
        <w:t>אשר שוללת את תחולת החוק על אלמנת זכאי השבות</w:t>
      </w:r>
      <w:r w:rsidRPr="00784C6F">
        <w:rPr>
          <w:rtl/>
        </w:rPr>
        <w:t xml:space="preserve">. כידוע, רשות מינהלית רשאית </w:t>
      </w:r>
      <w:r w:rsidRPr="00784C6F">
        <w:rPr>
          <w:rFonts w:hint="cs"/>
          <w:rtl/>
        </w:rPr>
        <w:t>לשנות את מדיניותה, בפרט בנסיבות שבהן היא סבורה כי הפירוש</w:t>
      </w:r>
      <w:r w:rsidRPr="00784C6F">
        <w:rPr>
          <w:rtl/>
        </w:rPr>
        <w:t xml:space="preserve"> </w:t>
      </w:r>
      <w:r w:rsidRPr="00784C6F">
        <w:rPr>
          <w:rFonts w:hint="cs"/>
          <w:rtl/>
        </w:rPr>
        <w:t xml:space="preserve">שנתנה בעבר להוראת חוק היה שגוי </w:t>
      </w:r>
      <w:r w:rsidRPr="00784C6F">
        <w:rPr>
          <w:rtl/>
        </w:rPr>
        <w:t xml:space="preserve">(בג"ץ 3805/06 </w:t>
      </w:r>
      <w:r w:rsidRPr="00784C6F">
        <w:rPr>
          <w:rFonts w:ascii="Century" w:hAnsi="Century" w:cs="Miriam"/>
          <w:b/>
          <w:spacing w:val="0"/>
          <w:sz w:val="22"/>
          <w:szCs w:val="24"/>
          <w:rtl/>
        </w:rPr>
        <w:t>אדרעי נ' משרד הבטחון אגף השיקום</w:t>
      </w:r>
      <w:r w:rsidRPr="00784C6F">
        <w:rPr>
          <w:rtl/>
        </w:rPr>
        <w:t xml:space="preserve">, פסקה 10 (15.9.2011); בג"ץ 1398/07 </w:t>
      </w:r>
      <w:r w:rsidRPr="00784C6F">
        <w:rPr>
          <w:rFonts w:ascii="Century" w:hAnsi="Century" w:cs="Miriam"/>
          <w:b/>
          <w:spacing w:val="0"/>
          <w:sz w:val="22"/>
          <w:szCs w:val="24"/>
          <w:rtl/>
        </w:rPr>
        <w:t>לביא-גולדשטיין נ' משרד החינוך – הגף להערכת תארים מתקדמים</w:t>
      </w:r>
      <w:r w:rsidRPr="00784C6F">
        <w:rPr>
          <w:rtl/>
        </w:rPr>
        <w:t xml:space="preserve">, פסקה 21 </w:t>
      </w:r>
      <w:r w:rsidRPr="00784C6F">
        <w:rPr>
          <w:rtl/>
        </w:rPr>
        <w:lastRenderedPageBreak/>
        <w:t xml:space="preserve">(11.5.2010); עניין </w:t>
      </w:r>
      <w:r w:rsidRPr="00784C6F">
        <w:rPr>
          <w:rFonts w:ascii="Century" w:hAnsi="Century" w:cs="Miriam"/>
          <w:b/>
          <w:spacing w:val="0"/>
          <w:sz w:val="22"/>
          <w:szCs w:val="24"/>
          <w:rtl/>
        </w:rPr>
        <w:t>סטמקה</w:t>
      </w:r>
      <w:r w:rsidRPr="00784C6F">
        <w:rPr>
          <w:rtl/>
        </w:rPr>
        <w:t xml:space="preserve">, בעמ' 742; בג"ץ 627/82 </w:t>
      </w:r>
      <w:r w:rsidRPr="00784C6F">
        <w:rPr>
          <w:rFonts w:ascii="Century" w:hAnsi="Century" w:cs="Miriam"/>
          <w:b/>
          <w:spacing w:val="0"/>
          <w:sz w:val="22"/>
          <w:szCs w:val="24"/>
          <w:rtl/>
        </w:rPr>
        <w:t>ליבמן נ' המועצה המדעית של ההסתדרות הרפואית בישראל</w:t>
      </w:r>
      <w:r w:rsidRPr="00784C6F">
        <w:rPr>
          <w:rtl/>
        </w:rPr>
        <w:t xml:space="preserve">, פ"ד לח(1) 645, 657 (1984); דפנה ברק-ארז </w:t>
      </w:r>
      <w:r w:rsidRPr="00784C6F">
        <w:rPr>
          <w:rFonts w:ascii="Century" w:hAnsi="Century" w:cs="Miriam"/>
          <w:b/>
          <w:spacing w:val="0"/>
          <w:sz w:val="22"/>
          <w:szCs w:val="24"/>
          <w:rtl/>
        </w:rPr>
        <w:t>משפט מינהלי</w:t>
      </w:r>
      <w:r w:rsidRPr="00784C6F">
        <w:rPr>
          <w:rtl/>
        </w:rPr>
        <w:t xml:space="preserve"> כרך א 205-204 (2010)). משכך ברי כי אין לזקוף לחובתה של המדינה את עצם השינוי בהתנהלותה. </w:t>
      </w:r>
      <w:r w:rsidRPr="00784C6F">
        <w:rPr>
          <w:rFonts w:ascii="FrankRuehl" w:hAnsi="FrankRuehl"/>
          <w:color w:val="000000"/>
          <w:sz w:val="28"/>
          <w:rtl/>
        </w:rPr>
        <w:t xml:space="preserve">עם זאת, למותר לציין כי </w:t>
      </w:r>
      <w:r w:rsidRPr="00784C6F">
        <w:rPr>
          <w:rtl/>
        </w:rPr>
        <w:t xml:space="preserve">כפי שהובהר לא אחת, כאשר עסקינן בפרשנות הוראות הדין – אין בית המשפט כפוף לפרשנותה של הרשות המינהלית (דנ"א 4960/18 </w:t>
      </w:r>
      <w:r w:rsidRPr="00784C6F">
        <w:rPr>
          <w:rFonts w:ascii="Century" w:hAnsi="Century" w:cs="Miriam"/>
          <w:b/>
          <w:spacing w:val="0"/>
          <w:sz w:val="22"/>
          <w:szCs w:val="24"/>
          <w:rtl/>
        </w:rPr>
        <w:t>זליגמן נ' הפניקס חברה לביטוח בע"מ</w:t>
      </w:r>
      <w:r w:rsidRPr="00784C6F">
        <w:rPr>
          <w:rtl/>
        </w:rPr>
        <w:t xml:space="preserve"> (4.7.2021); בג"ץ 6395/98 </w:t>
      </w:r>
      <w:r w:rsidRPr="00784C6F">
        <w:rPr>
          <w:rFonts w:ascii="Century" w:hAnsi="Century" w:cs="Miriam"/>
          <w:b/>
          <w:spacing w:val="0"/>
          <w:sz w:val="22"/>
          <w:szCs w:val="24"/>
          <w:rtl/>
        </w:rPr>
        <w:t>אלקושי נ' קצין התגמולים – משרד הביטחון</w:t>
      </w:r>
      <w:r w:rsidRPr="00784C6F">
        <w:rPr>
          <w:rtl/>
        </w:rPr>
        <w:t xml:space="preserve">, פ"ד נד(1) 454, 463-462 (2000); בג"ץ 399/85 </w:t>
      </w:r>
      <w:r w:rsidRPr="00784C6F">
        <w:rPr>
          <w:rFonts w:ascii="Century" w:hAnsi="Century" w:cs="Miriam"/>
          <w:b/>
          <w:spacing w:val="0"/>
          <w:sz w:val="22"/>
          <w:szCs w:val="24"/>
          <w:rtl/>
        </w:rPr>
        <w:t>כהנא נ' הועד המנהל של רשות השידור</w:t>
      </w:r>
      <w:r w:rsidRPr="00784C6F">
        <w:rPr>
          <w:rtl/>
        </w:rPr>
        <w:t xml:space="preserve">, פ"ד מא (3) 255, 304 (1987); בג"ץ 547/84 </w:t>
      </w:r>
      <w:r w:rsidRPr="00784C6F">
        <w:rPr>
          <w:rFonts w:ascii="Century" w:hAnsi="Century" w:cs="Miriam"/>
          <w:b/>
          <w:spacing w:val="0"/>
          <w:sz w:val="22"/>
          <w:szCs w:val="24"/>
          <w:rtl/>
        </w:rPr>
        <w:t>עוף העמק, אגודה חקלאית שיתופית רשומה נ' המועצה המקומית רמת ישי</w:t>
      </w:r>
      <w:r w:rsidRPr="00784C6F">
        <w:rPr>
          <w:rtl/>
        </w:rPr>
        <w:t xml:space="preserve">, פ"ד מ(1) 113, 146-145 (1986); בג"ץ 306/81 </w:t>
      </w:r>
      <w:r w:rsidRPr="00784C6F">
        <w:rPr>
          <w:rFonts w:ascii="Century" w:hAnsi="Century" w:cs="Miriam"/>
          <w:b/>
          <w:spacing w:val="0"/>
          <w:sz w:val="22"/>
          <w:szCs w:val="24"/>
          <w:rtl/>
        </w:rPr>
        <w:t>שרון נ' כנסת ישראל</w:t>
      </w:r>
      <w:r w:rsidRPr="00784C6F">
        <w:rPr>
          <w:rtl/>
        </w:rPr>
        <w:t xml:space="preserve">, פ"ד לה(4) 118, 141 (1981)). </w:t>
      </w:r>
      <w:r w:rsidRPr="00784C6F">
        <w:rPr>
          <w:rFonts w:ascii="Century" w:hAnsi="Century" w:hint="cs"/>
          <w:sz w:val="22"/>
          <w:rtl/>
        </w:rPr>
        <w:t>אעיר עוד שבניגוד לטענת המשיבים, ככל שהיינו מגיעים למסקנה שיש לפרש את סעיף 4א(א) כפרשנות המדינה, לא היה בכוחו של הטיעון שיש בכך הפליה אל מול אלמנות זכאי השבות שבקשותיהן אושרו בעבר, להוליך למסקנה כי על המדינה להמשיך ולאשר את בקשותיהן של אלמנות זכאי השבות. זאת מאחר שכידוע</w:t>
      </w:r>
      <w:r w:rsidRPr="00784C6F">
        <w:rPr>
          <w:rFonts w:hint="cs"/>
          <w:rtl/>
        </w:rPr>
        <w:t>, מקום שבו ניתנה טובת הנאה בחוסר סמכות, אין בעקרון השוויון להוליך למסקנה שיש לחייב את הרשות לפעול בחוסר סמכות ביחס לאחרים (</w:t>
      </w:r>
      <w:r w:rsidRPr="00784C6F">
        <w:rPr>
          <w:rFonts w:ascii="Century" w:hAnsi="Century" w:hint="cs"/>
          <w:rtl/>
        </w:rPr>
        <w:t xml:space="preserve">בג"ץ 637/89 </w:t>
      </w:r>
      <w:r w:rsidRPr="00784C6F">
        <w:rPr>
          <w:rFonts w:ascii="Century" w:hAnsi="Century" w:cs="Miriam" w:hint="cs"/>
          <w:b/>
          <w:spacing w:val="0"/>
          <w:szCs w:val="24"/>
          <w:rtl/>
        </w:rPr>
        <w:t>"חוקה למדינת ישראל" נ' שר האוצר</w:t>
      </w:r>
      <w:r w:rsidRPr="00784C6F">
        <w:rPr>
          <w:rFonts w:ascii="Century" w:hAnsi="Century" w:hint="cs"/>
          <w:rtl/>
        </w:rPr>
        <w:t>, פ"ד מו(1) 191, 203 (1991);</w:t>
      </w:r>
      <w:r w:rsidRPr="00784C6F">
        <w:rPr>
          <w:rFonts w:hint="cs"/>
          <w:rtl/>
        </w:rPr>
        <w:t xml:space="preserve"> כן ראו: עע"ם 7368/22 </w:t>
      </w:r>
      <w:r w:rsidRPr="00784C6F">
        <w:rPr>
          <w:rFonts w:ascii="Century" w:hAnsi="Century" w:cs="Miriam" w:hint="eastAsia"/>
          <w:b/>
          <w:spacing w:val="0"/>
          <w:sz w:val="22"/>
          <w:szCs w:val="24"/>
          <w:rtl/>
        </w:rPr>
        <w:t>משרד</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הפנים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בריל</w:t>
      </w:r>
      <w:r w:rsidRPr="00784C6F">
        <w:rPr>
          <w:rFonts w:hint="cs"/>
          <w:rtl/>
        </w:rPr>
        <w:t xml:space="preserve">, פסקה 34 (7.3.2023); </w:t>
      </w:r>
      <w:r w:rsidRPr="00784C6F">
        <w:rPr>
          <w:rFonts w:ascii="Century" w:hAnsi="Century" w:hint="cs"/>
          <w:rtl/>
        </w:rPr>
        <w:t xml:space="preserve">בג"ץ 8686/06 </w:t>
      </w:r>
      <w:r w:rsidRPr="00784C6F">
        <w:rPr>
          <w:rFonts w:ascii="Century" w:hAnsi="Century" w:cs="Miriam" w:hint="cs"/>
          <w:b/>
          <w:spacing w:val="0"/>
          <w:szCs w:val="24"/>
          <w:rtl/>
        </w:rPr>
        <w:t>סיעת העבודה - מימד נ' הכנסת</w:t>
      </w:r>
      <w:r w:rsidRPr="00784C6F">
        <w:rPr>
          <w:rFonts w:ascii="Century" w:hAnsi="Century" w:hint="cs"/>
          <w:rtl/>
        </w:rPr>
        <w:t xml:space="preserve">, פסקה 11 (28.5.2008)). </w:t>
      </w:r>
    </w:p>
    <w:p w:rsidR="00E1330B" w:rsidRPr="00784C6F" w:rsidRDefault="00E1330B" w:rsidP="00E1330B">
      <w:pPr>
        <w:pStyle w:val="Ruller4"/>
        <w:numPr>
          <w:ilvl w:val="0"/>
          <w:numId w:val="0"/>
        </w:numPr>
      </w:pPr>
    </w:p>
    <w:p w:rsidR="00E1330B" w:rsidRPr="00784C6F" w:rsidRDefault="00E1330B" w:rsidP="00E1330B">
      <w:pPr>
        <w:pStyle w:val="Ruller4"/>
        <w:numPr>
          <w:ilvl w:val="0"/>
          <w:numId w:val="13"/>
        </w:numPr>
        <w:rPr>
          <w:rtl/>
        </w:rPr>
      </w:pPr>
      <w:r w:rsidRPr="00784C6F">
        <w:rPr>
          <w:rtl/>
        </w:rPr>
        <w:t xml:space="preserve">הערה נוספת נוגעת לטענת המדינה שלפיה בגדרי הכרעתנו בשאלה הפרשנית שלפנינו, יש ליתן משקל להנחיית רשות האוכלוסין וההגירה, שמכוחה ניתן להעניק במקרים </w:t>
      </w:r>
      <w:r w:rsidRPr="00784C6F">
        <w:rPr>
          <w:rFonts w:hint="cs"/>
          <w:rtl/>
        </w:rPr>
        <w:t>מסוימים</w:t>
      </w:r>
      <w:r w:rsidRPr="00784C6F">
        <w:rPr>
          <w:rtl/>
        </w:rPr>
        <w:t xml:space="preserve"> מעמד לאלמנת זכאי השבות. </w:t>
      </w:r>
      <w:r w:rsidRPr="00784C6F">
        <w:rPr>
          <w:rFonts w:hint="cs"/>
          <w:rtl/>
        </w:rPr>
        <w:t>אין בידי לקבל טענה זו</w:t>
      </w:r>
      <w:r w:rsidRPr="00784C6F">
        <w:rPr>
          <w:rtl/>
        </w:rPr>
        <w:t>.</w:t>
      </w:r>
      <w:r w:rsidRPr="00784C6F">
        <w:rPr>
          <w:rFonts w:hint="cs"/>
          <w:rtl/>
        </w:rPr>
        <w:t xml:space="preserve"> </w:t>
      </w:r>
      <w:r w:rsidRPr="00784C6F">
        <w:rPr>
          <w:rtl/>
        </w:rPr>
        <w:t xml:space="preserve">ראשית, </w:t>
      </w:r>
      <w:r w:rsidRPr="00784C6F">
        <w:rPr>
          <w:rFonts w:hint="cs"/>
          <w:rtl/>
        </w:rPr>
        <w:t xml:space="preserve">כאשר </w:t>
      </w:r>
      <w:r w:rsidRPr="00784C6F">
        <w:rPr>
          <w:rtl/>
        </w:rPr>
        <w:t>עסקינן בפרשנות דבר חקיקה</w:t>
      </w:r>
      <w:r w:rsidRPr="00784C6F">
        <w:rPr>
          <w:rFonts w:hint="cs"/>
          <w:rtl/>
        </w:rPr>
        <w:t>,</w:t>
      </w:r>
      <w:r w:rsidRPr="00784C6F">
        <w:rPr>
          <w:rtl/>
        </w:rPr>
        <w:t xml:space="preserve"> </w:t>
      </w:r>
      <w:r w:rsidRPr="00784C6F">
        <w:rPr>
          <w:rFonts w:hint="cs"/>
          <w:rtl/>
        </w:rPr>
        <w:t>על בית המשפט לבחור בפרשנות אשר יש בה להגשים באופן מיטבי את תכלית החקיקה מקרב הפרשנויות הלשוניות האפשריות, בהתאם לכללי הפרשנות התכליתית הנוהגים בפסיקתנו (עליהם ארחיב בהמשך)</w:t>
      </w:r>
      <w:r w:rsidRPr="00784C6F">
        <w:rPr>
          <w:rtl/>
        </w:rPr>
        <w:t xml:space="preserve">; </w:t>
      </w:r>
      <w:r w:rsidRPr="00784C6F">
        <w:rPr>
          <w:rFonts w:hint="cs"/>
          <w:rtl/>
        </w:rPr>
        <w:t xml:space="preserve">איני סבור כי החלטתה של רשות מינהלית לפעול לשם הגשמת התכלית בדרך נוספת תוכל להשפיע על הפרשנות הראויה בנסיבות העניין. </w:t>
      </w:r>
      <w:r w:rsidRPr="00784C6F">
        <w:rPr>
          <w:rtl/>
        </w:rPr>
        <w:t>שנית, אף במובחן מכך, במקרה דנן קיים שוני ניכר בין המענה המוצע במסגרת הנחיית רשות האוכלוסין וההגירה לבין הזכות המוקנית מכוח חוק השבות.</w:t>
      </w:r>
      <w:r w:rsidRPr="00784C6F">
        <w:rPr>
          <w:rFonts w:ascii="Century" w:hAnsi="Century"/>
          <w:sz w:val="22"/>
          <w:rtl/>
        </w:rPr>
        <w:t xml:space="preserve"> </w:t>
      </w:r>
      <w:r w:rsidRPr="00784C6F">
        <w:rPr>
          <w:rFonts w:ascii="Century" w:hAnsi="Century" w:hint="eastAsia"/>
          <w:sz w:val="22"/>
          <w:rtl/>
        </w:rPr>
        <w:t>זכאות</w:t>
      </w:r>
      <w:r w:rsidRPr="00784C6F">
        <w:rPr>
          <w:rFonts w:ascii="Century" w:hAnsi="Century" w:hint="cs"/>
          <w:sz w:val="22"/>
          <w:rtl/>
        </w:rPr>
        <w:t xml:space="preserve"> לפי החוק</w:t>
      </w:r>
      <w:r w:rsidRPr="00784C6F">
        <w:rPr>
          <w:rFonts w:ascii="Century" w:hAnsi="Century"/>
          <w:sz w:val="22"/>
          <w:rtl/>
        </w:rPr>
        <w:t xml:space="preserve"> </w:t>
      </w:r>
      <w:r w:rsidRPr="00784C6F">
        <w:rPr>
          <w:rFonts w:ascii="Century" w:hAnsi="Century" w:hint="eastAsia"/>
          <w:sz w:val="22"/>
          <w:rtl/>
        </w:rPr>
        <w:t>היא</w:t>
      </w:r>
      <w:r w:rsidRPr="00784C6F">
        <w:rPr>
          <w:rFonts w:ascii="Century" w:hAnsi="Century"/>
          <w:sz w:val="22"/>
          <w:rtl/>
        </w:rPr>
        <w:t xml:space="preserve"> </w:t>
      </w:r>
      <w:r w:rsidRPr="00784C6F">
        <w:rPr>
          <w:rFonts w:ascii="Century" w:hAnsi="Century" w:hint="eastAsia"/>
          <w:sz w:val="22"/>
          <w:rtl/>
        </w:rPr>
        <w:t>אוטומטית</w:t>
      </w:r>
      <w:r w:rsidRPr="00784C6F">
        <w:rPr>
          <w:rFonts w:ascii="Century" w:hAnsi="Century"/>
          <w:sz w:val="22"/>
          <w:rtl/>
        </w:rPr>
        <w:t xml:space="preserve"> </w:t>
      </w:r>
      <w:r w:rsidRPr="00784C6F">
        <w:rPr>
          <w:rFonts w:ascii="Century" w:hAnsi="Century" w:hint="eastAsia"/>
          <w:sz w:val="22"/>
          <w:rtl/>
        </w:rPr>
        <w:t>באופייה</w:t>
      </w:r>
      <w:r w:rsidRPr="00784C6F">
        <w:rPr>
          <w:rFonts w:ascii="Century" w:hAnsi="Century"/>
          <w:sz w:val="22"/>
          <w:rtl/>
        </w:rPr>
        <w:t xml:space="preserve">, </w:t>
      </w:r>
      <w:r w:rsidRPr="00784C6F">
        <w:rPr>
          <w:rFonts w:ascii="Century" w:hAnsi="Century" w:hint="eastAsia"/>
          <w:sz w:val="22"/>
          <w:rtl/>
        </w:rPr>
        <w:t>ושיקול</w:t>
      </w:r>
      <w:r w:rsidRPr="00784C6F">
        <w:rPr>
          <w:rFonts w:ascii="Century" w:hAnsi="Century"/>
          <w:sz w:val="22"/>
          <w:rtl/>
        </w:rPr>
        <w:t xml:space="preserve"> </w:t>
      </w:r>
      <w:r w:rsidRPr="00784C6F">
        <w:rPr>
          <w:rFonts w:ascii="Century" w:hAnsi="Century" w:hint="eastAsia"/>
          <w:sz w:val="22"/>
          <w:rtl/>
        </w:rPr>
        <w:t>הדעת</w:t>
      </w:r>
      <w:r w:rsidRPr="00784C6F">
        <w:rPr>
          <w:rFonts w:ascii="Century" w:hAnsi="Century"/>
          <w:sz w:val="22"/>
          <w:rtl/>
        </w:rPr>
        <w:t xml:space="preserve"> </w:t>
      </w:r>
      <w:r w:rsidRPr="00784C6F">
        <w:rPr>
          <w:rFonts w:ascii="Century" w:hAnsi="Century" w:hint="eastAsia"/>
          <w:sz w:val="22"/>
          <w:rtl/>
        </w:rPr>
        <w:t>שנתון</w:t>
      </w:r>
      <w:r w:rsidRPr="00784C6F">
        <w:rPr>
          <w:rFonts w:ascii="Century" w:hAnsi="Century"/>
          <w:sz w:val="22"/>
          <w:rtl/>
        </w:rPr>
        <w:t xml:space="preserve"> </w:t>
      </w:r>
      <w:r w:rsidRPr="00784C6F">
        <w:rPr>
          <w:rFonts w:ascii="Century" w:hAnsi="Century" w:hint="eastAsia"/>
          <w:sz w:val="22"/>
          <w:rtl/>
        </w:rPr>
        <w:t>לשר</w:t>
      </w:r>
      <w:r w:rsidRPr="00784C6F">
        <w:rPr>
          <w:rFonts w:ascii="Century" w:hAnsi="Century"/>
          <w:sz w:val="22"/>
          <w:rtl/>
        </w:rPr>
        <w:t xml:space="preserve"> </w:t>
      </w:r>
      <w:r w:rsidRPr="00784C6F">
        <w:rPr>
          <w:rFonts w:ascii="Century" w:hAnsi="Century" w:hint="eastAsia"/>
          <w:sz w:val="22"/>
          <w:rtl/>
        </w:rPr>
        <w:t>הפנים</w:t>
      </w:r>
      <w:r w:rsidRPr="00784C6F">
        <w:rPr>
          <w:rFonts w:ascii="Century" w:hAnsi="Century"/>
          <w:sz w:val="22"/>
          <w:rtl/>
        </w:rPr>
        <w:t xml:space="preserve"> </w:t>
      </w:r>
      <w:r w:rsidRPr="00784C6F">
        <w:rPr>
          <w:rFonts w:ascii="Century" w:hAnsi="Century" w:hint="eastAsia"/>
          <w:sz w:val="22"/>
          <w:rtl/>
        </w:rPr>
        <w:t>בהקשר</w:t>
      </w:r>
      <w:r w:rsidRPr="00784C6F">
        <w:rPr>
          <w:rFonts w:ascii="Century" w:hAnsi="Century"/>
          <w:sz w:val="22"/>
          <w:rtl/>
        </w:rPr>
        <w:t xml:space="preserve"> </w:t>
      </w:r>
      <w:r w:rsidRPr="00784C6F">
        <w:rPr>
          <w:rFonts w:ascii="Century" w:hAnsi="Century" w:hint="eastAsia"/>
          <w:sz w:val="22"/>
          <w:rtl/>
        </w:rPr>
        <w:t>זה</w:t>
      </w:r>
      <w:r w:rsidRPr="00784C6F">
        <w:rPr>
          <w:rFonts w:ascii="Century" w:hAnsi="Century"/>
          <w:sz w:val="22"/>
          <w:rtl/>
        </w:rPr>
        <w:t xml:space="preserve"> </w:t>
      </w:r>
      <w:r w:rsidRPr="00784C6F">
        <w:rPr>
          <w:rFonts w:ascii="Century" w:hAnsi="Century" w:hint="eastAsia"/>
          <w:sz w:val="22"/>
          <w:rtl/>
        </w:rPr>
        <w:t>הוא</w:t>
      </w:r>
      <w:r w:rsidRPr="00784C6F">
        <w:rPr>
          <w:rFonts w:ascii="Century" w:hAnsi="Century"/>
          <w:sz w:val="22"/>
          <w:rtl/>
        </w:rPr>
        <w:t xml:space="preserve"> </w:t>
      </w:r>
      <w:r w:rsidRPr="00784C6F">
        <w:rPr>
          <w:rFonts w:ascii="Century" w:hAnsi="Century" w:hint="eastAsia"/>
          <w:sz w:val="22"/>
          <w:rtl/>
        </w:rPr>
        <w:t>מצומצם</w:t>
      </w:r>
      <w:r w:rsidRPr="00784C6F">
        <w:rPr>
          <w:rFonts w:ascii="Century" w:hAnsi="Century"/>
          <w:sz w:val="22"/>
          <w:rtl/>
        </w:rPr>
        <w:t xml:space="preserve"> </w:t>
      </w:r>
      <w:r w:rsidRPr="00784C6F">
        <w:rPr>
          <w:rFonts w:ascii="Century" w:hAnsi="Century" w:hint="eastAsia"/>
          <w:sz w:val="22"/>
          <w:rtl/>
        </w:rPr>
        <w:t>כאמור</w:t>
      </w:r>
      <w:r w:rsidRPr="00784C6F">
        <w:rPr>
          <w:rFonts w:ascii="Century" w:hAnsi="Century"/>
          <w:sz w:val="22"/>
          <w:rtl/>
        </w:rPr>
        <w:t xml:space="preserve">. </w:t>
      </w:r>
      <w:r w:rsidRPr="00784C6F">
        <w:rPr>
          <w:rFonts w:ascii="Century" w:hAnsi="Century" w:hint="eastAsia"/>
          <w:sz w:val="22"/>
          <w:rtl/>
        </w:rPr>
        <w:t>בנוסף</w:t>
      </w:r>
      <w:r w:rsidRPr="00784C6F">
        <w:rPr>
          <w:rFonts w:ascii="Century" w:hAnsi="Century"/>
          <w:sz w:val="22"/>
          <w:rtl/>
        </w:rPr>
        <w:t xml:space="preserve">, </w:t>
      </w:r>
      <w:r w:rsidRPr="00784C6F">
        <w:rPr>
          <w:rFonts w:ascii="Century" w:hAnsi="Century" w:hint="eastAsia"/>
          <w:sz w:val="22"/>
          <w:rtl/>
        </w:rPr>
        <w:t>בחינת</w:t>
      </w:r>
      <w:r w:rsidRPr="00784C6F">
        <w:rPr>
          <w:rFonts w:ascii="Century" w:hAnsi="Century"/>
          <w:sz w:val="22"/>
          <w:rtl/>
        </w:rPr>
        <w:t xml:space="preserve"> </w:t>
      </w:r>
      <w:r w:rsidRPr="00784C6F">
        <w:rPr>
          <w:rFonts w:ascii="Century" w:hAnsi="Century" w:hint="eastAsia"/>
          <w:sz w:val="22"/>
          <w:rtl/>
        </w:rPr>
        <w:t>הזכאות</w:t>
      </w:r>
      <w:r w:rsidRPr="00784C6F">
        <w:rPr>
          <w:rFonts w:ascii="Century" w:hAnsi="Century"/>
          <w:sz w:val="22"/>
          <w:rtl/>
        </w:rPr>
        <w:t xml:space="preserve"> </w:t>
      </w:r>
      <w:r w:rsidRPr="00784C6F">
        <w:rPr>
          <w:rFonts w:ascii="Century" w:hAnsi="Century" w:hint="eastAsia"/>
          <w:sz w:val="22"/>
          <w:rtl/>
        </w:rPr>
        <w:t>תיעשה</w:t>
      </w:r>
      <w:r w:rsidRPr="00784C6F">
        <w:rPr>
          <w:rFonts w:ascii="Century" w:hAnsi="Century"/>
          <w:sz w:val="22"/>
          <w:rtl/>
        </w:rPr>
        <w:t xml:space="preserve"> </w:t>
      </w:r>
      <w:r w:rsidRPr="00784C6F">
        <w:rPr>
          <w:rFonts w:ascii="Century" w:hAnsi="Century" w:hint="eastAsia"/>
          <w:sz w:val="22"/>
          <w:rtl/>
        </w:rPr>
        <w:t>בעיקרה</w:t>
      </w:r>
      <w:r w:rsidRPr="00784C6F">
        <w:rPr>
          <w:rFonts w:ascii="Century" w:hAnsi="Century"/>
          <w:sz w:val="22"/>
          <w:rtl/>
        </w:rPr>
        <w:t xml:space="preserve"> </w:t>
      </w:r>
      <w:r w:rsidRPr="00784C6F">
        <w:rPr>
          <w:rFonts w:ascii="Century" w:hAnsi="Century" w:hint="eastAsia"/>
          <w:sz w:val="22"/>
          <w:rtl/>
        </w:rPr>
        <w:t>ביחס</w:t>
      </w:r>
      <w:r w:rsidRPr="00784C6F">
        <w:rPr>
          <w:rFonts w:ascii="Century" w:hAnsi="Century"/>
          <w:sz w:val="22"/>
          <w:rtl/>
        </w:rPr>
        <w:t xml:space="preserve"> </w:t>
      </w:r>
      <w:r w:rsidRPr="00784C6F">
        <w:rPr>
          <w:rFonts w:ascii="Century" w:hAnsi="Century" w:hint="eastAsia"/>
          <w:sz w:val="22"/>
          <w:rtl/>
        </w:rPr>
        <w:t>למצב</w:t>
      </w:r>
      <w:r w:rsidRPr="00784C6F">
        <w:rPr>
          <w:rFonts w:ascii="Century" w:hAnsi="Century"/>
          <w:sz w:val="22"/>
          <w:rtl/>
        </w:rPr>
        <w:t xml:space="preserve"> </w:t>
      </w:r>
      <w:r w:rsidRPr="00784C6F">
        <w:rPr>
          <w:rFonts w:ascii="Century" w:hAnsi="Century" w:hint="eastAsia"/>
          <w:sz w:val="22"/>
          <w:rtl/>
        </w:rPr>
        <w:t>הדברים</w:t>
      </w:r>
      <w:r w:rsidRPr="00784C6F">
        <w:rPr>
          <w:rFonts w:ascii="Century" w:hAnsi="Century"/>
          <w:sz w:val="22"/>
          <w:rtl/>
        </w:rPr>
        <w:t xml:space="preserve"> </w:t>
      </w:r>
      <w:r w:rsidRPr="00784C6F">
        <w:rPr>
          <w:rFonts w:ascii="Century" w:hAnsi="Century" w:hint="eastAsia"/>
          <w:sz w:val="22"/>
          <w:rtl/>
        </w:rPr>
        <w:t>עובר</w:t>
      </w:r>
      <w:r w:rsidRPr="00784C6F">
        <w:rPr>
          <w:rFonts w:ascii="Century" w:hAnsi="Century"/>
          <w:sz w:val="22"/>
          <w:rtl/>
        </w:rPr>
        <w:t xml:space="preserve"> </w:t>
      </w:r>
      <w:r w:rsidRPr="00784C6F">
        <w:rPr>
          <w:rFonts w:ascii="Century" w:hAnsi="Century" w:hint="eastAsia"/>
          <w:sz w:val="22"/>
          <w:rtl/>
        </w:rPr>
        <w:t>להגעה</w:t>
      </w:r>
      <w:r w:rsidRPr="00784C6F">
        <w:rPr>
          <w:rFonts w:ascii="Century" w:hAnsi="Century"/>
          <w:sz w:val="22"/>
          <w:rtl/>
        </w:rPr>
        <w:t xml:space="preserve"> </w:t>
      </w:r>
      <w:r w:rsidRPr="00784C6F">
        <w:rPr>
          <w:rFonts w:ascii="Century" w:hAnsi="Century" w:hint="eastAsia"/>
          <w:sz w:val="22"/>
          <w:rtl/>
        </w:rPr>
        <w:t>לישראל</w:t>
      </w:r>
      <w:r w:rsidRPr="00784C6F">
        <w:rPr>
          <w:rFonts w:ascii="Century" w:hAnsi="Century"/>
          <w:sz w:val="22"/>
          <w:rtl/>
        </w:rPr>
        <w:t xml:space="preserve"> (</w:t>
      </w:r>
      <w:r w:rsidRPr="00784C6F">
        <w:rPr>
          <w:rFonts w:ascii="Century" w:hAnsi="Century" w:hint="eastAsia"/>
          <w:sz w:val="22"/>
          <w:rtl/>
        </w:rPr>
        <w:t>ראו</w:t>
      </w:r>
      <w:r w:rsidRPr="00784C6F">
        <w:rPr>
          <w:rFonts w:ascii="Century" w:hAnsi="Century"/>
          <w:sz w:val="22"/>
          <w:rtl/>
        </w:rPr>
        <w:t xml:space="preserve">: </w:t>
      </w:r>
      <w:r w:rsidRPr="00784C6F">
        <w:rPr>
          <w:rtl/>
        </w:rPr>
        <w:t xml:space="preserve">עניין </w:t>
      </w:r>
      <w:r w:rsidRPr="00784C6F">
        <w:rPr>
          <w:rFonts w:ascii="Century" w:hAnsi="Century" w:cs="Miriam" w:hint="eastAsia"/>
          <w:b/>
          <w:spacing w:val="0"/>
          <w:sz w:val="22"/>
          <w:szCs w:val="24"/>
          <w:rtl/>
        </w:rPr>
        <w:t>פוזרסקי</w:t>
      </w:r>
      <w:r w:rsidRPr="00784C6F">
        <w:rPr>
          <w:rFonts w:ascii="Century" w:hAnsi="Century"/>
          <w:sz w:val="22"/>
          <w:rtl/>
        </w:rPr>
        <w:t xml:space="preserve">, </w:t>
      </w:r>
      <w:r w:rsidRPr="00784C6F">
        <w:rPr>
          <w:rFonts w:ascii="Century" w:hAnsi="Century" w:hint="eastAsia"/>
          <w:sz w:val="22"/>
          <w:rtl/>
        </w:rPr>
        <w:t>פסקה</w:t>
      </w:r>
      <w:r w:rsidRPr="00784C6F">
        <w:rPr>
          <w:rFonts w:ascii="Century" w:hAnsi="Century"/>
          <w:sz w:val="22"/>
          <w:rtl/>
        </w:rPr>
        <w:t xml:space="preserve"> 40). </w:t>
      </w:r>
      <w:r w:rsidRPr="00784C6F">
        <w:rPr>
          <w:rFonts w:ascii="Century" w:hAnsi="Century" w:hint="eastAsia"/>
          <w:sz w:val="22"/>
          <w:rtl/>
        </w:rPr>
        <w:t>שונים</w:t>
      </w:r>
      <w:r w:rsidRPr="00784C6F">
        <w:rPr>
          <w:rFonts w:ascii="Century" w:hAnsi="Century"/>
          <w:sz w:val="22"/>
          <w:rtl/>
        </w:rPr>
        <w:t xml:space="preserve"> </w:t>
      </w:r>
      <w:r w:rsidRPr="00784C6F">
        <w:rPr>
          <w:rFonts w:ascii="Century" w:hAnsi="Century" w:hint="eastAsia"/>
          <w:sz w:val="22"/>
          <w:rtl/>
        </w:rPr>
        <w:t>הם</w:t>
      </w:r>
      <w:r w:rsidRPr="00784C6F">
        <w:rPr>
          <w:rFonts w:ascii="Century" w:hAnsi="Century"/>
          <w:sz w:val="22"/>
          <w:rtl/>
        </w:rPr>
        <w:t xml:space="preserve"> </w:t>
      </w:r>
      <w:r w:rsidRPr="00784C6F">
        <w:rPr>
          <w:rFonts w:ascii="Century" w:hAnsi="Century" w:hint="eastAsia"/>
          <w:sz w:val="22"/>
          <w:rtl/>
        </w:rPr>
        <w:t>פני</w:t>
      </w:r>
      <w:r w:rsidRPr="00784C6F">
        <w:rPr>
          <w:rFonts w:ascii="Century" w:hAnsi="Century"/>
          <w:sz w:val="22"/>
          <w:rtl/>
        </w:rPr>
        <w:t xml:space="preserve"> </w:t>
      </w:r>
      <w:r w:rsidRPr="00784C6F">
        <w:rPr>
          <w:rFonts w:ascii="Century" w:hAnsi="Century" w:hint="eastAsia"/>
          <w:sz w:val="22"/>
          <w:rtl/>
        </w:rPr>
        <w:t>הדברים</w:t>
      </w:r>
      <w:r w:rsidRPr="00784C6F">
        <w:rPr>
          <w:rFonts w:ascii="Century" w:hAnsi="Century"/>
          <w:sz w:val="22"/>
          <w:rtl/>
        </w:rPr>
        <w:t xml:space="preserve"> </w:t>
      </w:r>
      <w:r w:rsidRPr="00784C6F">
        <w:rPr>
          <w:rFonts w:ascii="Century" w:hAnsi="Century" w:hint="eastAsia"/>
          <w:sz w:val="22"/>
          <w:rtl/>
        </w:rPr>
        <w:t>כשעסקינן</w:t>
      </w:r>
      <w:r w:rsidRPr="00784C6F">
        <w:rPr>
          <w:rFonts w:ascii="Century" w:hAnsi="Century"/>
          <w:sz w:val="22"/>
          <w:rtl/>
        </w:rPr>
        <w:t xml:space="preserve"> </w:t>
      </w:r>
      <w:r w:rsidRPr="00784C6F">
        <w:rPr>
          <w:rFonts w:ascii="Century" w:hAnsi="Century" w:hint="eastAsia"/>
          <w:sz w:val="22"/>
          <w:rtl/>
        </w:rPr>
        <w:t>במעמד</w:t>
      </w:r>
      <w:r w:rsidRPr="00784C6F">
        <w:rPr>
          <w:rFonts w:ascii="Century" w:hAnsi="Century"/>
          <w:sz w:val="22"/>
          <w:rtl/>
        </w:rPr>
        <w:t xml:space="preserve"> </w:t>
      </w:r>
      <w:r w:rsidRPr="00784C6F">
        <w:rPr>
          <w:rFonts w:ascii="Century" w:hAnsi="Century" w:hint="eastAsia"/>
          <w:sz w:val="22"/>
          <w:rtl/>
        </w:rPr>
        <w:t>שניתן</w:t>
      </w:r>
      <w:r w:rsidRPr="00784C6F">
        <w:rPr>
          <w:rFonts w:ascii="Century" w:hAnsi="Century"/>
          <w:sz w:val="22"/>
          <w:rtl/>
        </w:rPr>
        <w:t xml:space="preserve"> </w:t>
      </w:r>
      <w:r w:rsidRPr="00784C6F">
        <w:rPr>
          <w:rFonts w:ascii="Century" w:hAnsi="Century" w:hint="eastAsia"/>
          <w:sz w:val="22"/>
          <w:rtl/>
        </w:rPr>
        <w:t>מכוח</w:t>
      </w:r>
      <w:r w:rsidRPr="00784C6F">
        <w:rPr>
          <w:rFonts w:ascii="Century" w:hAnsi="Century"/>
          <w:sz w:val="22"/>
          <w:rtl/>
        </w:rPr>
        <w:t xml:space="preserve"> </w:t>
      </w:r>
      <w:r w:rsidRPr="00784C6F">
        <w:rPr>
          <w:rFonts w:ascii="Century" w:hAnsi="Century" w:hint="eastAsia"/>
          <w:sz w:val="22"/>
          <w:rtl/>
        </w:rPr>
        <w:t>הנחיית</w:t>
      </w:r>
      <w:r w:rsidRPr="00784C6F">
        <w:rPr>
          <w:rFonts w:ascii="Century" w:hAnsi="Century"/>
          <w:sz w:val="22"/>
          <w:rtl/>
        </w:rPr>
        <w:t xml:space="preserve"> </w:t>
      </w:r>
      <w:r w:rsidRPr="00784C6F">
        <w:rPr>
          <w:rFonts w:ascii="Century" w:hAnsi="Century" w:hint="eastAsia"/>
          <w:sz w:val="22"/>
          <w:rtl/>
        </w:rPr>
        <w:t>רשות</w:t>
      </w:r>
      <w:r w:rsidRPr="00784C6F">
        <w:rPr>
          <w:rFonts w:ascii="Century" w:hAnsi="Century"/>
          <w:sz w:val="22"/>
          <w:rtl/>
        </w:rPr>
        <w:t xml:space="preserve"> </w:t>
      </w:r>
      <w:r w:rsidRPr="00784C6F">
        <w:rPr>
          <w:rFonts w:ascii="Century" w:hAnsi="Century" w:hint="eastAsia"/>
          <w:sz w:val="22"/>
          <w:rtl/>
        </w:rPr>
        <w:t>האוכלוסין</w:t>
      </w:r>
      <w:r w:rsidRPr="00784C6F">
        <w:rPr>
          <w:rFonts w:ascii="Century" w:hAnsi="Century"/>
          <w:sz w:val="22"/>
          <w:rtl/>
        </w:rPr>
        <w:t xml:space="preserve"> </w:t>
      </w:r>
      <w:r w:rsidRPr="00784C6F">
        <w:rPr>
          <w:rFonts w:ascii="Century" w:hAnsi="Century" w:hint="eastAsia"/>
          <w:sz w:val="22"/>
          <w:rtl/>
        </w:rPr>
        <w:t>וההגירה</w:t>
      </w:r>
      <w:r w:rsidRPr="00784C6F">
        <w:rPr>
          <w:rFonts w:ascii="Century" w:hAnsi="Century"/>
          <w:sz w:val="22"/>
          <w:rtl/>
        </w:rPr>
        <w:t xml:space="preserve">, </w:t>
      </w:r>
      <w:r w:rsidRPr="00784C6F">
        <w:rPr>
          <w:rFonts w:ascii="Century" w:hAnsi="Century" w:hint="eastAsia"/>
          <w:sz w:val="22"/>
          <w:rtl/>
        </w:rPr>
        <w:t>שבמסגרתה</w:t>
      </w:r>
      <w:r w:rsidRPr="00784C6F">
        <w:rPr>
          <w:rFonts w:ascii="Century" w:hAnsi="Century"/>
          <w:sz w:val="22"/>
          <w:rtl/>
        </w:rPr>
        <w:t xml:space="preserve"> </w:t>
      </w:r>
      <w:r w:rsidRPr="00784C6F">
        <w:rPr>
          <w:rFonts w:ascii="Century" w:hAnsi="Century" w:hint="eastAsia"/>
          <w:sz w:val="22"/>
          <w:rtl/>
        </w:rPr>
        <w:t>נתון</w:t>
      </w:r>
      <w:r w:rsidRPr="00784C6F">
        <w:rPr>
          <w:rFonts w:ascii="Century" w:hAnsi="Century"/>
          <w:sz w:val="22"/>
          <w:rtl/>
        </w:rPr>
        <w:t xml:space="preserve"> </w:t>
      </w:r>
      <w:r w:rsidRPr="00784C6F">
        <w:rPr>
          <w:rFonts w:ascii="Century" w:hAnsi="Century" w:hint="eastAsia"/>
          <w:sz w:val="22"/>
          <w:rtl/>
        </w:rPr>
        <w:t>למדינה</w:t>
      </w:r>
      <w:r w:rsidRPr="00784C6F">
        <w:rPr>
          <w:rFonts w:ascii="Century" w:hAnsi="Century"/>
          <w:sz w:val="22"/>
          <w:rtl/>
        </w:rPr>
        <w:t xml:space="preserve"> </w:t>
      </w:r>
      <w:r w:rsidRPr="00784C6F">
        <w:rPr>
          <w:rFonts w:ascii="Century" w:hAnsi="Century" w:hint="eastAsia"/>
          <w:sz w:val="22"/>
          <w:rtl/>
        </w:rPr>
        <w:t>שיקול</w:t>
      </w:r>
      <w:r w:rsidRPr="00784C6F">
        <w:rPr>
          <w:rFonts w:ascii="Century" w:hAnsi="Century"/>
          <w:sz w:val="22"/>
          <w:rtl/>
        </w:rPr>
        <w:t xml:space="preserve"> </w:t>
      </w:r>
      <w:r w:rsidRPr="00784C6F">
        <w:rPr>
          <w:rFonts w:ascii="Century" w:hAnsi="Century" w:hint="eastAsia"/>
          <w:sz w:val="22"/>
          <w:rtl/>
        </w:rPr>
        <w:t>דעת</w:t>
      </w:r>
      <w:r w:rsidRPr="00784C6F">
        <w:rPr>
          <w:rFonts w:ascii="Century" w:hAnsi="Century"/>
          <w:sz w:val="22"/>
          <w:rtl/>
        </w:rPr>
        <w:t xml:space="preserve"> </w:t>
      </w:r>
      <w:r w:rsidRPr="00784C6F">
        <w:rPr>
          <w:rFonts w:ascii="Century" w:hAnsi="Century" w:hint="eastAsia"/>
          <w:sz w:val="22"/>
          <w:rtl/>
        </w:rPr>
        <w:t>רחב</w:t>
      </w:r>
      <w:r w:rsidRPr="00784C6F">
        <w:rPr>
          <w:rFonts w:ascii="Century" w:hAnsi="Century"/>
          <w:sz w:val="22"/>
          <w:rtl/>
        </w:rPr>
        <w:t xml:space="preserve">, </w:t>
      </w:r>
      <w:r w:rsidRPr="00784C6F">
        <w:rPr>
          <w:rFonts w:ascii="Century" w:hAnsi="Century" w:hint="eastAsia"/>
          <w:sz w:val="22"/>
          <w:rtl/>
        </w:rPr>
        <w:t>כאשר</w:t>
      </w:r>
      <w:r w:rsidRPr="00784C6F">
        <w:rPr>
          <w:rFonts w:ascii="Century" w:hAnsi="Century"/>
          <w:sz w:val="22"/>
          <w:rtl/>
        </w:rPr>
        <w:t xml:space="preserve"> </w:t>
      </w:r>
      <w:r w:rsidRPr="00784C6F">
        <w:rPr>
          <w:rFonts w:ascii="Century" w:hAnsi="Century" w:hint="eastAsia"/>
          <w:sz w:val="22"/>
          <w:rtl/>
        </w:rPr>
        <w:t>לפי</w:t>
      </w:r>
      <w:r w:rsidRPr="00784C6F">
        <w:rPr>
          <w:rFonts w:ascii="Century" w:hAnsi="Century"/>
          <w:sz w:val="22"/>
          <w:rtl/>
        </w:rPr>
        <w:t xml:space="preserve"> </w:t>
      </w:r>
      <w:r w:rsidRPr="00784C6F">
        <w:rPr>
          <w:rFonts w:ascii="Century" w:hAnsi="Century" w:hint="eastAsia"/>
          <w:sz w:val="22"/>
          <w:rtl/>
        </w:rPr>
        <w:t>ההנחיה</w:t>
      </w:r>
      <w:r w:rsidRPr="00784C6F">
        <w:rPr>
          <w:rFonts w:ascii="Century" w:hAnsi="Century"/>
          <w:sz w:val="22"/>
          <w:rtl/>
        </w:rPr>
        <w:t xml:space="preserve"> </w:t>
      </w:r>
      <w:r w:rsidRPr="00784C6F">
        <w:rPr>
          <w:rFonts w:ascii="Century" w:hAnsi="Century" w:hint="cs"/>
          <w:sz w:val="22"/>
          <w:rtl/>
        </w:rPr>
        <w:t xml:space="preserve">יש לבחון האם </w:t>
      </w:r>
      <w:r w:rsidRPr="00784C6F">
        <w:rPr>
          <w:rFonts w:ascii="Century" w:hAnsi="Century" w:hint="eastAsia"/>
          <w:sz w:val="22"/>
          <w:rtl/>
        </w:rPr>
        <w:t>לאורך</w:t>
      </w:r>
      <w:r w:rsidRPr="00784C6F">
        <w:rPr>
          <w:rFonts w:ascii="Century" w:hAnsi="Century"/>
          <w:sz w:val="22"/>
          <w:rtl/>
        </w:rPr>
        <w:t xml:space="preserve"> </w:t>
      </w:r>
      <w:r w:rsidRPr="00784C6F">
        <w:rPr>
          <w:rFonts w:ascii="Century" w:hAnsi="Century" w:hint="cs"/>
          <w:sz w:val="22"/>
          <w:rtl/>
        </w:rPr>
        <w:t>ה</w:t>
      </w:r>
      <w:r w:rsidRPr="00784C6F">
        <w:rPr>
          <w:rFonts w:ascii="Century" w:hAnsi="Century" w:hint="eastAsia"/>
          <w:sz w:val="22"/>
          <w:rtl/>
        </w:rPr>
        <w:t>שנים</w:t>
      </w:r>
      <w:r w:rsidRPr="00784C6F">
        <w:rPr>
          <w:rFonts w:ascii="Century" w:hAnsi="Century"/>
          <w:sz w:val="22"/>
          <w:rtl/>
        </w:rPr>
        <w:t xml:space="preserve"> </w:t>
      </w:r>
      <w:r w:rsidRPr="00784C6F">
        <w:rPr>
          <w:rFonts w:ascii="Century" w:hAnsi="Century" w:hint="eastAsia"/>
          <w:sz w:val="22"/>
          <w:rtl/>
        </w:rPr>
        <w:t>לאחר</w:t>
      </w:r>
      <w:r w:rsidRPr="00784C6F">
        <w:rPr>
          <w:rFonts w:ascii="Century" w:hAnsi="Century"/>
          <w:sz w:val="22"/>
          <w:rtl/>
        </w:rPr>
        <w:t xml:space="preserve"> </w:t>
      </w:r>
      <w:r w:rsidRPr="00784C6F">
        <w:rPr>
          <w:rFonts w:ascii="Century" w:hAnsi="Century" w:hint="eastAsia"/>
          <w:sz w:val="22"/>
          <w:rtl/>
        </w:rPr>
        <w:t>ההגעה</w:t>
      </w:r>
      <w:r w:rsidRPr="00784C6F">
        <w:rPr>
          <w:rFonts w:ascii="Century" w:hAnsi="Century"/>
          <w:sz w:val="22"/>
          <w:rtl/>
        </w:rPr>
        <w:t xml:space="preserve"> </w:t>
      </w:r>
      <w:r w:rsidRPr="00784C6F">
        <w:rPr>
          <w:rFonts w:ascii="Century" w:hAnsi="Century" w:hint="eastAsia"/>
          <w:sz w:val="22"/>
          <w:rtl/>
        </w:rPr>
        <w:t>לישראל</w:t>
      </w:r>
      <w:r w:rsidRPr="00784C6F">
        <w:rPr>
          <w:rFonts w:ascii="Century" w:hAnsi="Century"/>
          <w:sz w:val="22"/>
          <w:rtl/>
        </w:rPr>
        <w:t xml:space="preserve"> </w:t>
      </w:r>
      <w:r w:rsidRPr="00784C6F">
        <w:rPr>
          <w:rFonts w:ascii="Century" w:hAnsi="Century" w:hint="eastAsia"/>
          <w:sz w:val="22"/>
          <w:rtl/>
        </w:rPr>
        <w:t>מרכז</w:t>
      </w:r>
      <w:r w:rsidRPr="00784C6F">
        <w:rPr>
          <w:rFonts w:ascii="Century" w:hAnsi="Century"/>
          <w:sz w:val="22"/>
          <w:rtl/>
        </w:rPr>
        <w:t xml:space="preserve"> </w:t>
      </w:r>
      <w:r w:rsidRPr="00784C6F">
        <w:rPr>
          <w:rFonts w:ascii="Century" w:hAnsi="Century" w:hint="eastAsia"/>
          <w:sz w:val="22"/>
          <w:rtl/>
        </w:rPr>
        <w:t>חייה</w:t>
      </w:r>
      <w:r w:rsidRPr="00784C6F">
        <w:rPr>
          <w:rFonts w:ascii="Century" w:hAnsi="Century"/>
          <w:sz w:val="22"/>
          <w:rtl/>
        </w:rPr>
        <w:t xml:space="preserve"> </w:t>
      </w:r>
      <w:r w:rsidRPr="00784C6F">
        <w:rPr>
          <w:rFonts w:ascii="Century" w:hAnsi="Century" w:hint="eastAsia"/>
          <w:sz w:val="22"/>
          <w:rtl/>
        </w:rPr>
        <w:t>של</w:t>
      </w:r>
      <w:r w:rsidRPr="00784C6F">
        <w:rPr>
          <w:rFonts w:ascii="Century" w:hAnsi="Century"/>
          <w:sz w:val="22"/>
          <w:rtl/>
        </w:rPr>
        <w:t xml:space="preserve"> </w:t>
      </w:r>
      <w:r w:rsidRPr="00784C6F">
        <w:rPr>
          <w:rFonts w:ascii="Century" w:hAnsi="Century" w:hint="eastAsia"/>
          <w:sz w:val="22"/>
          <w:rtl/>
        </w:rPr>
        <w:t>האלמנה</w:t>
      </w:r>
      <w:r w:rsidRPr="00784C6F">
        <w:rPr>
          <w:rFonts w:ascii="Century" w:hAnsi="Century"/>
          <w:sz w:val="22"/>
          <w:rtl/>
        </w:rPr>
        <w:t xml:space="preserve"> </w:t>
      </w:r>
      <w:r w:rsidRPr="00784C6F">
        <w:rPr>
          <w:rFonts w:ascii="Century" w:hAnsi="Century" w:hint="eastAsia"/>
          <w:sz w:val="22"/>
          <w:rtl/>
        </w:rPr>
        <w:t>נותר</w:t>
      </w:r>
      <w:r w:rsidRPr="00784C6F">
        <w:rPr>
          <w:rFonts w:ascii="Century" w:hAnsi="Century"/>
          <w:sz w:val="22"/>
          <w:rtl/>
        </w:rPr>
        <w:t xml:space="preserve"> </w:t>
      </w:r>
      <w:r w:rsidRPr="00784C6F">
        <w:rPr>
          <w:rFonts w:ascii="Century" w:hAnsi="Century" w:hint="eastAsia"/>
          <w:sz w:val="22"/>
          <w:rtl/>
        </w:rPr>
        <w:t>ישראל</w:t>
      </w:r>
      <w:r w:rsidRPr="00784C6F">
        <w:rPr>
          <w:rFonts w:ascii="Century" w:hAnsi="Century"/>
          <w:sz w:val="22"/>
          <w:rtl/>
        </w:rPr>
        <w:t xml:space="preserve"> </w:t>
      </w:r>
      <w:r w:rsidRPr="00784C6F">
        <w:rPr>
          <w:rFonts w:ascii="Century" w:hAnsi="Century" w:hint="eastAsia"/>
          <w:sz w:val="22"/>
          <w:rtl/>
        </w:rPr>
        <w:t>ובכך</w:t>
      </w:r>
      <w:r w:rsidRPr="00784C6F">
        <w:rPr>
          <w:rFonts w:ascii="Century" w:hAnsi="Century"/>
          <w:sz w:val="22"/>
          <w:rtl/>
        </w:rPr>
        <w:t xml:space="preserve"> </w:t>
      </w:r>
      <w:r w:rsidRPr="00784C6F">
        <w:rPr>
          <w:rFonts w:ascii="Century" w:hAnsi="Century" w:hint="eastAsia"/>
          <w:sz w:val="22"/>
          <w:rtl/>
        </w:rPr>
        <w:t>שילדיה</w:t>
      </w:r>
      <w:r w:rsidRPr="00784C6F">
        <w:rPr>
          <w:rFonts w:ascii="Century" w:hAnsi="Century"/>
          <w:sz w:val="22"/>
          <w:rtl/>
        </w:rPr>
        <w:t xml:space="preserve"> </w:t>
      </w:r>
      <w:r w:rsidRPr="00784C6F">
        <w:rPr>
          <w:rFonts w:ascii="Century" w:hAnsi="Century" w:hint="eastAsia"/>
          <w:sz w:val="22"/>
          <w:rtl/>
        </w:rPr>
        <w:t>עודם</w:t>
      </w:r>
      <w:r w:rsidRPr="00784C6F">
        <w:rPr>
          <w:rFonts w:ascii="Century" w:hAnsi="Century"/>
          <w:sz w:val="22"/>
          <w:rtl/>
        </w:rPr>
        <w:t xml:space="preserve"> </w:t>
      </w:r>
      <w:r w:rsidRPr="00784C6F">
        <w:rPr>
          <w:rFonts w:ascii="Century" w:hAnsi="Century" w:hint="eastAsia"/>
          <w:sz w:val="22"/>
          <w:rtl/>
        </w:rPr>
        <w:t>חיים</w:t>
      </w:r>
      <w:r w:rsidRPr="00784C6F">
        <w:rPr>
          <w:rFonts w:ascii="Century" w:hAnsi="Century"/>
          <w:sz w:val="22"/>
          <w:rtl/>
        </w:rPr>
        <w:t xml:space="preserve"> </w:t>
      </w:r>
      <w:r w:rsidRPr="00784C6F">
        <w:rPr>
          <w:rFonts w:ascii="Century" w:hAnsi="Century" w:hint="eastAsia"/>
          <w:sz w:val="22"/>
          <w:rtl/>
        </w:rPr>
        <w:t>בה</w:t>
      </w:r>
      <w:r w:rsidRPr="00784C6F">
        <w:rPr>
          <w:rFonts w:ascii="Century" w:hAnsi="Century"/>
          <w:sz w:val="22"/>
          <w:rtl/>
        </w:rPr>
        <w:t xml:space="preserve">. </w:t>
      </w:r>
      <w:r w:rsidRPr="00784C6F">
        <w:rPr>
          <w:rFonts w:ascii="Century" w:hAnsi="Century" w:hint="eastAsia"/>
          <w:sz w:val="22"/>
          <w:rtl/>
        </w:rPr>
        <w:t>בנוסף</w:t>
      </w:r>
      <w:r w:rsidRPr="00784C6F">
        <w:rPr>
          <w:rFonts w:ascii="Century" w:hAnsi="Century"/>
          <w:sz w:val="22"/>
          <w:rtl/>
        </w:rPr>
        <w:t xml:space="preserve">, </w:t>
      </w:r>
      <w:r w:rsidRPr="00784C6F">
        <w:rPr>
          <w:rFonts w:ascii="Century" w:hAnsi="Century" w:hint="eastAsia"/>
          <w:sz w:val="22"/>
          <w:rtl/>
        </w:rPr>
        <w:lastRenderedPageBreak/>
        <w:t>ההנחיה</w:t>
      </w:r>
      <w:r w:rsidRPr="00784C6F">
        <w:rPr>
          <w:rFonts w:ascii="Century" w:hAnsi="Century"/>
          <w:sz w:val="22"/>
          <w:rtl/>
        </w:rPr>
        <w:t xml:space="preserve"> </w:t>
      </w:r>
      <w:r w:rsidRPr="00784C6F">
        <w:rPr>
          <w:rFonts w:ascii="Century" w:hAnsi="Century" w:hint="eastAsia"/>
          <w:sz w:val="22"/>
          <w:rtl/>
        </w:rPr>
        <w:t>שוללת</w:t>
      </w:r>
      <w:r w:rsidRPr="00784C6F">
        <w:rPr>
          <w:rFonts w:ascii="Century" w:hAnsi="Century"/>
          <w:sz w:val="22"/>
          <w:rtl/>
        </w:rPr>
        <w:t xml:space="preserve"> </w:t>
      </w:r>
      <w:r w:rsidRPr="00784C6F">
        <w:rPr>
          <w:rFonts w:ascii="Century" w:hAnsi="Century" w:hint="eastAsia"/>
          <w:sz w:val="22"/>
          <w:rtl/>
        </w:rPr>
        <w:t>את</w:t>
      </w:r>
      <w:r w:rsidRPr="00784C6F">
        <w:rPr>
          <w:rFonts w:ascii="Century" w:hAnsi="Century"/>
          <w:sz w:val="22"/>
          <w:rtl/>
        </w:rPr>
        <w:t xml:space="preserve"> </w:t>
      </w:r>
      <w:r w:rsidRPr="00784C6F">
        <w:rPr>
          <w:rFonts w:ascii="Century" w:hAnsi="Century" w:hint="eastAsia"/>
          <w:sz w:val="22"/>
          <w:rtl/>
        </w:rPr>
        <w:t>זכאותה</w:t>
      </w:r>
      <w:r w:rsidRPr="00784C6F">
        <w:rPr>
          <w:rFonts w:ascii="Century" w:hAnsi="Century"/>
          <w:sz w:val="22"/>
          <w:rtl/>
        </w:rPr>
        <w:t xml:space="preserve"> </w:t>
      </w:r>
      <w:r w:rsidRPr="00784C6F">
        <w:rPr>
          <w:rFonts w:ascii="Century" w:hAnsi="Century" w:hint="eastAsia"/>
          <w:sz w:val="22"/>
          <w:rtl/>
        </w:rPr>
        <w:t>של</w:t>
      </w:r>
      <w:r w:rsidRPr="00784C6F">
        <w:rPr>
          <w:rFonts w:ascii="Century" w:hAnsi="Century"/>
          <w:sz w:val="22"/>
          <w:rtl/>
        </w:rPr>
        <w:t xml:space="preserve"> </w:t>
      </w:r>
      <w:r w:rsidRPr="00784C6F">
        <w:rPr>
          <w:rFonts w:ascii="Century" w:hAnsi="Century" w:hint="eastAsia"/>
          <w:sz w:val="22"/>
          <w:rtl/>
        </w:rPr>
        <w:t>אלמנת</w:t>
      </w:r>
      <w:r w:rsidRPr="00784C6F">
        <w:rPr>
          <w:rFonts w:ascii="Century" w:hAnsi="Century"/>
          <w:sz w:val="22"/>
          <w:rtl/>
        </w:rPr>
        <w:t xml:space="preserve"> </w:t>
      </w:r>
      <w:r w:rsidRPr="00784C6F">
        <w:rPr>
          <w:rFonts w:ascii="Century" w:hAnsi="Century" w:hint="eastAsia"/>
          <w:sz w:val="22"/>
          <w:rtl/>
        </w:rPr>
        <w:t>הילד</w:t>
      </w:r>
      <w:r w:rsidRPr="00784C6F">
        <w:rPr>
          <w:rFonts w:ascii="Century" w:hAnsi="Century"/>
          <w:sz w:val="22"/>
          <w:rtl/>
        </w:rPr>
        <w:t xml:space="preserve"> </w:t>
      </w:r>
      <w:r w:rsidRPr="00784C6F">
        <w:rPr>
          <w:rFonts w:ascii="Century" w:hAnsi="Century" w:hint="eastAsia"/>
          <w:sz w:val="22"/>
          <w:rtl/>
        </w:rPr>
        <w:t>במצב</w:t>
      </w:r>
      <w:r w:rsidRPr="00784C6F">
        <w:rPr>
          <w:rFonts w:ascii="Century" w:hAnsi="Century"/>
          <w:sz w:val="22"/>
          <w:rtl/>
        </w:rPr>
        <w:t xml:space="preserve"> </w:t>
      </w:r>
      <w:r w:rsidRPr="00784C6F">
        <w:rPr>
          <w:rFonts w:ascii="Century" w:hAnsi="Century" w:hint="eastAsia"/>
          <w:sz w:val="22"/>
          <w:rtl/>
        </w:rPr>
        <w:t>שבו</w:t>
      </w:r>
      <w:r w:rsidRPr="00784C6F">
        <w:rPr>
          <w:rFonts w:ascii="Century" w:hAnsi="Century"/>
          <w:sz w:val="22"/>
          <w:rtl/>
        </w:rPr>
        <w:t xml:space="preserve"> </w:t>
      </w:r>
      <w:r w:rsidRPr="00784C6F">
        <w:rPr>
          <w:rFonts w:ascii="Century" w:hAnsi="Century" w:hint="eastAsia"/>
          <w:sz w:val="22"/>
          <w:rtl/>
        </w:rPr>
        <w:t>אין</w:t>
      </w:r>
      <w:r w:rsidRPr="00784C6F">
        <w:rPr>
          <w:rFonts w:ascii="Century" w:hAnsi="Century"/>
          <w:sz w:val="22"/>
          <w:rtl/>
        </w:rPr>
        <w:t xml:space="preserve"> </w:t>
      </w:r>
      <w:r w:rsidRPr="00784C6F">
        <w:rPr>
          <w:rFonts w:ascii="Century" w:hAnsi="Century" w:hint="eastAsia"/>
          <w:sz w:val="22"/>
          <w:rtl/>
        </w:rPr>
        <w:t>לה</w:t>
      </w:r>
      <w:r w:rsidRPr="00784C6F">
        <w:rPr>
          <w:rFonts w:ascii="Century" w:hAnsi="Century"/>
          <w:sz w:val="22"/>
          <w:rtl/>
        </w:rPr>
        <w:t xml:space="preserve"> </w:t>
      </w:r>
      <w:r w:rsidRPr="00784C6F">
        <w:rPr>
          <w:rFonts w:ascii="Century" w:hAnsi="Century" w:hint="eastAsia"/>
          <w:sz w:val="22"/>
          <w:rtl/>
        </w:rPr>
        <w:t>ילדים</w:t>
      </w:r>
      <w:r w:rsidRPr="00784C6F">
        <w:rPr>
          <w:rFonts w:ascii="Century" w:hAnsi="Century"/>
          <w:sz w:val="22"/>
          <w:rtl/>
        </w:rPr>
        <w:t xml:space="preserve"> </w:t>
      </w:r>
      <w:r w:rsidRPr="00784C6F">
        <w:rPr>
          <w:rFonts w:ascii="Century" w:hAnsi="Century" w:hint="eastAsia"/>
          <w:sz w:val="22"/>
          <w:rtl/>
        </w:rPr>
        <w:t>משותפים</w:t>
      </w:r>
      <w:r w:rsidRPr="00784C6F">
        <w:rPr>
          <w:rFonts w:ascii="Century" w:hAnsi="Century"/>
          <w:sz w:val="22"/>
          <w:rtl/>
        </w:rPr>
        <w:t xml:space="preserve"> </w:t>
      </w:r>
      <w:r w:rsidRPr="00784C6F">
        <w:rPr>
          <w:rFonts w:ascii="Century" w:hAnsi="Century" w:hint="eastAsia"/>
          <w:sz w:val="22"/>
          <w:rtl/>
        </w:rPr>
        <w:t>עמו</w:t>
      </w:r>
      <w:r w:rsidRPr="00784C6F">
        <w:rPr>
          <w:rFonts w:ascii="Century" w:hAnsi="Century"/>
          <w:sz w:val="22"/>
          <w:rtl/>
        </w:rPr>
        <w:t xml:space="preserve"> </w:t>
      </w:r>
      <w:r w:rsidRPr="00784C6F">
        <w:rPr>
          <w:rFonts w:ascii="Century" w:hAnsi="Century" w:hint="eastAsia"/>
          <w:sz w:val="22"/>
          <w:rtl/>
        </w:rPr>
        <w:t>וכן</w:t>
      </w:r>
      <w:r w:rsidRPr="00784C6F">
        <w:rPr>
          <w:rFonts w:ascii="Century" w:hAnsi="Century" w:hint="cs"/>
          <w:sz w:val="22"/>
          <w:rtl/>
        </w:rPr>
        <w:t xml:space="preserve"> </w:t>
      </w:r>
      <w:r w:rsidRPr="00784C6F">
        <w:rPr>
          <w:rFonts w:ascii="Century" w:hAnsi="Century" w:hint="eastAsia"/>
          <w:sz w:val="22"/>
          <w:rtl/>
        </w:rPr>
        <w:t>את</w:t>
      </w:r>
      <w:r w:rsidRPr="00784C6F">
        <w:rPr>
          <w:rFonts w:ascii="Century" w:hAnsi="Century"/>
          <w:sz w:val="22"/>
          <w:rtl/>
        </w:rPr>
        <w:t xml:space="preserve"> </w:t>
      </w:r>
      <w:r w:rsidRPr="00784C6F">
        <w:rPr>
          <w:rFonts w:ascii="Century" w:hAnsi="Century" w:hint="eastAsia"/>
          <w:sz w:val="22"/>
          <w:rtl/>
        </w:rPr>
        <w:t>זכאותה</w:t>
      </w:r>
      <w:r w:rsidRPr="00784C6F">
        <w:rPr>
          <w:rFonts w:ascii="Century" w:hAnsi="Century"/>
          <w:sz w:val="22"/>
          <w:rtl/>
        </w:rPr>
        <w:t xml:space="preserve"> </w:t>
      </w:r>
      <w:r w:rsidRPr="00784C6F">
        <w:rPr>
          <w:rFonts w:ascii="Century" w:hAnsi="Century" w:hint="eastAsia"/>
          <w:sz w:val="22"/>
          <w:rtl/>
        </w:rPr>
        <w:t>של</w:t>
      </w:r>
      <w:r w:rsidRPr="00784C6F">
        <w:rPr>
          <w:rFonts w:ascii="Century" w:hAnsi="Century"/>
          <w:sz w:val="22"/>
          <w:rtl/>
        </w:rPr>
        <w:t xml:space="preserve"> </w:t>
      </w:r>
      <w:r w:rsidRPr="00784C6F">
        <w:rPr>
          <w:rFonts w:ascii="Century" w:hAnsi="Century" w:hint="eastAsia"/>
          <w:sz w:val="22"/>
          <w:rtl/>
        </w:rPr>
        <w:t>אלמנת</w:t>
      </w:r>
      <w:r w:rsidRPr="00784C6F">
        <w:rPr>
          <w:rFonts w:ascii="Century" w:hAnsi="Century"/>
          <w:sz w:val="22"/>
          <w:rtl/>
        </w:rPr>
        <w:t xml:space="preserve"> </w:t>
      </w:r>
      <w:r w:rsidRPr="00784C6F">
        <w:rPr>
          <w:rFonts w:ascii="Century" w:hAnsi="Century" w:hint="eastAsia"/>
          <w:sz w:val="22"/>
          <w:rtl/>
        </w:rPr>
        <w:t>הנכד</w:t>
      </w:r>
      <w:r w:rsidRPr="00784C6F">
        <w:rPr>
          <w:rFonts w:ascii="Century" w:hAnsi="Century" w:hint="cs"/>
          <w:sz w:val="22"/>
          <w:rtl/>
        </w:rPr>
        <w:t xml:space="preserve"> (למעט בהתקיימן </w:t>
      </w:r>
      <w:r w:rsidRPr="00784C6F">
        <w:rPr>
          <w:rtl/>
        </w:rPr>
        <w:t>נסיבות חריגות,</w:t>
      </w:r>
      <w:r w:rsidRPr="00784C6F">
        <w:rPr>
          <w:rFonts w:hint="cs"/>
          <w:rtl/>
        </w:rPr>
        <w:t xml:space="preserve"> אז</w:t>
      </w:r>
      <w:r w:rsidRPr="00784C6F">
        <w:rPr>
          <w:rtl/>
        </w:rPr>
        <w:t xml:space="preserve"> תועבר </w:t>
      </w:r>
      <w:r w:rsidRPr="00784C6F">
        <w:rPr>
          <w:rFonts w:hint="cs"/>
          <w:rtl/>
        </w:rPr>
        <w:t xml:space="preserve">כאמור </w:t>
      </w:r>
      <w:r w:rsidRPr="00784C6F">
        <w:rPr>
          <w:rtl/>
        </w:rPr>
        <w:t>הבקשה לבחינת מטה מינהל האוכלוסין</w:t>
      </w:r>
      <w:r w:rsidRPr="00784C6F">
        <w:rPr>
          <w:rFonts w:ascii="Century" w:hAnsi="Century" w:hint="cs"/>
          <w:sz w:val="22"/>
          <w:rtl/>
        </w:rPr>
        <w:t>)</w:t>
      </w:r>
      <w:r w:rsidRPr="00784C6F">
        <w:rPr>
          <w:rFonts w:ascii="Century" w:hAnsi="Century"/>
          <w:sz w:val="22"/>
          <w:rtl/>
        </w:rPr>
        <w:t xml:space="preserve">. </w:t>
      </w:r>
      <w:r w:rsidRPr="00784C6F">
        <w:rPr>
          <w:rFonts w:ascii="Century" w:hAnsi="Century" w:hint="eastAsia"/>
          <w:sz w:val="22"/>
          <w:rtl/>
        </w:rPr>
        <w:t>כמו</w:t>
      </w:r>
      <w:r w:rsidRPr="00784C6F">
        <w:rPr>
          <w:rFonts w:ascii="Century" w:hAnsi="Century"/>
          <w:sz w:val="22"/>
          <w:rtl/>
        </w:rPr>
        <w:t xml:space="preserve"> </w:t>
      </w:r>
      <w:r w:rsidRPr="00784C6F">
        <w:rPr>
          <w:rFonts w:ascii="Century" w:hAnsi="Century" w:hint="eastAsia"/>
          <w:sz w:val="22"/>
          <w:rtl/>
        </w:rPr>
        <w:t>כן</w:t>
      </w:r>
      <w:r w:rsidRPr="00784C6F">
        <w:rPr>
          <w:rFonts w:ascii="Century" w:hAnsi="Century"/>
          <w:sz w:val="22"/>
          <w:rtl/>
        </w:rPr>
        <w:t xml:space="preserve">, </w:t>
      </w:r>
      <w:r w:rsidRPr="00784C6F">
        <w:rPr>
          <w:rFonts w:ascii="Century" w:hAnsi="Century" w:hint="eastAsia"/>
          <w:sz w:val="22"/>
          <w:rtl/>
        </w:rPr>
        <w:t>המעמד</w:t>
      </w:r>
      <w:r w:rsidRPr="00784C6F">
        <w:rPr>
          <w:rFonts w:ascii="Century" w:hAnsi="Century"/>
          <w:sz w:val="22"/>
          <w:rtl/>
        </w:rPr>
        <w:t xml:space="preserve"> </w:t>
      </w:r>
      <w:r w:rsidRPr="00784C6F">
        <w:rPr>
          <w:rFonts w:ascii="Century" w:hAnsi="Century" w:hint="eastAsia"/>
          <w:sz w:val="22"/>
          <w:rtl/>
        </w:rPr>
        <w:t>החלופי</w:t>
      </w:r>
      <w:r w:rsidRPr="00784C6F">
        <w:rPr>
          <w:rFonts w:ascii="Century" w:hAnsi="Century"/>
          <w:sz w:val="22"/>
          <w:rtl/>
        </w:rPr>
        <w:t xml:space="preserve"> </w:t>
      </w:r>
      <w:r w:rsidRPr="00784C6F">
        <w:rPr>
          <w:rFonts w:ascii="Century" w:hAnsi="Century" w:hint="eastAsia"/>
          <w:sz w:val="22"/>
          <w:rtl/>
        </w:rPr>
        <w:t>שמוצע</w:t>
      </w:r>
      <w:r w:rsidRPr="00784C6F">
        <w:rPr>
          <w:rFonts w:ascii="Century" w:hAnsi="Century"/>
          <w:sz w:val="22"/>
          <w:rtl/>
        </w:rPr>
        <w:t xml:space="preserve"> </w:t>
      </w:r>
      <w:r w:rsidRPr="00784C6F">
        <w:rPr>
          <w:rFonts w:ascii="Century" w:hAnsi="Century" w:hint="eastAsia"/>
          <w:sz w:val="22"/>
          <w:rtl/>
        </w:rPr>
        <w:t>לאלמנת</w:t>
      </w:r>
      <w:r w:rsidRPr="00784C6F">
        <w:rPr>
          <w:rFonts w:ascii="Century" w:hAnsi="Century"/>
          <w:sz w:val="22"/>
          <w:rtl/>
        </w:rPr>
        <w:t xml:space="preserve"> </w:t>
      </w:r>
      <w:r w:rsidRPr="00784C6F">
        <w:rPr>
          <w:rFonts w:ascii="Century" w:hAnsi="Century" w:hint="eastAsia"/>
          <w:sz w:val="22"/>
          <w:rtl/>
        </w:rPr>
        <w:t>זכאי</w:t>
      </w:r>
      <w:r w:rsidRPr="00784C6F">
        <w:rPr>
          <w:rFonts w:ascii="Century" w:hAnsi="Century"/>
          <w:sz w:val="22"/>
          <w:rtl/>
        </w:rPr>
        <w:t xml:space="preserve"> </w:t>
      </w:r>
      <w:r w:rsidRPr="00784C6F">
        <w:rPr>
          <w:rFonts w:ascii="Century" w:hAnsi="Century" w:hint="eastAsia"/>
          <w:sz w:val="22"/>
          <w:rtl/>
        </w:rPr>
        <w:t>השבות</w:t>
      </w:r>
      <w:r w:rsidRPr="00784C6F">
        <w:rPr>
          <w:rFonts w:ascii="Century" w:hAnsi="Century"/>
          <w:sz w:val="22"/>
          <w:rtl/>
        </w:rPr>
        <w:t xml:space="preserve"> </w:t>
      </w:r>
      <w:r w:rsidRPr="00784C6F">
        <w:rPr>
          <w:rFonts w:ascii="Century" w:hAnsi="Century" w:hint="eastAsia"/>
          <w:sz w:val="22"/>
          <w:rtl/>
        </w:rPr>
        <w:t>שונה</w:t>
      </w:r>
      <w:r w:rsidRPr="00784C6F">
        <w:rPr>
          <w:rFonts w:ascii="Century" w:hAnsi="Century"/>
          <w:sz w:val="22"/>
          <w:rtl/>
        </w:rPr>
        <w:t xml:space="preserve"> </w:t>
      </w:r>
      <w:r w:rsidRPr="00784C6F">
        <w:rPr>
          <w:rFonts w:ascii="Century" w:hAnsi="Century" w:hint="eastAsia"/>
          <w:sz w:val="22"/>
          <w:rtl/>
        </w:rPr>
        <w:t>במהותו</w:t>
      </w:r>
      <w:r w:rsidRPr="00784C6F">
        <w:rPr>
          <w:rFonts w:ascii="Century" w:hAnsi="Century"/>
          <w:sz w:val="22"/>
          <w:rtl/>
        </w:rPr>
        <w:t xml:space="preserve"> </w:t>
      </w:r>
      <w:r w:rsidRPr="00784C6F">
        <w:rPr>
          <w:rFonts w:ascii="Century" w:hAnsi="Century" w:hint="eastAsia"/>
          <w:sz w:val="22"/>
          <w:rtl/>
        </w:rPr>
        <w:t>מהמעמד</w:t>
      </w:r>
      <w:r w:rsidRPr="00784C6F">
        <w:rPr>
          <w:rFonts w:ascii="Century" w:hAnsi="Century"/>
          <w:sz w:val="22"/>
          <w:rtl/>
        </w:rPr>
        <w:t xml:space="preserve"> </w:t>
      </w:r>
      <w:r w:rsidRPr="00784C6F">
        <w:rPr>
          <w:rFonts w:ascii="Century" w:hAnsi="Century" w:hint="eastAsia"/>
          <w:sz w:val="22"/>
          <w:rtl/>
        </w:rPr>
        <w:t>שניתן</w:t>
      </w:r>
      <w:r w:rsidRPr="00784C6F">
        <w:rPr>
          <w:rFonts w:ascii="Century" w:hAnsi="Century"/>
          <w:sz w:val="22"/>
          <w:rtl/>
        </w:rPr>
        <w:t xml:space="preserve"> </w:t>
      </w:r>
      <w:r w:rsidRPr="00784C6F">
        <w:rPr>
          <w:rFonts w:ascii="Century" w:hAnsi="Century" w:hint="eastAsia"/>
          <w:sz w:val="22"/>
          <w:rtl/>
        </w:rPr>
        <w:t>לפי</w:t>
      </w:r>
      <w:r w:rsidRPr="00784C6F">
        <w:rPr>
          <w:rFonts w:ascii="Century" w:hAnsi="Century"/>
          <w:sz w:val="22"/>
          <w:rtl/>
        </w:rPr>
        <w:t xml:space="preserve"> </w:t>
      </w:r>
      <w:r w:rsidRPr="00784C6F">
        <w:rPr>
          <w:rFonts w:ascii="Century" w:hAnsi="Century" w:hint="eastAsia"/>
          <w:sz w:val="22"/>
          <w:rtl/>
        </w:rPr>
        <w:t>חוק</w:t>
      </w:r>
      <w:r w:rsidRPr="00784C6F">
        <w:rPr>
          <w:rFonts w:ascii="Century" w:hAnsi="Century"/>
          <w:sz w:val="22"/>
          <w:rtl/>
        </w:rPr>
        <w:t xml:space="preserve"> </w:t>
      </w:r>
      <w:r w:rsidRPr="00784C6F">
        <w:rPr>
          <w:rFonts w:ascii="Century" w:hAnsi="Century" w:hint="eastAsia"/>
          <w:sz w:val="22"/>
          <w:rtl/>
        </w:rPr>
        <w:t>השבות</w:t>
      </w:r>
      <w:r w:rsidRPr="00784C6F">
        <w:rPr>
          <w:rFonts w:ascii="Century" w:hAnsi="Century"/>
          <w:sz w:val="22"/>
          <w:rtl/>
        </w:rPr>
        <w:t xml:space="preserve">: </w:t>
      </w:r>
      <w:r w:rsidRPr="00784C6F">
        <w:rPr>
          <w:rFonts w:ascii="Century" w:hAnsi="Century" w:hint="eastAsia"/>
          <w:sz w:val="22"/>
          <w:rtl/>
        </w:rPr>
        <w:t>אין</w:t>
      </w:r>
      <w:r w:rsidRPr="00784C6F">
        <w:rPr>
          <w:rFonts w:ascii="Century" w:hAnsi="Century"/>
          <w:sz w:val="22"/>
          <w:rtl/>
        </w:rPr>
        <w:t xml:space="preserve"> </w:t>
      </w:r>
      <w:r w:rsidRPr="00784C6F">
        <w:rPr>
          <w:rFonts w:ascii="Century" w:hAnsi="Century" w:hint="eastAsia"/>
          <w:sz w:val="22"/>
          <w:rtl/>
        </w:rPr>
        <w:t>מדובר</w:t>
      </w:r>
      <w:r w:rsidRPr="00784C6F">
        <w:rPr>
          <w:rFonts w:ascii="Century" w:hAnsi="Century"/>
          <w:sz w:val="22"/>
          <w:rtl/>
        </w:rPr>
        <w:t xml:space="preserve"> </w:t>
      </w:r>
      <w:r w:rsidRPr="00784C6F">
        <w:rPr>
          <w:rFonts w:ascii="Century" w:hAnsi="Century" w:hint="eastAsia"/>
          <w:sz w:val="22"/>
          <w:rtl/>
        </w:rPr>
        <w:t>בהתאזרחות</w:t>
      </w:r>
      <w:r w:rsidRPr="00784C6F">
        <w:rPr>
          <w:rFonts w:ascii="Century" w:hAnsi="Century"/>
          <w:sz w:val="22"/>
          <w:rtl/>
        </w:rPr>
        <w:t xml:space="preserve">, </w:t>
      </w:r>
      <w:r w:rsidRPr="00784C6F">
        <w:rPr>
          <w:rFonts w:ascii="Century" w:hAnsi="Century" w:hint="eastAsia"/>
          <w:sz w:val="22"/>
          <w:rtl/>
        </w:rPr>
        <w:t>אלא</w:t>
      </w:r>
      <w:r w:rsidRPr="00784C6F">
        <w:rPr>
          <w:rFonts w:ascii="Century" w:hAnsi="Century"/>
          <w:sz w:val="22"/>
          <w:rtl/>
        </w:rPr>
        <w:t xml:space="preserve"> </w:t>
      </w:r>
      <w:r w:rsidRPr="00784C6F">
        <w:rPr>
          <w:rFonts w:ascii="Century" w:hAnsi="Century" w:hint="eastAsia"/>
          <w:sz w:val="22"/>
          <w:rtl/>
        </w:rPr>
        <w:t>ברישיון</w:t>
      </w:r>
      <w:r w:rsidRPr="00784C6F">
        <w:rPr>
          <w:rFonts w:ascii="Century" w:hAnsi="Century"/>
          <w:sz w:val="22"/>
          <w:rtl/>
        </w:rPr>
        <w:t xml:space="preserve"> </w:t>
      </w:r>
      <w:r w:rsidRPr="00784C6F">
        <w:rPr>
          <w:rFonts w:ascii="Century" w:hAnsi="Century" w:hint="eastAsia"/>
          <w:sz w:val="22"/>
          <w:rtl/>
        </w:rPr>
        <w:t>מסוג</w:t>
      </w:r>
      <w:r w:rsidRPr="00784C6F">
        <w:rPr>
          <w:rFonts w:ascii="Century" w:hAnsi="Century"/>
          <w:sz w:val="22"/>
          <w:rtl/>
        </w:rPr>
        <w:t xml:space="preserve"> </w:t>
      </w:r>
      <w:r w:rsidRPr="00784C6F">
        <w:rPr>
          <w:rFonts w:ascii="Century" w:hAnsi="Century" w:hint="eastAsia"/>
          <w:sz w:val="22"/>
          <w:rtl/>
        </w:rPr>
        <w:t>ב</w:t>
      </w:r>
      <w:r w:rsidRPr="00784C6F">
        <w:rPr>
          <w:rFonts w:ascii="Century" w:hAnsi="Century"/>
          <w:sz w:val="22"/>
          <w:rtl/>
        </w:rPr>
        <w:t xml:space="preserve">/1 </w:t>
      </w:r>
      <w:r w:rsidRPr="00784C6F">
        <w:rPr>
          <w:rFonts w:ascii="Century" w:hAnsi="Century" w:hint="eastAsia"/>
          <w:sz w:val="22"/>
          <w:rtl/>
        </w:rPr>
        <w:t>או</w:t>
      </w:r>
      <w:r w:rsidRPr="00784C6F">
        <w:rPr>
          <w:rFonts w:ascii="Century" w:hAnsi="Century"/>
          <w:sz w:val="22"/>
          <w:rtl/>
        </w:rPr>
        <w:t xml:space="preserve"> </w:t>
      </w:r>
      <w:r w:rsidRPr="00784C6F">
        <w:rPr>
          <w:rFonts w:ascii="Century" w:hAnsi="Century" w:hint="eastAsia"/>
          <w:sz w:val="22"/>
          <w:rtl/>
        </w:rPr>
        <w:t>א</w:t>
      </w:r>
      <w:r w:rsidRPr="00784C6F">
        <w:rPr>
          <w:rFonts w:ascii="Century" w:hAnsi="Century"/>
          <w:sz w:val="22"/>
          <w:rtl/>
        </w:rPr>
        <w:t xml:space="preserve">/5. </w:t>
      </w:r>
      <w:r w:rsidRPr="00784C6F">
        <w:rPr>
          <w:rFonts w:ascii="Century" w:hAnsi="Century" w:hint="cs"/>
          <w:sz w:val="22"/>
          <w:rtl/>
        </w:rPr>
        <w:t>סוגי מעמד</w:t>
      </w:r>
      <w:r w:rsidRPr="00784C6F">
        <w:rPr>
          <w:rFonts w:ascii="Century" w:hAnsi="Century"/>
          <w:sz w:val="22"/>
          <w:rtl/>
        </w:rPr>
        <w:t xml:space="preserve"> </w:t>
      </w:r>
      <w:r w:rsidRPr="00784C6F">
        <w:rPr>
          <w:rFonts w:ascii="Century" w:hAnsi="Century" w:hint="eastAsia"/>
          <w:sz w:val="22"/>
          <w:rtl/>
        </w:rPr>
        <w:t>אלה</w:t>
      </w:r>
      <w:r w:rsidRPr="00784C6F">
        <w:rPr>
          <w:rFonts w:ascii="Century" w:hAnsi="Century"/>
          <w:sz w:val="22"/>
          <w:rtl/>
        </w:rPr>
        <w:t xml:space="preserve"> </w:t>
      </w:r>
      <w:r w:rsidRPr="00784C6F">
        <w:rPr>
          <w:rFonts w:ascii="Century" w:hAnsi="Century" w:hint="eastAsia"/>
          <w:sz w:val="22"/>
          <w:rtl/>
        </w:rPr>
        <w:t>נבדלים</w:t>
      </w:r>
      <w:r w:rsidRPr="00784C6F">
        <w:rPr>
          <w:rFonts w:ascii="Century" w:hAnsi="Century"/>
          <w:sz w:val="22"/>
          <w:rtl/>
        </w:rPr>
        <w:t xml:space="preserve"> </w:t>
      </w:r>
      <w:r w:rsidRPr="00784C6F">
        <w:rPr>
          <w:rFonts w:ascii="Century" w:hAnsi="Century" w:hint="cs"/>
          <w:sz w:val="22"/>
          <w:rtl/>
        </w:rPr>
        <w:t xml:space="preserve">באופן ניכר </w:t>
      </w:r>
      <w:r w:rsidRPr="00784C6F">
        <w:rPr>
          <w:rFonts w:ascii="Century" w:hAnsi="Century" w:hint="eastAsia"/>
          <w:sz w:val="22"/>
          <w:rtl/>
        </w:rPr>
        <w:t>הן</w:t>
      </w:r>
      <w:r w:rsidRPr="00784C6F">
        <w:rPr>
          <w:rFonts w:ascii="Century" w:hAnsi="Century"/>
          <w:sz w:val="22"/>
          <w:rtl/>
        </w:rPr>
        <w:t xml:space="preserve"> </w:t>
      </w:r>
      <w:r w:rsidRPr="00784C6F">
        <w:rPr>
          <w:rFonts w:ascii="Century" w:hAnsi="Century" w:hint="eastAsia"/>
          <w:sz w:val="22"/>
          <w:rtl/>
        </w:rPr>
        <w:t>ב</w:t>
      </w:r>
      <w:r w:rsidRPr="00784C6F">
        <w:rPr>
          <w:rtl/>
        </w:rPr>
        <w:t>זכויות וההטבות שניתנים מכוחם, הן ביציבות</w:t>
      </w:r>
      <w:r w:rsidRPr="00784C6F">
        <w:rPr>
          <w:rFonts w:hint="cs"/>
          <w:rtl/>
        </w:rPr>
        <w:t>ם</w:t>
      </w:r>
      <w:r w:rsidRPr="00784C6F">
        <w:rPr>
          <w:rtl/>
        </w:rPr>
        <w:t xml:space="preserve">. </w:t>
      </w:r>
    </w:p>
    <w:p w:rsidR="00E1330B" w:rsidRPr="00784C6F" w:rsidRDefault="00E1330B" w:rsidP="00E1330B">
      <w:pPr>
        <w:pStyle w:val="Ruller41"/>
      </w:pPr>
    </w:p>
    <w:p w:rsidR="00E1330B" w:rsidRPr="00784C6F" w:rsidRDefault="00E1330B" w:rsidP="00E1330B">
      <w:pPr>
        <w:pStyle w:val="1"/>
        <w:rPr>
          <w:rtl/>
        </w:rPr>
      </w:pPr>
      <w:r w:rsidRPr="00784C6F">
        <w:rPr>
          <w:rtl/>
        </w:rPr>
        <w:t>פרשנות סעיף 4א(א) לחוק השבות</w:t>
      </w:r>
    </w:p>
    <w:p w:rsidR="00E1330B" w:rsidRPr="00784C6F" w:rsidRDefault="00E1330B" w:rsidP="00E1330B">
      <w:pPr>
        <w:pStyle w:val="Ruller41"/>
        <w:rPr>
          <w:rtl/>
        </w:rPr>
      </w:pPr>
    </w:p>
    <w:p w:rsidR="00E1330B" w:rsidRPr="00784C6F" w:rsidRDefault="00E1330B" w:rsidP="00A87C12">
      <w:pPr>
        <w:pStyle w:val="Ruller4"/>
        <w:numPr>
          <w:ilvl w:val="0"/>
          <w:numId w:val="13"/>
        </w:numPr>
      </w:pPr>
      <w:r w:rsidRPr="00784C6F">
        <w:rPr>
          <w:rtl/>
        </w:rPr>
        <w:t xml:space="preserve">עקרונות הפרשנות התכליתית, כפי שאלה עוצבו בשיטת משפטנו, מורים כי פרשנות חקיקה תיעשה בשלושה שלבים. </w:t>
      </w:r>
      <w:r w:rsidR="00A87C12">
        <w:rPr>
          <w:rFonts w:hint="cs"/>
          <w:rtl/>
        </w:rPr>
        <w:t>בשלב ראשון,</w:t>
      </w:r>
      <w:r w:rsidRPr="00784C6F">
        <w:rPr>
          <w:rtl/>
        </w:rPr>
        <w:t xml:space="preserve"> על הפרשן לבחון את רכיב הלשון, בגדרו יש לחלץ ממילות החוק את המשמעויות שמצויות במתחם האפשרויות הלשוניות. </w:t>
      </w:r>
      <w:r w:rsidRPr="00784C6F">
        <w:rPr>
          <w:sz w:val="28"/>
          <w:rtl/>
        </w:rPr>
        <w:t xml:space="preserve">הפרשנות המילולית טומנת בחובה גמישות, ואולם אין למתוח את גבול הלשון בצורה מלאכותית. תנאי הכרחי לאימוץ חלופה פרשנית הוא עיגון לשוני, ולו מינימאלי, שכן </w:t>
      </w:r>
      <w:r w:rsidRPr="00784C6F">
        <w:rPr>
          <w:rtl/>
        </w:rPr>
        <w:t xml:space="preserve">"גבול הפרשנות הוא גבול הלשון" (ע"א 1900/96 </w:t>
      </w:r>
      <w:r w:rsidRPr="00784C6F">
        <w:rPr>
          <w:rFonts w:ascii="Century" w:hAnsi="Century" w:cs="Miriam"/>
          <w:b/>
          <w:spacing w:val="0"/>
          <w:sz w:val="22"/>
          <w:szCs w:val="24"/>
          <w:rtl/>
        </w:rPr>
        <w:t>טלמצ'יו נ' האפוטרופוס הכללי</w:t>
      </w:r>
      <w:r w:rsidRPr="00784C6F">
        <w:rPr>
          <w:rtl/>
        </w:rPr>
        <w:t xml:space="preserve">, פ"ד נג(2) 817, 827 (1999); כן ראו: בג"ץ 1765/22 </w:t>
      </w:r>
      <w:r w:rsidRPr="00784C6F">
        <w:rPr>
          <w:rFonts w:ascii="Century" w:hAnsi="Century" w:cs="Miriam"/>
          <w:b/>
          <w:spacing w:val="0"/>
          <w:sz w:val="22"/>
          <w:szCs w:val="24"/>
          <w:rtl/>
        </w:rPr>
        <w:t>משרד תומר ורשה עורכי דין נ' שרת הפנים</w:t>
      </w:r>
      <w:r w:rsidRPr="00784C6F">
        <w:rPr>
          <w:rtl/>
        </w:rPr>
        <w:t xml:space="preserve">, פסקה 23 (3.7.2022) (להלן: עניין </w:t>
      </w:r>
      <w:r w:rsidRPr="00784C6F">
        <w:rPr>
          <w:rFonts w:ascii="Century" w:hAnsi="Century" w:cs="Miriam"/>
          <w:b/>
          <w:spacing w:val="0"/>
          <w:sz w:val="22"/>
          <w:szCs w:val="24"/>
          <w:rtl/>
        </w:rPr>
        <w:t>תומר ורשה</w:t>
      </w:r>
      <w:r w:rsidRPr="00784C6F">
        <w:rPr>
          <w:rtl/>
        </w:rPr>
        <w:t xml:space="preserve">); עע"ם 7825/19 </w:t>
      </w:r>
      <w:r w:rsidR="00216C97">
        <w:rPr>
          <w:rFonts w:ascii="Century" w:hAnsi="Century" w:cs="Miriam"/>
          <w:b/>
          <w:spacing w:val="0"/>
          <w:sz w:val="22"/>
          <w:szCs w:val="24"/>
          <w:rtl/>
        </w:rPr>
        <w:t>יוניון מוטור</w:t>
      </w:r>
      <w:r w:rsidRPr="00784C6F">
        <w:rPr>
          <w:rFonts w:ascii="Century" w:hAnsi="Century" w:cs="Miriam"/>
          <w:b/>
          <w:spacing w:val="0"/>
          <w:sz w:val="22"/>
          <w:szCs w:val="24"/>
          <w:rtl/>
        </w:rPr>
        <w:t>ס בע"מ נ' משרד התחבורה והבטיחות בדרכים</w:t>
      </w:r>
      <w:r w:rsidRPr="00784C6F">
        <w:rPr>
          <w:rtl/>
        </w:rPr>
        <w:t xml:space="preserve">, פסקה 13 (18.10.2020) (להלן: עניין </w:t>
      </w:r>
      <w:r w:rsidR="00216C97">
        <w:rPr>
          <w:rFonts w:ascii="Century" w:hAnsi="Century" w:cs="Miriam"/>
          <w:b/>
          <w:spacing w:val="0"/>
          <w:sz w:val="22"/>
          <w:szCs w:val="24"/>
          <w:rtl/>
        </w:rPr>
        <w:t>יוניון מוטור</w:t>
      </w:r>
      <w:r w:rsidRPr="00784C6F">
        <w:rPr>
          <w:rFonts w:ascii="Century" w:hAnsi="Century" w:cs="Miriam"/>
          <w:b/>
          <w:spacing w:val="0"/>
          <w:sz w:val="22"/>
          <w:szCs w:val="24"/>
          <w:rtl/>
        </w:rPr>
        <w:t>ס</w:t>
      </w:r>
      <w:r w:rsidRPr="00784C6F">
        <w:rPr>
          <w:rtl/>
        </w:rPr>
        <w:t xml:space="preserve">); בר"ם 8668/17 </w:t>
      </w:r>
      <w:r w:rsidRPr="00784C6F">
        <w:rPr>
          <w:rFonts w:ascii="Century" w:hAnsi="Century" w:cs="Miriam"/>
          <w:b/>
          <w:spacing w:val="0"/>
          <w:sz w:val="22"/>
          <w:szCs w:val="24"/>
          <w:rtl/>
        </w:rPr>
        <w:t>רביד נ' רשות האוכלוסין וההגירה</w:t>
      </w:r>
      <w:r w:rsidRPr="00784C6F">
        <w:rPr>
          <w:rtl/>
        </w:rPr>
        <w:t xml:space="preserve">, פסקה 14 (31.10.2019) (להלן: עניין </w:t>
      </w:r>
      <w:r w:rsidRPr="00784C6F">
        <w:rPr>
          <w:rFonts w:ascii="Century" w:hAnsi="Century" w:cs="Miriam"/>
          <w:b/>
          <w:spacing w:val="0"/>
          <w:sz w:val="22"/>
          <w:szCs w:val="24"/>
          <w:rtl/>
        </w:rPr>
        <w:t>רביד</w:t>
      </w:r>
      <w:r w:rsidRPr="00784C6F">
        <w:rPr>
          <w:rtl/>
        </w:rPr>
        <w:t xml:space="preserve">); בג"ץ 6301/18 </w:t>
      </w:r>
      <w:r w:rsidRPr="00784C6F">
        <w:rPr>
          <w:rFonts w:ascii="Century" w:hAnsi="Century" w:cs="Miriam"/>
          <w:b/>
          <w:spacing w:val="0"/>
          <w:sz w:val="22"/>
          <w:szCs w:val="24"/>
          <w:rtl/>
        </w:rPr>
        <w:t>פוזננסקי כץ נ' שרת המשפטים</w:t>
      </w:r>
      <w:r w:rsidRPr="00784C6F">
        <w:rPr>
          <w:rtl/>
        </w:rPr>
        <w:t xml:space="preserve">, פסקה 34 לפסק דיני (27.12.2018) (להלן: עניין </w:t>
      </w:r>
      <w:r w:rsidRPr="00784C6F">
        <w:rPr>
          <w:rFonts w:ascii="Century" w:hAnsi="Century" w:cs="Miriam"/>
          <w:b/>
          <w:spacing w:val="0"/>
          <w:sz w:val="22"/>
          <w:szCs w:val="24"/>
          <w:rtl/>
        </w:rPr>
        <w:t>פוזננסקי כץ</w:t>
      </w:r>
      <w:r w:rsidRPr="00784C6F">
        <w:rPr>
          <w:rtl/>
        </w:rPr>
        <w:t xml:space="preserve">); בג"ץ 2257/04 </w:t>
      </w:r>
      <w:r w:rsidRPr="00784C6F">
        <w:rPr>
          <w:rFonts w:ascii="Century" w:hAnsi="Century" w:cs="Miriam"/>
          <w:b/>
          <w:spacing w:val="0"/>
          <w:sz w:val="22"/>
          <w:szCs w:val="24"/>
          <w:rtl/>
        </w:rPr>
        <w:t>סיעת חד"ש – תע"ל נ' יושבת ראש ועדת הבחירות המרכזית לכנסת ה-17</w:t>
      </w:r>
      <w:r w:rsidRPr="00784C6F">
        <w:rPr>
          <w:rtl/>
        </w:rPr>
        <w:t xml:space="preserve">, פ"ד נח(6) 685, 701 (2004)). </w:t>
      </w:r>
      <w:r w:rsidRPr="00784C6F">
        <w:rPr>
          <w:sz w:val="28"/>
          <w:rtl/>
        </w:rPr>
        <w:t xml:space="preserve">ככל שהלשון סובלת יותר מפרשנות אחת, יש לבחור מביניהן את זו אשר מיטיבה להגשים את תכליתה של החקיקה (בג"ץ 8544/20 </w:t>
      </w:r>
      <w:r w:rsidRPr="00784C6F">
        <w:rPr>
          <w:rFonts w:ascii="Century" w:hAnsi="Century" w:cs="Miriam"/>
          <w:b/>
          <w:spacing w:val="0"/>
          <w:sz w:val="22"/>
          <w:szCs w:val="24"/>
          <w:rtl/>
        </w:rPr>
        <w:t>חברת מוקד אנוש בע"מ נ' נציב קבילות הציבור למקצועות רפואיים</w:t>
      </w:r>
      <w:r w:rsidRPr="00784C6F">
        <w:rPr>
          <w:sz w:val="28"/>
          <w:rtl/>
        </w:rPr>
        <w:t xml:space="preserve">, פסקה 12 (16.11.2022); עניין </w:t>
      </w:r>
      <w:r w:rsidR="00216C97">
        <w:rPr>
          <w:rFonts w:ascii="Century" w:hAnsi="Century" w:cs="Miriam"/>
          <w:b/>
          <w:spacing w:val="0"/>
          <w:sz w:val="22"/>
          <w:szCs w:val="24"/>
          <w:rtl/>
        </w:rPr>
        <w:t>יוניון מוטור</w:t>
      </w:r>
      <w:r w:rsidRPr="00784C6F">
        <w:rPr>
          <w:rFonts w:ascii="Century" w:hAnsi="Century" w:cs="Miriam"/>
          <w:b/>
          <w:spacing w:val="0"/>
          <w:sz w:val="22"/>
          <w:szCs w:val="24"/>
          <w:rtl/>
        </w:rPr>
        <w:t>ס</w:t>
      </w:r>
      <w:r w:rsidRPr="00784C6F">
        <w:rPr>
          <w:sz w:val="28"/>
          <w:rtl/>
        </w:rPr>
        <w:t xml:space="preserve">, פסקה 13; עניין </w:t>
      </w:r>
      <w:r w:rsidRPr="00784C6F">
        <w:rPr>
          <w:rFonts w:ascii="Century" w:hAnsi="Century" w:cs="Miriam"/>
          <w:b/>
          <w:spacing w:val="0"/>
          <w:sz w:val="22"/>
          <w:szCs w:val="24"/>
          <w:rtl/>
        </w:rPr>
        <w:t>רביד</w:t>
      </w:r>
      <w:r w:rsidRPr="00784C6F">
        <w:rPr>
          <w:sz w:val="28"/>
          <w:rtl/>
        </w:rPr>
        <w:t xml:space="preserve">, פסקה 14; </w:t>
      </w:r>
      <w:r w:rsidRPr="00784C6F">
        <w:rPr>
          <w:rtl/>
        </w:rPr>
        <w:t xml:space="preserve">בג"ץ 6637/16 </w:t>
      </w:r>
      <w:r w:rsidRPr="00784C6F">
        <w:rPr>
          <w:rFonts w:ascii="Century" w:hAnsi="Century" w:cs="Miriam"/>
          <w:b/>
          <w:spacing w:val="0"/>
          <w:sz w:val="22"/>
          <w:szCs w:val="24"/>
          <w:rtl/>
        </w:rPr>
        <w:t>לוונשטיין-לוי נ' מדינת ישראל</w:t>
      </w:r>
      <w:r w:rsidRPr="00784C6F">
        <w:rPr>
          <w:rtl/>
        </w:rPr>
        <w:t xml:space="preserve">, פסקה 17 לפסק דיני (18.4.2017) (להלן: עניין </w:t>
      </w:r>
      <w:r w:rsidRPr="00784C6F">
        <w:rPr>
          <w:rFonts w:ascii="Century" w:hAnsi="Century" w:cs="Miriam"/>
          <w:b/>
          <w:spacing w:val="0"/>
          <w:sz w:val="22"/>
          <w:szCs w:val="24"/>
          <w:rtl/>
        </w:rPr>
        <w:t>לוונשטיין-לוי</w:t>
      </w:r>
      <w:r w:rsidRPr="00784C6F">
        <w:rPr>
          <w:rFonts w:ascii="Century" w:hAnsi="Century"/>
          <w:sz w:val="22"/>
          <w:rtl/>
        </w:rPr>
        <w:t>)</w:t>
      </w:r>
      <w:r w:rsidRPr="00784C6F">
        <w:rPr>
          <w:rtl/>
        </w:rPr>
        <w:t xml:space="preserve">; ע"א 8622/07 </w:t>
      </w:r>
      <w:r w:rsidRPr="00784C6F">
        <w:rPr>
          <w:rFonts w:ascii="Century" w:hAnsi="Century" w:cs="Miriam"/>
          <w:b/>
          <w:spacing w:val="0"/>
          <w:sz w:val="22"/>
          <w:szCs w:val="24"/>
          <w:rtl/>
        </w:rPr>
        <w:t>רוטמן נ' מע"צ החברה הלאומית לדרכים בישראל בע"מ</w:t>
      </w:r>
      <w:r w:rsidRPr="00784C6F">
        <w:rPr>
          <w:rtl/>
        </w:rPr>
        <w:t xml:space="preserve">, פסקה 34 (14.5.2012); ע"א 8863/07 </w:t>
      </w:r>
      <w:r w:rsidRPr="00784C6F">
        <w:rPr>
          <w:rFonts w:ascii="Century" w:hAnsi="Century" w:cs="Miriam"/>
          <w:b/>
          <w:spacing w:val="0"/>
          <w:sz w:val="22"/>
          <w:szCs w:val="24"/>
          <w:rtl/>
        </w:rPr>
        <w:t>ב.מ.כפריס דדו בע"מ נ' מנהל מע"מ חיפה</w:t>
      </w:r>
      <w:r w:rsidRPr="00784C6F">
        <w:rPr>
          <w:rtl/>
        </w:rPr>
        <w:t xml:space="preserve">, פסקה 18 (28.3.2010); אהרון ברק </w:t>
      </w:r>
      <w:r w:rsidRPr="00784C6F">
        <w:rPr>
          <w:rFonts w:ascii="Century" w:hAnsi="Century" w:cs="Miriam"/>
          <w:b/>
          <w:spacing w:val="0"/>
          <w:sz w:val="22"/>
          <w:szCs w:val="24"/>
          <w:rtl/>
        </w:rPr>
        <w:t>פרשנות במשפט כרך שני – פרשנות החקיקה</w:t>
      </w:r>
      <w:r w:rsidRPr="00784C6F">
        <w:rPr>
          <w:rtl/>
        </w:rPr>
        <w:t xml:space="preserve"> 81-80, 204-201 (1993) (להלן: </w:t>
      </w:r>
      <w:r w:rsidRPr="00784C6F">
        <w:rPr>
          <w:rFonts w:ascii="Century" w:hAnsi="Century" w:cs="Miriam"/>
          <w:b/>
          <w:spacing w:val="0"/>
          <w:sz w:val="22"/>
          <w:szCs w:val="24"/>
          <w:rtl/>
        </w:rPr>
        <w:t>ברק</w:t>
      </w:r>
      <w:r w:rsidRPr="00784C6F">
        <w:rPr>
          <w:rtl/>
        </w:rPr>
        <w:t xml:space="preserve">, </w:t>
      </w:r>
      <w:r w:rsidRPr="00784C6F">
        <w:rPr>
          <w:rFonts w:ascii="Century" w:hAnsi="Century" w:cs="Miriam"/>
          <w:b/>
          <w:spacing w:val="0"/>
          <w:sz w:val="22"/>
          <w:szCs w:val="24"/>
          <w:rtl/>
        </w:rPr>
        <w:t>פרשנות החקיקה</w:t>
      </w:r>
      <w:r w:rsidRPr="00784C6F">
        <w:rPr>
          <w:rtl/>
        </w:rPr>
        <w:t>)).</w:t>
      </w:r>
    </w:p>
    <w:p w:rsidR="00E1330B" w:rsidRPr="00784C6F" w:rsidRDefault="00E1330B" w:rsidP="00E1330B">
      <w:pPr>
        <w:pStyle w:val="Ruller4"/>
        <w:numPr>
          <w:ilvl w:val="0"/>
          <w:numId w:val="0"/>
        </w:numPr>
        <w:rPr>
          <w:rtl/>
        </w:rPr>
      </w:pPr>
      <w:r w:rsidRPr="00784C6F">
        <w:rPr>
          <w:rtl/>
        </w:rPr>
        <w:t xml:space="preserve"> </w:t>
      </w:r>
    </w:p>
    <w:p w:rsidR="00E1330B" w:rsidRPr="00784C6F" w:rsidRDefault="00E1330B" w:rsidP="00E1330B">
      <w:pPr>
        <w:pStyle w:val="Ruller4"/>
        <w:numPr>
          <w:ilvl w:val="0"/>
          <w:numId w:val="0"/>
        </w:numPr>
        <w:rPr>
          <w:rtl/>
        </w:rPr>
      </w:pPr>
      <w:r w:rsidRPr="00784C6F">
        <w:rPr>
          <w:rtl/>
        </w:rPr>
        <w:tab/>
        <w:t xml:space="preserve">תכליתו של דבר חקיקה מורכבת משני רבדים: התכלית הסובייקטיבית והתכלית האובייקטיבית. התכלית הסובייקטיבית בוחנת את המטרה אותה ביקש המחוקק לקדם באמצעות החוק ואשר עמדה בפועל לנגד עיניו (עניין </w:t>
      </w:r>
      <w:r w:rsidRPr="00784C6F">
        <w:rPr>
          <w:rFonts w:ascii="Century" w:hAnsi="Century" w:cs="Miriam"/>
          <w:b/>
          <w:spacing w:val="0"/>
          <w:sz w:val="22"/>
          <w:szCs w:val="24"/>
          <w:rtl/>
        </w:rPr>
        <w:t>לוונשטיין-לוי</w:t>
      </w:r>
      <w:r w:rsidRPr="00784C6F">
        <w:rPr>
          <w:rtl/>
        </w:rPr>
        <w:t xml:space="preserve">, פסקה 18; אהרן </w:t>
      </w:r>
      <w:r w:rsidRPr="00784C6F">
        <w:rPr>
          <w:rtl/>
        </w:rPr>
        <w:lastRenderedPageBreak/>
        <w:t xml:space="preserve">ברק </w:t>
      </w:r>
      <w:r w:rsidRPr="00784C6F">
        <w:rPr>
          <w:rFonts w:ascii="Century" w:hAnsi="Century" w:cs="Miriam"/>
          <w:b/>
          <w:spacing w:val="0"/>
          <w:sz w:val="22"/>
          <w:szCs w:val="24"/>
          <w:rtl/>
        </w:rPr>
        <w:t>פרשנות תכליתית במשפט</w:t>
      </w:r>
      <w:r w:rsidRPr="00784C6F">
        <w:rPr>
          <w:rtl/>
        </w:rPr>
        <w:t xml:space="preserve"> 400 (2003) (להלן: </w:t>
      </w:r>
      <w:r w:rsidRPr="00784C6F">
        <w:rPr>
          <w:rFonts w:ascii="Century" w:hAnsi="Century" w:cs="Miriam"/>
          <w:b/>
          <w:spacing w:val="0"/>
          <w:sz w:val="22"/>
          <w:szCs w:val="24"/>
          <w:rtl/>
        </w:rPr>
        <w:t>ברק, פרשנות תכליתית</w:t>
      </w:r>
      <w:r w:rsidRPr="00784C6F">
        <w:rPr>
          <w:rtl/>
        </w:rPr>
        <w:t xml:space="preserve">)). על כך מלמדת ההיסטוריה החקיקתית, כפי שהיא באה לידי ביטוי, בין היתר, בדברי ההסבר להצעת החוק, או בהתייחסות המחוקקים אליה תוך כדי הליך החקיקה. עניינה של התכלית האובייקטיבית </w:t>
      </w:r>
      <w:r w:rsidRPr="00784C6F">
        <w:rPr>
          <w:sz w:val="28"/>
          <w:rtl/>
        </w:rPr>
        <w:t xml:space="preserve">בכל אותן מטרות, ערכים ועקרונות שחקיקה בחברה מודרנית ודמוקרטית נועדה להגשים </w:t>
      </w:r>
      <w:r w:rsidRPr="00784C6F">
        <w:rPr>
          <w:rtl/>
        </w:rPr>
        <w:t xml:space="preserve">(עניין </w:t>
      </w:r>
      <w:r w:rsidRPr="00784C6F">
        <w:rPr>
          <w:rFonts w:ascii="Century" w:hAnsi="Century" w:cs="Miriam"/>
          <w:b/>
          <w:spacing w:val="0"/>
          <w:sz w:val="22"/>
          <w:szCs w:val="24"/>
          <w:rtl/>
        </w:rPr>
        <w:t>תומר ורשה</w:t>
      </w:r>
      <w:r w:rsidRPr="00784C6F">
        <w:rPr>
          <w:rtl/>
        </w:rPr>
        <w:t>, פסקה 23; עניין</w:t>
      </w:r>
      <w:r w:rsidRPr="00784C6F">
        <w:rPr>
          <w:rFonts w:ascii="Century" w:hAnsi="Century" w:cs="Miriam"/>
          <w:b/>
          <w:spacing w:val="0"/>
          <w:sz w:val="22"/>
          <w:szCs w:val="24"/>
          <w:rtl/>
        </w:rPr>
        <w:t xml:space="preserve"> רביד</w:t>
      </w:r>
      <w:r w:rsidRPr="00784C6F">
        <w:rPr>
          <w:rtl/>
        </w:rPr>
        <w:t xml:space="preserve">, פסקה 15; בג"ץ 7803/06 </w:t>
      </w:r>
      <w:r w:rsidRPr="00784C6F">
        <w:rPr>
          <w:rFonts w:ascii="Century" w:hAnsi="Century" w:cs="Miriam"/>
          <w:b/>
          <w:spacing w:val="0"/>
          <w:sz w:val="22"/>
          <w:szCs w:val="24"/>
          <w:rtl/>
        </w:rPr>
        <w:t>אבו ערפה נ' שר הפנים</w:t>
      </w:r>
      <w:r w:rsidRPr="00784C6F">
        <w:rPr>
          <w:rtl/>
        </w:rPr>
        <w:t xml:space="preserve">, פסקה 30 לפסק דיני (13.9.2017); בג"ץ 273/10 </w:t>
      </w:r>
      <w:r w:rsidRPr="00784C6F">
        <w:rPr>
          <w:rFonts w:ascii="Century" w:hAnsi="Century" w:cs="Miriam"/>
          <w:b/>
          <w:spacing w:val="0"/>
          <w:sz w:val="22"/>
          <w:szCs w:val="24"/>
          <w:rtl/>
        </w:rPr>
        <w:t>אלמיזרק נ' בית הדין הארצי לעבודה ירושלים</w:t>
      </w:r>
      <w:r w:rsidRPr="00784C6F">
        <w:rPr>
          <w:rtl/>
        </w:rPr>
        <w:t xml:space="preserve">, פסקה 13 (2.9.2011); </w:t>
      </w:r>
      <w:r w:rsidRPr="00A87C12">
        <w:rPr>
          <w:rFonts w:ascii="Century" w:hAnsi="Century" w:cs="Miriam"/>
          <w:b/>
          <w:spacing w:val="0"/>
          <w:sz w:val="22"/>
          <w:szCs w:val="24"/>
          <w:rtl/>
        </w:rPr>
        <w:t>ברק, פרשנות החקיקה,</w:t>
      </w:r>
      <w:r w:rsidRPr="00784C6F">
        <w:rPr>
          <w:rtl/>
        </w:rPr>
        <w:t xml:space="preserve"> בעמ' 249). </w:t>
      </w:r>
    </w:p>
    <w:p w:rsidR="00E1330B" w:rsidRPr="00784C6F" w:rsidRDefault="00E1330B" w:rsidP="00E1330B">
      <w:pPr>
        <w:pStyle w:val="Ruller41"/>
        <w:rPr>
          <w:rtl/>
        </w:rPr>
      </w:pPr>
    </w:p>
    <w:p w:rsidR="00E1330B" w:rsidRPr="00784C6F" w:rsidRDefault="00E1330B" w:rsidP="00E1330B">
      <w:pPr>
        <w:pStyle w:val="1"/>
        <w:rPr>
          <w:rtl/>
        </w:rPr>
      </w:pPr>
      <w:r w:rsidRPr="00784C6F">
        <w:rPr>
          <w:rtl/>
        </w:rPr>
        <w:t xml:space="preserve">רכיב הלשון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ציטטתי לעיל את לשון סעיף 4א(</w:t>
      </w:r>
      <w:r w:rsidRPr="00784C6F">
        <w:rPr>
          <w:rFonts w:hint="cs"/>
          <w:rtl/>
        </w:rPr>
        <w:t>א</w:t>
      </w:r>
      <w:r w:rsidRPr="00784C6F">
        <w:rPr>
          <w:rtl/>
        </w:rPr>
        <w:t xml:space="preserve">) לחוק השבות, שקובע כי: "הזכויות של יהודי לפי חוק זה והזכויות של עולה לפי חוק האזרחות, תשי"ב-1952, וכן הזכויות של עולה לפי כל חיקוק אחר, מוקנות גם [...] </w:t>
      </w:r>
      <w:r w:rsidRPr="00784C6F">
        <w:rPr>
          <w:rFonts w:ascii="Century" w:hAnsi="Century" w:cs="Miriam"/>
          <w:b/>
          <w:spacing w:val="0"/>
          <w:sz w:val="22"/>
          <w:szCs w:val="24"/>
          <w:rtl/>
        </w:rPr>
        <w:t>לבן זוג של ילד ושל נכד של יהודי</w:t>
      </w:r>
      <w:r w:rsidRPr="00784C6F">
        <w:rPr>
          <w:rtl/>
        </w:rPr>
        <w:t xml:space="preserve"> [...]</w:t>
      </w:r>
      <w:r w:rsidRPr="00784C6F">
        <w:rPr>
          <w:rFonts w:hint="cs"/>
          <w:rtl/>
        </w:rPr>
        <w:t>"</w:t>
      </w:r>
      <w:r w:rsidRPr="00784C6F">
        <w:rPr>
          <w:rtl/>
        </w:rPr>
        <w:t xml:space="preserve"> (ההדגשה הוספה – ע' פ'). השאלה שלפנינו היא האם בבחינת רכיב הלשון, הפרשנות שלפיה אלמנ</w:t>
      </w:r>
      <w:r w:rsidRPr="00784C6F">
        <w:rPr>
          <w:rFonts w:hint="cs"/>
          <w:rtl/>
        </w:rPr>
        <w:t>ת זכאי שבות</w:t>
      </w:r>
      <w:r w:rsidRPr="00784C6F">
        <w:rPr>
          <w:rtl/>
        </w:rPr>
        <w:t xml:space="preserve"> </w:t>
      </w:r>
      <w:r w:rsidRPr="00784C6F">
        <w:rPr>
          <w:rFonts w:hint="cs"/>
          <w:rtl/>
        </w:rPr>
        <w:t xml:space="preserve">באה </w:t>
      </w:r>
      <w:r w:rsidRPr="00784C6F">
        <w:rPr>
          <w:rtl/>
        </w:rPr>
        <w:t>בגדר</w:t>
      </w:r>
      <w:r w:rsidRPr="00784C6F">
        <w:rPr>
          <w:rFonts w:hint="cs"/>
          <w:rtl/>
        </w:rPr>
        <w:t xml:space="preserve"> המונח</w:t>
      </w:r>
      <w:r w:rsidRPr="00784C6F">
        <w:rPr>
          <w:rtl/>
        </w:rPr>
        <w:t xml:space="preserve"> </w:t>
      </w:r>
      <w:r w:rsidRPr="00784C6F">
        <w:rPr>
          <w:rFonts w:hint="cs"/>
          <w:rtl/>
        </w:rPr>
        <w:t>"</w:t>
      </w:r>
      <w:r w:rsidRPr="00784C6F">
        <w:rPr>
          <w:rtl/>
        </w:rPr>
        <w:t>בת זוג</w:t>
      </w:r>
      <w:r w:rsidRPr="00784C6F">
        <w:rPr>
          <w:rFonts w:hint="cs"/>
          <w:rtl/>
        </w:rPr>
        <w:t>" לפי החוק</w:t>
      </w:r>
      <w:r w:rsidRPr="00784C6F">
        <w:rPr>
          <w:rtl/>
        </w:rPr>
        <w:t xml:space="preserve"> היא פרשנות אפשרית. נקודת המוצא שעליה אין חולק היא כי סעיף 4א(א) אינו מתייחס במפורש למצב הדברים שבו הילד או הנכד של היהודי נפטרו. במישור הלשון כפשוטה, הביטוי "בן זוג" </w:t>
      </w:r>
      <w:r w:rsidRPr="00784C6F">
        <w:rPr>
          <w:rFonts w:hint="cs"/>
          <w:rtl/>
        </w:rPr>
        <w:t xml:space="preserve">כשלעצמו אינו </w:t>
      </w:r>
      <w:r w:rsidRPr="00784C6F">
        <w:rPr>
          <w:rtl/>
        </w:rPr>
        <w:t xml:space="preserve">מציב מגבלה לשונית אשר יש בה לשלול כי אלמן או אלמנה יבואו בגדריו. כך למשל, הובהר בעבר כי "בן זוג של אישה יחשב ככזה כל עוד לא הקים תא משפחתי חדש תחתיה. משהקים תא משפחתי חדש מוגדר הוא, ככלל, על-ידי מצבו המשפחתי החדש" (עניין </w:t>
      </w:r>
      <w:r w:rsidRPr="00784C6F">
        <w:rPr>
          <w:rFonts w:ascii="Century" w:hAnsi="Century" w:cs="Miriam"/>
          <w:b/>
          <w:spacing w:val="0"/>
          <w:sz w:val="22"/>
          <w:szCs w:val="24"/>
          <w:rtl/>
        </w:rPr>
        <w:t>גורודצקי</w:t>
      </w:r>
      <w:r w:rsidRPr="00784C6F">
        <w:rPr>
          <w:rtl/>
        </w:rPr>
        <w:t xml:space="preserve">, פסקה 22; כן ראו: ע"א 1617/10 </w:t>
      </w:r>
      <w:r w:rsidRPr="00784C6F">
        <w:rPr>
          <w:rFonts w:ascii="Century" w:hAnsi="Century" w:cs="Miriam"/>
          <w:b/>
          <w:spacing w:val="0"/>
          <w:sz w:val="22"/>
          <w:szCs w:val="24"/>
          <w:rtl/>
        </w:rPr>
        <w:t>מנהל מיסוי מקרקעין נ' נח'אש</w:t>
      </w:r>
      <w:r w:rsidRPr="00784C6F">
        <w:rPr>
          <w:rtl/>
        </w:rPr>
        <w:t xml:space="preserve">, פסקה 8 </w:t>
      </w:r>
      <w:r w:rsidRPr="00784C6F">
        <w:rPr>
          <w:rFonts w:hint="cs"/>
          <w:rtl/>
        </w:rPr>
        <w:t xml:space="preserve">לדעת המיעוט של השופטת </w:t>
      </w:r>
      <w:r w:rsidRPr="00784C6F">
        <w:rPr>
          <w:rFonts w:ascii="Century" w:hAnsi="Century" w:cs="Miriam" w:hint="cs"/>
          <w:b/>
          <w:spacing w:val="0"/>
          <w:sz w:val="22"/>
          <w:szCs w:val="24"/>
          <w:rtl/>
        </w:rPr>
        <w:t>ע' ארבל</w:t>
      </w:r>
      <w:r w:rsidRPr="00784C6F">
        <w:rPr>
          <w:rFonts w:hint="cs"/>
          <w:rtl/>
        </w:rPr>
        <w:t xml:space="preserve"> </w:t>
      </w:r>
      <w:r w:rsidRPr="00784C6F">
        <w:rPr>
          <w:rtl/>
        </w:rPr>
        <w:t xml:space="preserve">(3.5.2012)). </w:t>
      </w:r>
      <w:r w:rsidRPr="00784C6F">
        <w:rPr>
          <w:rFonts w:hint="cs"/>
          <w:rtl/>
        </w:rPr>
        <w:t>בהתאם,</w:t>
      </w:r>
      <w:r w:rsidRPr="00784C6F">
        <w:rPr>
          <w:rtl/>
        </w:rPr>
        <w:t xml:space="preserve"> פעמים רבות נקבע כי יש לפרש מונח זה בהתאם להקשר שבו הוא מופיע ובהתאם לתכלית החקיקה (בע"ם 164/11 </w:t>
      </w:r>
      <w:r w:rsidRPr="00784C6F">
        <w:rPr>
          <w:rFonts w:ascii="Century" w:hAnsi="Century" w:cs="Miriam"/>
          <w:b/>
          <w:spacing w:val="0"/>
          <w:sz w:val="22"/>
          <w:szCs w:val="24"/>
          <w:rtl/>
        </w:rPr>
        <w:t>פלונית נ' פלוני</w:t>
      </w:r>
      <w:r w:rsidRPr="00784C6F">
        <w:rPr>
          <w:rtl/>
        </w:rPr>
        <w:t xml:space="preserve">, פסקה ג (29.4.2012); עניין </w:t>
      </w:r>
      <w:r w:rsidRPr="00784C6F">
        <w:rPr>
          <w:rFonts w:ascii="Century" w:hAnsi="Century" w:cs="Miriam"/>
          <w:b/>
          <w:spacing w:val="0"/>
          <w:sz w:val="22"/>
          <w:szCs w:val="24"/>
          <w:rtl/>
        </w:rPr>
        <w:t xml:space="preserve">גורודצקי, </w:t>
      </w:r>
      <w:r w:rsidRPr="00784C6F">
        <w:rPr>
          <w:rFonts w:ascii="Century" w:hAnsi="Century"/>
          <w:sz w:val="22"/>
          <w:rtl/>
        </w:rPr>
        <w:t>פסקה 23;</w:t>
      </w:r>
      <w:r w:rsidRPr="00784C6F">
        <w:rPr>
          <w:rFonts w:ascii="Century" w:hAnsi="Century" w:cs="Miriam"/>
          <w:b/>
          <w:spacing w:val="0"/>
          <w:sz w:val="22"/>
          <w:szCs w:val="24"/>
          <w:rtl/>
        </w:rPr>
        <w:t xml:space="preserve"> </w:t>
      </w:r>
      <w:r w:rsidRPr="00784C6F">
        <w:rPr>
          <w:rFonts w:ascii="Century" w:hAnsi="Century"/>
          <w:sz w:val="22"/>
          <w:rtl/>
        </w:rPr>
        <w:t xml:space="preserve">ע"א 2622/01 </w:t>
      </w:r>
      <w:r w:rsidRPr="00784C6F">
        <w:rPr>
          <w:rFonts w:ascii="Century" w:hAnsi="Century" w:cs="Miriam"/>
          <w:b/>
          <w:spacing w:val="0"/>
          <w:sz w:val="22"/>
          <w:szCs w:val="24"/>
          <w:rtl/>
        </w:rPr>
        <w:t>מנהל מס שבח מקרקעין נ' לבנון</w:t>
      </w:r>
      <w:r w:rsidRPr="00784C6F">
        <w:rPr>
          <w:rFonts w:ascii="Century" w:hAnsi="Century"/>
          <w:sz w:val="22"/>
          <w:rtl/>
        </w:rPr>
        <w:t>, פ"ד נז(5) 309, 318, 327 (2003);</w:t>
      </w:r>
      <w:r w:rsidRPr="00784C6F">
        <w:rPr>
          <w:rFonts w:ascii="Century" w:hAnsi="Century" w:cs="Miriam"/>
          <w:b/>
          <w:spacing w:val="0"/>
          <w:sz w:val="22"/>
          <w:szCs w:val="24"/>
          <w:rtl/>
        </w:rPr>
        <w:t xml:space="preserve"> </w:t>
      </w:r>
      <w:r w:rsidRPr="00784C6F">
        <w:rPr>
          <w:rFonts w:ascii="Century" w:hAnsi="Century"/>
          <w:sz w:val="22"/>
          <w:rtl/>
        </w:rPr>
        <w:t xml:space="preserve">ע"א 2000/97 </w:t>
      </w:r>
      <w:r w:rsidRPr="00784C6F">
        <w:rPr>
          <w:rFonts w:ascii="Century" w:hAnsi="Century" w:cs="Miriam"/>
          <w:b/>
          <w:spacing w:val="0"/>
          <w:sz w:val="22"/>
          <w:szCs w:val="24"/>
          <w:rtl/>
        </w:rPr>
        <w:t>לינדורן נ' קרנית – קרן לפיצוי נפגעי תאונות דרכים</w:t>
      </w:r>
      <w:r w:rsidRPr="00784C6F">
        <w:rPr>
          <w:rFonts w:ascii="Century" w:hAnsi="Century"/>
          <w:sz w:val="22"/>
          <w:rtl/>
        </w:rPr>
        <w:t>, פ"ד נה(1) 12, 38 (1999);</w:t>
      </w:r>
      <w:r w:rsidRPr="00784C6F">
        <w:rPr>
          <w:rFonts w:ascii="Century" w:hAnsi="Century" w:cs="Miriam"/>
          <w:b/>
          <w:spacing w:val="0"/>
          <w:sz w:val="22"/>
          <w:szCs w:val="24"/>
          <w:rtl/>
        </w:rPr>
        <w:t xml:space="preserve"> </w:t>
      </w:r>
      <w:r w:rsidRPr="00784C6F">
        <w:rPr>
          <w:rtl/>
        </w:rPr>
        <w:t xml:space="preserve">עניין </w:t>
      </w:r>
      <w:r w:rsidRPr="00784C6F">
        <w:rPr>
          <w:rFonts w:ascii="Century" w:hAnsi="Century" w:cs="Miriam"/>
          <w:b/>
          <w:spacing w:val="0"/>
          <w:szCs w:val="24"/>
          <w:rtl/>
        </w:rPr>
        <w:t>קניאז'ינסקי</w:t>
      </w:r>
      <w:r w:rsidRPr="00784C6F">
        <w:rPr>
          <w:rtl/>
        </w:rPr>
        <w:t>, בעמ' 490).</w:t>
      </w:r>
      <w:r w:rsidRPr="00784C6F">
        <w:rPr>
          <w:rFonts w:hint="cs"/>
          <w:rtl/>
        </w:rPr>
        <w:t xml:space="preserve"> למרות זאת, המדינה טענה כי בגדרי חוק השבות, פרשנות שלפיה המונח "בן זוג" כולל גם את האלמן אינה אפשרית מבחינה לשונית, שכן סעיף 4א(ב) יוצר הסדר משתמע שלילי בעניין זה. </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ככלל, לשתיקת המחוקק בעניין מסוים עשויות להיות שתי משמעויות פרשניות: האחת, שמדובר בהסדר משתמע – שלילי או חיובי. לפי פרשנות זו, שתיקת המחוקק היא שתיקה </w:t>
      </w:r>
      <w:r w:rsidRPr="00784C6F">
        <w:rPr>
          <w:rFonts w:hint="cs"/>
          <w:rtl/>
        </w:rPr>
        <w:t>"</w:t>
      </w:r>
      <w:r w:rsidRPr="00784C6F">
        <w:rPr>
          <w:rtl/>
        </w:rPr>
        <w:t>מדעת</w:t>
      </w:r>
      <w:r w:rsidRPr="00784C6F">
        <w:rPr>
          <w:rFonts w:hint="cs"/>
          <w:rtl/>
        </w:rPr>
        <w:t>"</w:t>
      </w:r>
      <w:r w:rsidRPr="00784C6F">
        <w:rPr>
          <w:rtl/>
        </w:rPr>
        <w:t xml:space="preserve"> במסגרתה בחר ביודעין שלא לציין את אותו עניין שהחוק שותק לגביו. </w:t>
      </w:r>
      <w:r w:rsidRPr="00784C6F">
        <w:rPr>
          <w:rtl/>
        </w:rPr>
        <w:lastRenderedPageBreak/>
        <w:t>זאת מאחר שהמחוקק הניח כי אין צורך לכלול הוראה מפורשת, שכן עמדתו ביחס לעניין האמור נלמדת במשתמע מלשון החוק. לעומת זאת, לפי פרשנות שנייה, שתיקת המחוקק אינה מכוונת ולא נעשתה ביודעין אלא תוצאתה של "תקלה חקיקתית" כלשהי כגון שכחה או חוסר תשומת לב. בנסיבות אלה, יש לראות בשתיקת המחוקק כ</w:t>
      </w:r>
      <w:r w:rsidRPr="00784C6F">
        <w:rPr>
          <w:rFonts w:ascii="Century" w:hAnsi="Century"/>
          <w:sz w:val="22"/>
          <w:rtl/>
        </w:rPr>
        <w:t>חֶסֶר</w:t>
      </w:r>
      <w:r w:rsidRPr="00784C6F">
        <w:rPr>
          <w:rtl/>
        </w:rPr>
        <w:t xml:space="preserve"> </w:t>
      </w:r>
      <w:r w:rsidRPr="00784C6F">
        <w:rPr>
          <w:rFonts w:ascii="Century" w:hAnsi="Century"/>
          <w:sz w:val="22"/>
          <w:rtl/>
        </w:rPr>
        <w:t>שדורש השלמה</w:t>
      </w:r>
      <w:r w:rsidRPr="00784C6F">
        <w:rPr>
          <w:rFonts w:ascii="Century" w:hAnsi="Century" w:hint="cs"/>
          <w:sz w:val="22"/>
          <w:rtl/>
        </w:rPr>
        <w:t xml:space="preserve"> </w:t>
      </w:r>
      <w:r w:rsidRPr="00784C6F">
        <w:rPr>
          <w:rFonts w:ascii="Century" w:hAnsi="Century"/>
          <w:sz w:val="22"/>
          <w:rtl/>
        </w:rPr>
        <w:t>בדרך שיפוטית</w:t>
      </w:r>
      <w:r w:rsidRPr="00784C6F">
        <w:rPr>
          <w:rtl/>
        </w:rPr>
        <w:t xml:space="preserve">. הבחירה בין שתי האפשרויות האמורות היא בחירה פרשנית שתיעשה בהתאם לכללי הפרשנות המקובלים (עניין </w:t>
      </w:r>
      <w:r w:rsidRPr="00784C6F">
        <w:rPr>
          <w:rFonts w:ascii="Century" w:hAnsi="Century" w:cs="Miriam"/>
          <w:b/>
          <w:spacing w:val="0"/>
          <w:szCs w:val="24"/>
          <w:rtl/>
        </w:rPr>
        <w:t xml:space="preserve">פוזננסקי כץ, </w:t>
      </w:r>
      <w:r w:rsidRPr="00784C6F">
        <w:rPr>
          <w:rFonts w:ascii="Century" w:hAnsi="Century"/>
          <w:rtl/>
        </w:rPr>
        <w:t xml:space="preserve">פסקאות </w:t>
      </w:r>
      <w:r w:rsidRPr="00784C6F">
        <w:rPr>
          <w:rtl/>
        </w:rPr>
        <w:t xml:space="preserve">31-30 לפסק דיני; רע"א 4990/05 </w:t>
      </w:r>
      <w:r w:rsidRPr="00784C6F">
        <w:rPr>
          <w:rFonts w:ascii="Century" w:hAnsi="Century" w:cs="Miriam"/>
          <w:b/>
          <w:spacing w:val="0"/>
          <w:sz w:val="22"/>
          <w:szCs w:val="24"/>
          <w:rtl/>
        </w:rPr>
        <w:t>ממן נ' עיריית הרצליה</w:t>
      </w:r>
      <w:r w:rsidRPr="00784C6F">
        <w:rPr>
          <w:rtl/>
        </w:rPr>
        <w:t xml:space="preserve">, פסקאות 19-18 (7.10.2009)). בפסיקה הובהר לא אחת כי יש לנקוט זהירות יתרה בטרם נקבע כי ניתן ללמוד </w:t>
      </w:r>
      <w:r w:rsidRPr="00784C6F">
        <w:rPr>
          <w:rFonts w:hint="cs"/>
          <w:rtl/>
        </w:rPr>
        <w:t xml:space="preserve">על </w:t>
      </w:r>
      <w:r w:rsidRPr="00784C6F">
        <w:rPr>
          <w:rtl/>
        </w:rPr>
        <w:t xml:space="preserve">הסדרה משתמעת משתיקת המחוקק. זאת מאחר שהבחירה להתייחס במפורש לעניין מסוים, ולהימנע מלעשות כן בנוגע לעניין אחר אין בה להצביע על המשמעות המשפטית של הטקסט אלא אך על משמעותו הלשונית; על מנת להכריע במשמעות המשפטית יש לפנות לתכלית החקיקה (בג"ץ 6824/07 </w:t>
      </w:r>
      <w:r w:rsidRPr="00784C6F">
        <w:rPr>
          <w:rFonts w:ascii="Century" w:hAnsi="Century" w:cs="Miriam"/>
          <w:b/>
          <w:spacing w:val="0"/>
          <w:sz w:val="22"/>
          <w:szCs w:val="24"/>
          <w:rtl/>
        </w:rPr>
        <w:t>מנאע נ' רשות המסים</w:t>
      </w:r>
      <w:r w:rsidRPr="00784C6F">
        <w:rPr>
          <w:rtl/>
        </w:rPr>
        <w:t xml:space="preserve">, פ"ד סד(2) 479, 505 (2010); רע"א 8233/08 </w:t>
      </w:r>
      <w:r w:rsidRPr="00784C6F">
        <w:rPr>
          <w:rFonts w:ascii="Century" w:hAnsi="Century" w:cs="Miriam"/>
          <w:b/>
          <w:spacing w:val="0"/>
          <w:sz w:val="22"/>
          <w:szCs w:val="24"/>
          <w:rtl/>
        </w:rPr>
        <w:t>כובשי נ' שוורץ</w:t>
      </w:r>
      <w:r w:rsidRPr="00784C6F">
        <w:rPr>
          <w:rtl/>
        </w:rPr>
        <w:t>, פסק</w:t>
      </w:r>
      <w:r w:rsidRPr="00784C6F">
        <w:rPr>
          <w:rFonts w:hint="cs"/>
          <w:rtl/>
        </w:rPr>
        <w:t>ה</w:t>
      </w:r>
      <w:r w:rsidRPr="00784C6F">
        <w:rPr>
          <w:rtl/>
        </w:rPr>
        <w:t xml:space="preserve"> 8 (10.10.2010); בג"</w:t>
      </w:r>
      <w:r w:rsidRPr="00784C6F">
        <w:rPr>
          <w:rFonts w:hint="cs"/>
          <w:rtl/>
        </w:rPr>
        <w:t>ץ</w:t>
      </w:r>
      <w:r w:rsidRPr="00784C6F">
        <w:rPr>
          <w:rtl/>
        </w:rPr>
        <w:t xml:space="preserve"> 6446/96 </w:t>
      </w:r>
      <w:r w:rsidRPr="00784C6F">
        <w:rPr>
          <w:rFonts w:ascii="Century" w:hAnsi="Century" w:cs="Miriam"/>
          <w:b/>
          <w:spacing w:val="0"/>
          <w:sz w:val="22"/>
          <w:szCs w:val="24"/>
          <w:rtl/>
        </w:rPr>
        <w:t>העמותה למען החתול נ' עיריית ערד</w:t>
      </w:r>
      <w:r w:rsidRPr="00784C6F">
        <w:rPr>
          <w:rtl/>
        </w:rPr>
        <w:t xml:space="preserve">, פ"ד נה(1) 769, 791 (1998); </w:t>
      </w:r>
      <w:r w:rsidRPr="00784C6F">
        <w:rPr>
          <w:rFonts w:ascii="Century" w:hAnsi="Century" w:cs="Miriam"/>
          <w:b/>
          <w:spacing w:val="0"/>
          <w:sz w:val="22"/>
          <w:szCs w:val="24"/>
          <w:rtl/>
        </w:rPr>
        <w:t>ברק</w:t>
      </w:r>
      <w:r w:rsidRPr="00784C6F">
        <w:rPr>
          <w:rtl/>
        </w:rPr>
        <w:t xml:space="preserve">, </w:t>
      </w:r>
      <w:r w:rsidRPr="00784C6F">
        <w:rPr>
          <w:rFonts w:ascii="Century" w:hAnsi="Century" w:cs="Miriam"/>
          <w:b/>
          <w:spacing w:val="0"/>
          <w:sz w:val="22"/>
          <w:szCs w:val="24"/>
          <w:rtl/>
        </w:rPr>
        <w:t>פרשנות החקיקה</w:t>
      </w:r>
      <w:r w:rsidRPr="00784C6F">
        <w:rPr>
          <w:rtl/>
        </w:rPr>
        <w:t xml:space="preserve"> בעמ' 114).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עמדת המדינה </w:t>
      </w:r>
      <w:r w:rsidRPr="00784C6F">
        <w:rPr>
          <w:rFonts w:hint="cs"/>
          <w:rtl/>
        </w:rPr>
        <w:t>היא כאמור שסעיף 4א(ב) קובע</w:t>
      </w:r>
      <w:r w:rsidRPr="00784C6F">
        <w:rPr>
          <w:rtl/>
        </w:rPr>
        <w:t xml:space="preserve"> הסדר משתמע שלילי</w:t>
      </w:r>
      <w:r w:rsidRPr="00784C6F">
        <w:rPr>
          <w:rFonts w:hint="cs"/>
          <w:rtl/>
        </w:rPr>
        <w:t xml:space="preserve">. לטענתה, </w:t>
      </w:r>
      <w:r w:rsidRPr="00784C6F">
        <w:rPr>
          <w:rtl/>
        </w:rPr>
        <w:t xml:space="preserve">הקביעה המפורשת שלפיה "אין נפקא מינה אם </w:t>
      </w:r>
      <w:r w:rsidRPr="00784C6F">
        <w:rPr>
          <w:rFonts w:cs="Miriam" w:hint="eastAsia"/>
          <w:b/>
          <w:spacing w:val="0"/>
          <w:sz w:val="22"/>
          <w:szCs w:val="24"/>
          <w:rtl/>
        </w:rPr>
        <w:t>יהודי</w:t>
      </w:r>
      <w:r w:rsidRPr="00784C6F">
        <w:rPr>
          <w:rFonts w:cs="Miriam"/>
          <w:b/>
          <w:spacing w:val="0"/>
          <w:sz w:val="22"/>
          <w:szCs w:val="24"/>
          <w:rtl/>
        </w:rPr>
        <w:t xml:space="preserve"> </w:t>
      </w:r>
      <w:r w:rsidRPr="00784C6F">
        <w:rPr>
          <w:rtl/>
        </w:rPr>
        <w:t>שמכוחו נתבעת זכות לפי סעיף קטן (א) עודו בחיים או לאו [...]"</w:t>
      </w:r>
      <w:r w:rsidRPr="00784C6F">
        <w:rPr>
          <w:rFonts w:hint="cs"/>
          <w:rtl/>
        </w:rPr>
        <w:t xml:space="preserve">, </w:t>
      </w:r>
      <w:r w:rsidRPr="00784C6F">
        <w:rPr>
          <w:rFonts w:hint="eastAsia"/>
          <w:rtl/>
        </w:rPr>
        <w:t>לצד</w:t>
      </w:r>
      <w:r w:rsidRPr="00784C6F">
        <w:rPr>
          <w:rtl/>
        </w:rPr>
        <w:t xml:space="preserve"> </w:t>
      </w:r>
      <w:r w:rsidRPr="00784C6F">
        <w:rPr>
          <w:rFonts w:hint="eastAsia"/>
          <w:rtl/>
        </w:rPr>
        <w:t>היעדר</w:t>
      </w:r>
      <w:r w:rsidRPr="00784C6F">
        <w:rPr>
          <w:rtl/>
        </w:rPr>
        <w:t xml:space="preserve"> </w:t>
      </w:r>
      <w:r w:rsidRPr="00784C6F">
        <w:rPr>
          <w:rFonts w:hint="cs"/>
          <w:rtl/>
        </w:rPr>
        <w:t>ה</w:t>
      </w:r>
      <w:r w:rsidRPr="00784C6F">
        <w:rPr>
          <w:rFonts w:hint="eastAsia"/>
          <w:rtl/>
        </w:rPr>
        <w:t>התייחסות</w:t>
      </w:r>
      <w:r w:rsidRPr="00784C6F">
        <w:rPr>
          <w:rtl/>
        </w:rPr>
        <w:t xml:space="preserve"> </w:t>
      </w:r>
      <w:r w:rsidRPr="00784C6F">
        <w:rPr>
          <w:rFonts w:hint="eastAsia"/>
          <w:rtl/>
        </w:rPr>
        <w:t>למצב</w:t>
      </w:r>
      <w:r w:rsidRPr="00784C6F">
        <w:rPr>
          <w:rtl/>
        </w:rPr>
        <w:t xml:space="preserve"> </w:t>
      </w:r>
      <w:r w:rsidRPr="00784C6F">
        <w:rPr>
          <w:rFonts w:hint="eastAsia"/>
          <w:rtl/>
        </w:rPr>
        <w:t>שבו</w:t>
      </w:r>
      <w:r w:rsidRPr="00784C6F">
        <w:rPr>
          <w:rtl/>
        </w:rPr>
        <w:t xml:space="preserve"> </w:t>
      </w:r>
      <w:r w:rsidRPr="00784C6F">
        <w:rPr>
          <w:rFonts w:hint="eastAsia"/>
          <w:rtl/>
        </w:rPr>
        <w:t>הילד</w:t>
      </w:r>
      <w:r w:rsidRPr="00784C6F">
        <w:rPr>
          <w:rtl/>
        </w:rPr>
        <w:t xml:space="preserve"> </w:t>
      </w:r>
      <w:r w:rsidRPr="00784C6F">
        <w:rPr>
          <w:rFonts w:hint="eastAsia"/>
          <w:rtl/>
        </w:rPr>
        <w:t>או</w:t>
      </w:r>
      <w:r w:rsidRPr="00784C6F">
        <w:rPr>
          <w:rtl/>
        </w:rPr>
        <w:t xml:space="preserve"> </w:t>
      </w:r>
      <w:r w:rsidRPr="00784C6F">
        <w:rPr>
          <w:rFonts w:hint="eastAsia"/>
          <w:rtl/>
        </w:rPr>
        <w:t>הנכד</w:t>
      </w:r>
      <w:r w:rsidRPr="00784C6F">
        <w:rPr>
          <w:rtl/>
        </w:rPr>
        <w:t xml:space="preserve"> </w:t>
      </w:r>
      <w:r w:rsidRPr="00784C6F">
        <w:rPr>
          <w:rFonts w:hint="eastAsia"/>
          <w:rtl/>
        </w:rPr>
        <w:t>נפטר</w:t>
      </w:r>
      <w:r w:rsidRPr="00784C6F">
        <w:rPr>
          <w:rtl/>
        </w:rPr>
        <w:t xml:space="preserve">, </w:t>
      </w:r>
      <w:r w:rsidRPr="00784C6F">
        <w:rPr>
          <w:rFonts w:hint="eastAsia"/>
          <w:rtl/>
        </w:rPr>
        <w:t>מלמדת</w:t>
      </w:r>
      <w:r w:rsidRPr="00784C6F">
        <w:rPr>
          <w:rtl/>
        </w:rPr>
        <w:t xml:space="preserve"> </w:t>
      </w:r>
      <w:r w:rsidRPr="00784C6F">
        <w:rPr>
          <w:rFonts w:hint="eastAsia"/>
          <w:rtl/>
        </w:rPr>
        <w:t>כי</w:t>
      </w:r>
      <w:r w:rsidRPr="00784C6F">
        <w:rPr>
          <w:rtl/>
        </w:rPr>
        <w:t xml:space="preserve"> המחוקק ביקש</w:t>
      </w:r>
      <w:r w:rsidRPr="00784C6F">
        <w:rPr>
          <w:rFonts w:hint="cs"/>
          <w:rtl/>
        </w:rPr>
        <w:t xml:space="preserve"> להבחין בין שני המצבים: בעוד שאין בפטירתו של היהודי להשליך על זכאותם של בני המשפחה, פטירתו של הילד או של הנכד שוללת את זכאות אלמנתו. קרי</w:t>
      </w:r>
      <w:r w:rsidRPr="00784C6F">
        <w:rPr>
          <w:rtl/>
        </w:rPr>
        <w:t>, עמדת המדינה היא שבעצם קביעתו של סעיף 4א(ב) המחוקק ביקש במכוון להוציא את אלמנ</w:t>
      </w:r>
      <w:r w:rsidRPr="00784C6F">
        <w:rPr>
          <w:rFonts w:hint="cs"/>
          <w:rtl/>
        </w:rPr>
        <w:t>ת זכאי השבות</w:t>
      </w:r>
      <w:r w:rsidRPr="00784C6F">
        <w:rPr>
          <w:rtl/>
        </w:rPr>
        <w:t xml:space="preserve"> </w:t>
      </w:r>
      <w:r w:rsidRPr="00784C6F">
        <w:rPr>
          <w:rFonts w:hint="cs"/>
          <w:rtl/>
        </w:rPr>
        <w:t>מגדרי</w:t>
      </w:r>
      <w:r w:rsidRPr="00784C6F">
        <w:rPr>
          <w:rtl/>
        </w:rPr>
        <w:t xml:space="preserve"> סעיף 4א(א). ואולם, כפי שציינו המשיבים, אין זו הפרשנות היחידה האפשרית. אפשרות נוספת היא כי</w:t>
      </w:r>
      <w:r w:rsidRPr="00784C6F">
        <w:rPr>
          <w:rFonts w:hint="cs"/>
          <w:rtl/>
        </w:rPr>
        <w:t xml:space="preserve"> הטעם לכך שהמחוקק התייחס במפורש למצב של פטירת היהודי, אך לא לפטירת זכאי השבות, נעוץ בכך שהיהודי הוא מקור זכותם של בני המשפחה כולם. כך, כלל בני המשפחה מוגדרים לפי קרבתם המשפחתית אליו </w:t>
      </w:r>
      <w:r w:rsidRPr="00784C6F">
        <w:rPr>
          <w:rtl/>
        </w:rPr>
        <w:t>–</w:t>
      </w:r>
      <w:r w:rsidRPr="00784C6F">
        <w:rPr>
          <w:rFonts w:hint="cs"/>
          <w:rtl/>
        </w:rPr>
        <w:t xml:space="preserve"> והדבר נכון גם לבן זוגו של הילד או הנכד (</w:t>
      </w:r>
      <w:r w:rsidRPr="00784C6F">
        <w:rPr>
          <w:rtl/>
        </w:rPr>
        <w:t>"</w:t>
      </w:r>
      <w:r w:rsidRPr="00784C6F">
        <w:rPr>
          <w:rFonts w:hint="cs"/>
          <w:rtl/>
        </w:rPr>
        <w:t>[]</w:t>
      </w:r>
      <w:r w:rsidRPr="00784C6F">
        <w:rPr>
          <w:rtl/>
        </w:rPr>
        <w:t xml:space="preserve">בן זוג של ילד ושל נכד </w:t>
      </w:r>
      <w:r w:rsidRPr="00784C6F">
        <w:rPr>
          <w:rFonts w:cs="Miriam" w:hint="eastAsia"/>
          <w:b/>
          <w:spacing w:val="0"/>
          <w:sz w:val="22"/>
          <w:szCs w:val="24"/>
          <w:rtl/>
        </w:rPr>
        <w:t>של</w:t>
      </w:r>
      <w:r w:rsidRPr="00784C6F">
        <w:rPr>
          <w:rFonts w:cs="Miriam"/>
          <w:b/>
          <w:spacing w:val="0"/>
          <w:sz w:val="22"/>
          <w:szCs w:val="24"/>
          <w:rtl/>
        </w:rPr>
        <w:t xml:space="preserve"> </w:t>
      </w:r>
      <w:r w:rsidRPr="00784C6F">
        <w:rPr>
          <w:rFonts w:cs="Miriam" w:hint="eastAsia"/>
          <w:b/>
          <w:spacing w:val="0"/>
          <w:sz w:val="22"/>
          <w:szCs w:val="24"/>
          <w:rtl/>
        </w:rPr>
        <w:t>יהודי</w:t>
      </w:r>
      <w:r w:rsidRPr="00784C6F">
        <w:rPr>
          <w:rtl/>
        </w:rPr>
        <w:t>"</w:t>
      </w:r>
      <w:r w:rsidRPr="00784C6F">
        <w:rPr>
          <w:rFonts w:hint="cs"/>
          <w:rtl/>
        </w:rPr>
        <w:t xml:space="preserve">). לאמור, מאחר שזכותם של זכאי השבות נגזרת מקרבתם המשפחתית ליהודי, ומאחר שמלכתחילה זכות השבות יוחדה ליהודי ורק לאחר מכן הורחבה גם לבני משפחתו, מתעוררת מאליה השאלה האם זכות זו עומדת להם גם במצב שבו היהודי לא מימש את זכותו מכוח החוק או נפטר. בשונה מכך, פטירת הבן או הנכד, אינה מעוררת שאלה שעומדת בליבת החוק באותו האופן. לפיכך, </w:t>
      </w:r>
      <w:r w:rsidRPr="00784C6F">
        <w:rPr>
          <w:rtl/>
        </w:rPr>
        <w:t xml:space="preserve">איני סבור כי די בהיעדרה של התייחסות מפורשת לשאלה שלפנינו כדי ללמדנו כי מדובר בהסדר שלילי. </w:t>
      </w:r>
      <w:r w:rsidRPr="00784C6F">
        <w:rPr>
          <w:rFonts w:hint="cs"/>
          <w:rtl/>
        </w:rPr>
        <w:t xml:space="preserve">הדבר מקבל משנה תוקף בשים לב </w:t>
      </w:r>
      <w:r w:rsidRPr="00784C6F">
        <w:rPr>
          <w:rtl/>
        </w:rPr>
        <w:t xml:space="preserve">לכלל שהושרש בפסיקה, שלפיו יש לנקוט בזהירה יתרה בטרם נקבע כי </w:t>
      </w:r>
      <w:r w:rsidRPr="00784C6F">
        <w:rPr>
          <w:rFonts w:hint="cs"/>
          <w:rtl/>
        </w:rPr>
        <w:t>עסקינן</w:t>
      </w:r>
      <w:r w:rsidRPr="00784C6F">
        <w:rPr>
          <w:rtl/>
        </w:rPr>
        <w:t xml:space="preserve"> בהסדרה משתמעת</w:t>
      </w:r>
      <w:r w:rsidRPr="00784C6F">
        <w:rPr>
          <w:rFonts w:hint="cs"/>
          <w:rtl/>
        </w:rPr>
        <w:t>, כפי שהובהר לעיל</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Ruller4"/>
      </w:pPr>
      <w:r w:rsidRPr="00784C6F">
        <w:rPr>
          <w:rtl/>
        </w:rPr>
        <w:t>המדינה הוסיפה וטענה כי</w:t>
      </w:r>
      <w:r w:rsidRPr="00784C6F">
        <w:rPr>
          <w:rFonts w:hint="cs"/>
          <w:rtl/>
        </w:rPr>
        <w:t xml:space="preserve"> קביעה שלפיה המונח "בן זוג" כולל בתוכו את האלמן סותרת </w:t>
      </w:r>
      <w:r w:rsidRPr="00784C6F">
        <w:rPr>
          <w:rtl/>
        </w:rPr>
        <w:t xml:space="preserve">במשתמע את ההכרעה בעניין </w:t>
      </w:r>
      <w:r w:rsidRPr="00784C6F">
        <w:rPr>
          <w:rFonts w:ascii="Century" w:hAnsi="Century" w:cs="Miriam"/>
          <w:b/>
          <w:spacing w:val="0"/>
          <w:sz w:val="22"/>
          <w:szCs w:val="24"/>
          <w:rtl/>
        </w:rPr>
        <w:t>גורודצקי</w:t>
      </w:r>
      <w:r w:rsidRPr="00784C6F">
        <w:rPr>
          <w:rFonts w:hint="cs"/>
          <w:rtl/>
        </w:rPr>
        <w:t>, מאחר שבעניין זה נקבע שאלמנת יהודי זכאית מכוח סעיף 4א(ב).</w:t>
      </w:r>
      <w:r w:rsidRPr="00784C6F">
        <w:rPr>
          <w:rtl/>
        </w:rPr>
        <w:t xml:space="preserve"> בהקשר זה הפנתה </w:t>
      </w:r>
      <w:r w:rsidRPr="00784C6F">
        <w:rPr>
          <w:rFonts w:hint="eastAsia"/>
          <w:rtl/>
        </w:rPr>
        <w:t>המדינה</w:t>
      </w:r>
      <w:r w:rsidRPr="00784C6F">
        <w:rPr>
          <w:rtl/>
        </w:rPr>
        <w:t xml:space="preserve"> </w:t>
      </w:r>
      <w:r w:rsidRPr="00784C6F">
        <w:rPr>
          <w:rFonts w:hint="eastAsia"/>
          <w:rtl/>
        </w:rPr>
        <w:t>לקביעה</w:t>
      </w:r>
      <w:r w:rsidRPr="00784C6F">
        <w:rPr>
          <w:rtl/>
        </w:rPr>
        <w:t xml:space="preserve"> </w:t>
      </w:r>
      <w:r w:rsidRPr="00784C6F">
        <w:rPr>
          <w:rFonts w:hint="eastAsia"/>
          <w:rtl/>
        </w:rPr>
        <w:t>הבאה</w:t>
      </w:r>
      <w:r w:rsidRPr="00784C6F">
        <w:rPr>
          <w:rtl/>
        </w:rPr>
        <w:t xml:space="preserve">: "סעיף 4א לחוק השבות מדבר בבן זוג של יהודי ומבהיר כי אין נפקא מינה אם אותו יהודי עודנו בחיים אם לאו. מכאן עולה בבירור כי גם אלמן או אלמנה של יהודיה או יהודי חוסים תחת כנפי הסעיף" (שם, פסקה 21). </w:t>
      </w:r>
      <w:r w:rsidRPr="00784C6F">
        <w:rPr>
          <w:rFonts w:hint="cs"/>
          <w:rtl/>
        </w:rPr>
        <w:t xml:space="preserve">לטענת המדינה </w:t>
      </w:r>
      <w:r w:rsidRPr="00784C6F">
        <w:rPr>
          <w:rtl/>
        </w:rPr>
        <w:t>–</w:t>
      </w:r>
      <w:r w:rsidRPr="00784C6F">
        <w:rPr>
          <w:rFonts w:hint="cs"/>
          <w:rtl/>
        </w:rPr>
        <w:t xml:space="preserve"> מקביעה זו משתמע כי המונח "בן זוג" בחוק השבות כשלעצמו אינו כולל את האלמנה. </w:t>
      </w:r>
      <w:r w:rsidRPr="00784C6F">
        <w:rPr>
          <w:rtl/>
        </w:rPr>
        <w:t>איני סבור כ</w:t>
      </w:r>
      <w:r w:rsidRPr="00784C6F">
        <w:rPr>
          <w:rFonts w:hint="cs"/>
          <w:rtl/>
        </w:rPr>
        <w:t>ך.</w:t>
      </w:r>
      <w:r w:rsidRPr="00784C6F">
        <w:rPr>
          <w:rtl/>
        </w:rPr>
        <w:t xml:space="preserve"> אכן, נוכח הורא</w:t>
      </w:r>
      <w:r w:rsidRPr="00784C6F">
        <w:rPr>
          <w:rFonts w:hint="cs"/>
          <w:rtl/>
        </w:rPr>
        <w:t>ת</w:t>
      </w:r>
      <w:r w:rsidRPr="00784C6F">
        <w:rPr>
          <w:rtl/>
        </w:rPr>
        <w:t xml:space="preserve"> </w:t>
      </w:r>
      <w:r w:rsidRPr="00784C6F">
        <w:rPr>
          <w:rFonts w:hint="cs"/>
          <w:rtl/>
        </w:rPr>
        <w:t>סעיף 4א(ב)</w:t>
      </w:r>
      <w:r w:rsidRPr="00784C6F">
        <w:rPr>
          <w:rtl/>
        </w:rPr>
        <w:t xml:space="preserve"> אין חולק </w:t>
      </w:r>
      <w:r w:rsidRPr="00784C6F">
        <w:rPr>
          <w:rFonts w:hint="cs"/>
          <w:rtl/>
        </w:rPr>
        <w:t>לגבי זכאותה של אלמנת היהודי</w:t>
      </w:r>
      <w:r w:rsidRPr="00784C6F">
        <w:rPr>
          <w:rtl/>
        </w:rPr>
        <w:t>. ואולם השאלה עליה עמדנו לעיל – והיא האם סעיף 4א(ב) יוצר הסדר משתמע שלילי</w:t>
      </w:r>
      <w:r w:rsidRPr="00784C6F">
        <w:rPr>
          <w:rFonts w:hint="cs"/>
          <w:rtl/>
        </w:rPr>
        <w:t>, כלל לא נדונה</w:t>
      </w:r>
      <w:r w:rsidRPr="00784C6F">
        <w:rPr>
          <w:rtl/>
        </w:rPr>
        <w:t xml:space="preserve"> בעניין </w:t>
      </w:r>
      <w:r w:rsidRPr="00784C6F">
        <w:rPr>
          <w:rFonts w:ascii="Century" w:hAnsi="Century" w:cs="Miriam" w:hint="eastAsia"/>
          <w:b/>
          <w:spacing w:val="0"/>
          <w:sz w:val="22"/>
          <w:szCs w:val="24"/>
          <w:rtl/>
        </w:rPr>
        <w:t>גורודצקי</w:t>
      </w:r>
      <w:r w:rsidRPr="00784C6F">
        <w:rPr>
          <w:rFonts w:ascii="Century" w:hAnsi="Century"/>
          <w:sz w:val="22"/>
          <w:rtl/>
        </w:rPr>
        <w:t xml:space="preserve">, </w:t>
      </w:r>
      <w:r w:rsidRPr="00784C6F">
        <w:rPr>
          <w:rFonts w:ascii="Century" w:hAnsi="Century" w:hint="eastAsia"/>
          <w:sz w:val="22"/>
          <w:rtl/>
        </w:rPr>
        <w:t>ומשכך</w:t>
      </w:r>
      <w:r w:rsidRPr="00784C6F">
        <w:rPr>
          <w:rFonts w:ascii="Century" w:hAnsi="Century"/>
          <w:sz w:val="22"/>
          <w:rtl/>
        </w:rPr>
        <w:t xml:space="preserve"> </w:t>
      </w:r>
      <w:r w:rsidRPr="00784C6F">
        <w:rPr>
          <w:rFonts w:ascii="Century" w:hAnsi="Century" w:hint="eastAsia"/>
          <w:sz w:val="22"/>
          <w:rtl/>
        </w:rPr>
        <w:t>איני</w:t>
      </w:r>
      <w:r w:rsidRPr="00784C6F">
        <w:rPr>
          <w:rFonts w:ascii="Century" w:hAnsi="Century"/>
          <w:sz w:val="22"/>
          <w:rtl/>
        </w:rPr>
        <w:t xml:space="preserve"> </w:t>
      </w:r>
      <w:r w:rsidRPr="00784C6F">
        <w:rPr>
          <w:rFonts w:ascii="Century" w:hAnsi="Century" w:hint="eastAsia"/>
          <w:sz w:val="22"/>
          <w:rtl/>
        </w:rPr>
        <w:t>סבור</w:t>
      </w:r>
      <w:r w:rsidRPr="00784C6F">
        <w:rPr>
          <w:rFonts w:ascii="Century" w:hAnsi="Century"/>
          <w:sz w:val="22"/>
          <w:rtl/>
        </w:rPr>
        <w:t xml:space="preserve"> </w:t>
      </w:r>
      <w:r w:rsidRPr="00784C6F">
        <w:rPr>
          <w:rFonts w:ascii="Century" w:hAnsi="Century" w:hint="cs"/>
          <w:sz w:val="22"/>
          <w:rtl/>
        </w:rPr>
        <w:t>ש</w:t>
      </w:r>
      <w:r w:rsidRPr="00784C6F">
        <w:rPr>
          <w:rFonts w:ascii="Century" w:hAnsi="Century" w:hint="eastAsia"/>
          <w:sz w:val="22"/>
          <w:rtl/>
        </w:rPr>
        <w:t>יש</w:t>
      </w:r>
      <w:r w:rsidRPr="00784C6F">
        <w:rPr>
          <w:rFonts w:ascii="Century" w:hAnsi="Century"/>
          <w:sz w:val="22"/>
          <w:rtl/>
        </w:rPr>
        <w:t xml:space="preserve"> </w:t>
      </w:r>
      <w:r w:rsidRPr="00784C6F">
        <w:rPr>
          <w:rFonts w:ascii="Century" w:hAnsi="Century" w:hint="eastAsia"/>
          <w:sz w:val="22"/>
          <w:rtl/>
        </w:rPr>
        <w:t>ב</w:t>
      </w:r>
      <w:r w:rsidRPr="00784C6F">
        <w:rPr>
          <w:rFonts w:ascii="Century" w:hAnsi="Century" w:hint="cs"/>
          <w:sz w:val="22"/>
          <w:rtl/>
        </w:rPr>
        <w:t>ו</w:t>
      </w:r>
      <w:r w:rsidRPr="00784C6F">
        <w:rPr>
          <w:rFonts w:ascii="Century" w:hAnsi="Century"/>
          <w:sz w:val="22"/>
          <w:rtl/>
        </w:rPr>
        <w:t xml:space="preserve"> </w:t>
      </w:r>
      <w:r w:rsidRPr="00784C6F">
        <w:rPr>
          <w:rFonts w:ascii="Century" w:hAnsi="Century" w:hint="eastAsia"/>
          <w:sz w:val="22"/>
          <w:rtl/>
        </w:rPr>
        <w:t>להשליך</w:t>
      </w:r>
      <w:r w:rsidRPr="00784C6F">
        <w:rPr>
          <w:rFonts w:ascii="Century" w:hAnsi="Century"/>
          <w:sz w:val="22"/>
          <w:rtl/>
        </w:rPr>
        <w:t xml:space="preserve"> </w:t>
      </w:r>
      <w:r w:rsidRPr="00784C6F">
        <w:rPr>
          <w:rFonts w:ascii="Century" w:hAnsi="Century" w:hint="eastAsia"/>
          <w:sz w:val="22"/>
          <w:rtl/>
        </w:rPr>
        <w:t>על</w:t>
      </w:r>
      <w:r w:rsidRPr="00784C6F">
        <w:rPr>
          <w:rFonts w:ascii="Century" w:hAnsi="Century"/>
          <w:sz w:val="22"/>
          <w:rtl/>
        </w:rPr>
        <w:t xml:space="preserve"> </w:t>
      </w:r>
      <w:r w:rsidRPr="00784C6F">
        <w:rPr>
          <w:rFonts w:ascii="Century" w:hAnsi="Century" w:hint="eastAsia"/>
          <w:sz w:val="22"/>
          <w:rtl/>
        </w:rPr>
        <w:t>ענייננו</w:t>
      </w:r>
      <w:r w:rsidRPr="00784C6F">
        <w:rPr>
          <w:rFonts w:hint="cs"/>
          <w:rtl/>
        </w:rPr>
        <w:t xml:space="preserve">. </w:t>
      </w:r>
      <w:r w:rsidRPr="00784C6F">
        <w:rPr>
          <w:rtl/>
        </w:rPr>
        <w:t>בשולי הדברים יוער כי טענת המדינה שהלשון כלל אינה סובלת את פרשנות המשיבים מוקשית בעיני, נוכח התנהלותה שלה לאורך השנים. כפי שצוין לעיל רשות מינהלית רשאית לשנות את מדיניותה</w:t>
      </w:r>
      <w:r w:rsidRPr="00784C6F">
        <w:rPr>
          <w:rFonts w:hint="cs"/>
          <w:rtl/>
        </w:rPr>
        <w:t>,</w:t>
      </w:r>
      <w:r w:rsidRPr="00784C6F">
        <w:rPr>
          <w:rtl/>
        </w:rPr>
        <w:t xml:space="preserve"> ואין בכך פסול. </w:t>
      </w:r>
      <w:r w:rsidRPr="00784C6F">
        <w:rPr>
          <w:rFonts w:hint="cs"/>
          <w:rtl/>
        </w:rPr>
        <w:t>ו</w:t>
      </w:r>
      <w:r w:rsidRPr="00784C6F">
        <w:rPr>
          <w:rtl/>
        </w:rPr>
        <w:t>אולם, מקום שבו התירה המדינה</w:t>
      </w:r>
      <w:r w:rsidRPr="00784C6F">
        <w:rPr>
          <w:rFonts w:hint="cs"/>
          <w:rtl/>
        </w:rPr>
        <w:t xml:space="preserve"> בעבר</w:t>
      </w:r>
      <w:r w:rsidRPr="00784C6F">
        <w:rPr>
          <w:rtl/>
        </w:rPr>
        <w:t xml:space="preserve"> לאלמנות של זכאי שבות לקבל מעמד מכוח </w:t>
      </w:r>
      <w:r w:rsidRPr="00784C6F">
        <w:rPr>
          <w:rFonts w:hint="cs"/>
          <w:rtl/>
        </w:rPr>
        <w:t>ה</w:t>
      </w:r>
      <w:r w:rsidRPr="00784C6F">
        <w:rPr>
          <w:rtl/>
        </w:rPr>
        <w:t>חוק, אף אם הדבר לא היה תוצאה של הליך פרשני סדור  – יש קושי</w:t>
      </w:r>
      <w:r w:rsidRPr="00784C6F">
        <w:rPr>
          <w:rFonts w:hint="cs"/>
          <w:rtl/>
        </w:rPr>
        <w:t xml:space="preserve"> מסוים</w:t>
      </w:r>
      <w:r w:rsidRPr="00784C6F">
        <w:rPr>
          <w:rtl/>
        </w:rPr>
        <w:t xml:space="preserve"> בטענה כי פרשנות זו חורגת ממתחם הפרשנויות הלשוניות וכי "לשון החוק הברורה והמפורשת כלל אינה מאפשרת פרשנות אחרת" (ראו למשל: סעיף 61 לבקשת המדינה לדיון נוסף).</w:t>
      </w:r>
      <w:r w:rsidRPr="00784C6F">
        <w:rPr>
          <w:rFonts w:hint="cs"/>
          <w:rtl/>
        </w:rPr>
        <w:t xml:space="preserve"> </w:t>
      </w:r>
    </w:p>
    <w:p w:rsidR="00E1330B" w:rsidRPr="00784C6F" w:rsidRDefault="00E1330B" w:rsidP="00E1330B">
      <w:pPr>
        <w:pStyle w:val="Ruller4"/>
        <w:numPr>
          <w:ilvl w:val="0"/>
          <w:numId w:val="0"/>
        </w:numPr>
      </w:pPr>
    </w:p>
    <w:p w:rsidR="00E1330B" w:rsidRPr="00784C6F" w:rsidRDefault="00E1330B" w:rsidP="00E1330B">
      <w:pPr>
        <w:pStyle w:val="Ruller4"/>
        <w:rPr>
          <w:rtl/>
        </w:rPr>
      </w:pPr>
      <w:r w:rsidRPr="00784C6F">
        <w:rPr>
          <w:rtl/>
        </w:rPr>
        <w:t xml:space="preserve">מן העבר השני, המשיבים טענו כי אין לקבל את פרשנות המדינה, שכן היא תוליך לכך שלמונח "בן זוג" תהיה פרשנות שונה באותו דבר חקיקה; כאשר מדובר בבת הזוג של היהודי תיכלל בו גם האלמנה, ולעומת זאת </w:t>
      </w:r>
      <w:r w:rsidRPr="00784C6F">
        <w:rPr>
          <w:rFonts w:hint="cs"/>
          <w:rtl/>
        </w:rPr>
        <w:t>אלמנת</w:t>
      </w:r>
      <w:r w:rsidRPr="00784C6F">
        <w:rPr>
          <w:rtl/>
        </w:rPr>
        <w:t xml:space="preserve"> הילד או הנכד</w:t>
      </w:r>
      <w:r w:rsidRPr="00784C6F">
        <w:rPr>
          <w:rFonts w:hint="cs"/>
          <w:rtl/>
        </w:rPr>
        <w:t xml:space="preserve"> לא תיכלל בו</w:t>
      </w:r>
      <w:r w:rsidRPr="00784C6F">
        <w:rPr>
          <w:rtl/>
        </w:rPr>
        <w:t xml:space="preserve">. אף לטענה זו איני סבור כי יש ליתן משקל מכריע. אכן, ההנחה המקובלת היא כי למונחים זהים המופיעים באותו סעיף חוק או באותו חוק יינתן מובן אחד (ראו מני רבים: בג"ץ 6451/18 </w:t>
      </w:r>
      <w:r w:rsidRPr="00784C6F">
        <w:rPr>
          <w:rFonts w:ascii="Century" w:hAnsi="Century" w:cs="Miriam"/>
          <w:b/>
          <w:spacing w:val="0"/>
          <w:sz w:val="22"/>
          <w:szCs w:val="24"/>
          <w:rtl/>
        </w:rPr>
        <w:t>חיון נ' בית הדין הארצי לעבודה</w:t>
      </w:r>
      <w:r w:rsidRPr="00784C6F">
        <w:rPr>
          <w:rtl/>
        </w:rPr>
        <w:t xml:space="preserve">, פסקה 18 לפסק דינו של השופט </w:t>
      </w:r>
      <w:r w:rsidRPr="00784C6F">
        <w:rPr>
          <w:rFonts w:ascii="Century" w:hAnsi="Century" w:cs="Miriam"/>
          <w:b/>
          <w:spacing w:val="0"/>
          <w:sz w:val="22"/>
          <w:szCs w:val="24"/>
          <w:rtl/>
        </w:rPr>
        <w:t>ע' גרוסקופף</w:t>
      </w:r>
      <w:r w:rsidRPr="00784C6F">
        <w:rPr>
          <w:rtl/>
        </w:rPr>
        <w:t xml:space="preserve"> (19.7.2021) (להלן: עניין </w:t>
      </w:r>
      <w:r w:rsidRPr="00784C6F">
        <w:rPr>
          <w:rFonts w:ascii="Century" w:hAnsi="Century" w:cs="Miriam"/>
          <w:b/>
          <w:spacing w:val="0"/>
          <w:sz w:val="22"/>
          <w:szCs w:val="24"/>
          <w:rtl/>
        </w:rPr>
        <w:t>חיון</w:t>
      </w:r>
      <w:r w:rsidRPr="00784C6F">
        <w:rPr>
          <w:rtl/>
        </w:rPr>
        <w:t xml:space="preserve">); בג"ץ 332/82 </w:t>
      </w:r>
      <w:r w:rsidRPr="00784C6F">
        <w:rPr>
          <w:rFonts w:ascii="Century" w:hAnsi="Century" w:cs="Miriam"/>
          <w:b/>
          <w:spacing w:val="0"/>
          <w:sz w:val="22"/>
          <w:szCs w:val="24"/>
          <w:rtl/>
        </w:rPr>
        <w:t>רשימת אחוה וקידמה – אבו גוש נ' ועדת הבחירות למועצה האזורית מטה יהודה</w:t>
      </w:r>
      <w:r w:rsidRPr="00784C6F">
        <w:rPr>
          <w:rtl/>
        </w:rPr>
        <w:t xml:space="preserve">, פ"ד לו(4) 429, 431 (1982); ע"א 303/75 </w:t>
      </w:r>
      <w:r w:rsidRPr="00784C6F">
        <w:rPr>
          <w:rFonts w:ascii="Century" w:hAnsi="Century" w:cs="Miriam"/>
          <w:b/>
          <w:spacing w:val="0"/>
          <w:sz w:val="22"/>
          <w:szCs w:val="24"/>
          <w:rtl/>
        </w:rPr>
        <w:t>מדינת ישראל נ' רפאל</w:t>
      </w:r>
      <w:r w:rsidRPr="00784C6F">
        <w:rPr>
          <w:rtl/>
        </w:rPr>
        <w:t xml:space="preserve">, פ"ד כט(2) 601, 605 (1975)). </w:t>
      </w:r>
      <w:r w:rsidRPr="00784C6F">
        <w:rPr>
          <w:rFonts w:hint="cs"/>
          <w:rtl/>
        </w:rPr>
        <w:t>לצד זאת,</w:t>
      </w:r>
      <w:r w:rsidRPr="00784C6F">
        <w:rPr>
          <w:rtl/>
        </w:rPr>
        <w:t xml:space="preserve"> מדובר אך בהנחה פרשנית, כאשר ייתכנו מקרים שבהם תכלית החקיקה תלמד כי יש ליתן למונחים שלשונן זהה משמעות משפטית שונה (עניין </w:t>
      </w:r>
      <w:r w:rsidRPr="00784C6F">
        <w:rPr>
          <w:rFonts w:ascii="Century" w:hAnsi="Century" w:cs="Miriam"/>
          <w:b/>
          <w:spacing w:val="0"/>
          <w:sz w:val="22"/>
          <w:szCs w:val="24"/>
          <w:rtl/>
        </w:rPr>
        <w:t>חיון</w:t>
      </w:r>
      <w:r w:rsidRPr="00784C6F">
        <w:rPr>
          <w:rtl/>
        </w:rPr>
        <w:t xml:space="preserve">, פסקה 18 לפסק דינו של השופט </w:t>
      </w:r>
      <w:r w:rsidRPr="00784C6F">
        <w:rPr>
          <w:rFonts w:ascii="Century" w:hAnsi="Century" w:cs="Miriam"/>
          <w:b/>
          <w:spacing w:val="0"/>
          <w:sz w:val="22"/>
          <w:szCs w:val="24"/>
          <w:rtl/>
        </w:rPr>
        <w:t>ע' גרוסקופף</w:t>
      </w:r>
      <w:r w:rsidRPr="00784C6F">
        <w:rPr>
          <w:rtl/>
        </w:rPr>
        <w:t xml:space="preserve">; ע"א 77/88 </w:t>
      </w:r>
      <w:r w:rsidRPr="00784C6F">
        <w:rPr>
          <w:rFonts w:ascii="Century" w:hAnsi="Century" w:cs="Miriam"/>
          <w:b/>
          <w:spacing w:val="0"/>
          <w:sz w:val="22"/>
          <w:szCs w:val="24"/>
          <w:rtl/>
        </w:rPr>
        <w:t>צימרמן נ' שרת הבריאות</w:t>
      </w:r>
      <w:r w:rsidRPr="00784C6F">
        <w:rPr>
          <w:rtl/>
        </w:rPr>
        <w:t xml:space="preserve">, פ"ד מג(4) 63, 72 (1989); ראו גם: </w:t>
      </w:r>
      <w:r w:rsidRPr="00784C6F">
        <w:rPr>
          <w:rFonts w:ascii="Century" w:hAnsi="Century" w:cs="Miriam"/>
          <w:b/>
          <w:spacing w:val="0"/>
          <w:sz w:val="22"/>
          <w:szCs w:val="24"/>
          <w:rtl/>
        </w:rPr>
        <w:t>ברק, פרשנות החקיקה</w:t>
      </w:r>
      <w:r w:rsidRPr="00784C6F">
        <w:rPr>
          <w:rtl/>
        </w:rPr>
        <w:t>, בעמ' 314-313 (1993)).</w:t>
      </w:r>
      <w:r w:rsidRPr="00784C6F">
        <w:rPr>
          <w:rFonts w:hint="cs"/>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0"/>
        </w:numPr>
      </w:pPr>
      <w:r w:rsidRPr="00784C6F">
        <w:rPr>
          <w:rtl/>
        </w:rPr>
        <w:tab/>
        <w:t>לסיכום פרק זה, סבורני שלא ניתן ללמוד מלשון החוק כפשוטה כי היעדר התייחסות מפורשת למצב הדברים שבו זכאי השבות נפטר</w:t>
      </w:r>
      <w:r w:rsidRPr="00784C6F">
        <w:rPr>
          <w:rFonts w:hint="cs"/>
          <w:rtl/>
        </w:rPr>
        <w:t xml:space="preserve"> מלמדת על</w:t>
      </w:r>
      <w:r w:rsidRPr="00784C6F">
        <w:rPr>
          <w:rtl/>
        </w:rPr>
        <w:t xml:space="preserve"> "שתיקה מדעת" </w:t>
      </w:r>
      <w:r w:rsidRPr="00784C6F">
        <w:rPr>
          <w:rtl/>
        </w:rPr>
        <w:lastRenderedPageBreak/>
        <w:t>של המחוקק, אשר נועדה במשתמע לשלול את זכאותה של אלמנת זכאי השבות. לא מן הנמנע כי ההתייחסות המפורשת למצב הדברים שבו היהודי נפטר נובעת ממרכזיותו לזכאותם של חברי המשפחה כולה</w:t>
      </w:r>
      <w:r w:rsidRPr="00784C6F">
        <w:rPr>
          <w:rFonts w:hint="cs"/>
          <w:rtl/>
        </w:rPr>
        <w:t>.</w:t>
      </w:r>
      <w:r w:rsidRPr="00784C6F">
        <w:rPr>
          <w:rtl/>
        </w:rPr>
        <w:t xml:space="preserve"> לפיכך, ומאחר שכאמור המונח "בן זוג" אינו מציב מגבלה לשונית אשר שוללת כי אלמן או אלמנה יבואו בגדרו – סבורני כי הן פרשנות המשיבים, הן פרשנות המדינה מצויות במתחם האפשרויות הלשוניות של סעיף 4א(א) לחוק. על רקע מסקנה זו, יש לקבוע מבין הפרשנויות האמורות מגשימה באופן מיטבי את תכלית החקיקה. אפנה לכך כעת. </w:t>
      </w:r>
    </w:p>
    <w:p w:rsidR="00E1330B" w:rsidRPr="00784C6F" w:rsidRDefault="00E1330B" w:rsidP="00E1330B">
      <w:pPr>
        <w:pStyle w:val="Ruller4"/>
        <w:numPr>
          <w:ilvl w:val="0"/>
          <w:numId w:val="0"/>
        </w:numPr>
        <w:rPr>
          <w:rtl/>
        </w:rPr>
      </w:pPr>
    </w:p>
    <w:p w:rsidR="00E1330B" w:rsidRPr="00784C6F" w:rsidRDefault="00E1330B" w:rsidP="00E1330B">
      <w:pPr>
        <w:pStyle w:val="1"/>
        <w:rPr>
          <w:rtl/>
        </w:rPr>
      </w:pPr>
      <w:r w:rsidRPr="00784C6F">
        <w:rPr>
          <w:rtl/>
        </w:rPr>
        <w:t>תכלית סובייקטיבית</w:t>
      </w:r>
    </w:p>
    <w:p w:rsidR="00E1330B" w:rsidRPr="00784C6F" w:rsidRDefault="00E1330B" w:rsidP="00E1330B">
      <w:pPr>
        <w:pStyle w:val="Ruller41"/>
        <w:rPr>
          <w:rtl/>
        </w:rPr>
      </w:pPr>
      <w:r w:rsidRPr="00784C6F">
        <w:rPr>
          <w:rtl/>
        </w:rPr>
        <w:t xml:space="preserve"> </w:t>
      </w:r>
    </w:p>
    <w:p w:rsidR="00E1330B" w:rsidRPr="00784C6F" w:rsidRDefault="00E1330B" w:rsidP="00E1330B">
      <w:pPr>
        <w:pStyle w:val="Ruller41"/>
        <w:rPr>
          <w:rFonts w:ascii="Century" w:hAnsi="Century" w:cs="Miriam"/>
          <w:b/>
          <w:spacing w:val="0"/>
          <w:szCs w:val="24"/>
          <w:rtl/>
        </w:rPr>
      </w:pPr>
      <w:r w:rsidRPr="00784C6F">
        <w:rPr>
          <w:rFonts w:ascii="Century" w:hAnsi="Century" w:cs="Miriam"/>
          <w:b/>
          <w:spacing w:val="0"/>
          <w:szCs w:val="24"/>
          <w:rtl/>
        </w:rPr>
        <w:t>היסטוריה חקיקתית ופרלמנטרית</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נפנה כעת ללמוד על התכלית שעומדת בבסיס הוראת סעיף 4א</w:t>
      </w:r>
      <w:r w:rsidRPr="00784C6F">
        <w:rPr>
          <w:rFonts w:hint="cs"/>
          <w:rtl/>
        </w:rPr>
        <w:t xml:space="preserve"> </w:t>
      </w:r>
      <w:r w:rsidRPr="00784C6F">
        <w:rPr>
          <w:rtl/>
        </w:rPr>
        <w:t xml:space="preserve">כפי שזו עולה </w:t>
      </w:r>
      <w:r w:rsidRPr="00784C6F">
        <w:rPr>
          <w:rFonts w:ascii="Century" w:hAnsi="Century"/>
          <w:sz w:val="22"/>
          <w:rtl/>
        </w:rPr>
        <w:t>מההיסטוריה החקיקתית.</w:t>
      </w:r>
      <w:r w:rsidRPr="00784C6F">
        <w:rPr>
          <w:rtl/>
        </w:rPr>
        <w:t xml:space="preserve"> חוק השבות בנוסחו המקורי ייחד את זכות השבות ליהודי העולה לישראל, מבלי שהמונח "יהודי" הוגדר בחוק. השאלה האם להקנות במסגרת החוק גם זכות לבני משפחתו של היהודי נדונה ונדחתה על ידי חברי הכנסת בעת הדיונים בהצעת החוק המקורית. כך, חברת הכנסת רחל כהן פנתה אל המשתתפים בדיון בוועדת חוקה, חוק ומשפט </w:t>
      </w:r>
      <w:r w:rsidRPr="00784C6F">
        <w:rPr>
          <w:rFonts w:hint="cs"/>
          <w:rtl/>
        </w:rPr>
        <w:t xml:space="preserve">של הכנסת </w:t>
      </w:r>
      <w:r w:rsidRPr="00784C6F">
        <w:rPr>
          <w:rtl/>
        </w:rPr>
        <w:t xml:space="preserve">בדברים הבאים: "מה יהיה גורלה של אשה לא-יהודיה? בחו"ל יש נישואין אזרחיים, ואשה לא יהודיה הנשואה ליהודי – עליו יחול החוק הזה ועליה לא יחול?" (פרוטוקול ישיבה 2 של ועדת חוקה, חוק ומשפט, הכנסת ה-1, 4 (9.7.1950)). חברי הכנסת דחו את הצעתה לכלול את בת הזוג הלא יהודייה בגדרי חוק </w:t>
      </w:r>
      <w:r w:rsidRPr="00784C6F">
        <w:rPr>
          <w:rFonts w:hint="cs"/>
          <w:rtl/>
        </w:rPr>
        <w:t>וגרסו</w:t>
      </w:r>
      <w:r w:rsidRPr="00784C6F">
        <w:rPr>
          <w:rtl/>
        </w:rPr>
        <w:t xml:space="preserve"> שיש להסדיר את מעמדה בדברי חקיקה אחרים (שם, בעמ' 5, דבריו של חבר הכנסת בן-ציון דינור). </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pPr>
      <w:r w:rsidRPr="00784C6F">
        <w:rPr>
          <w:rFonts w:ascii="Century" w:hAnsi="Century"/>
          <w:sz w:val="22"/>
          <w:rtl/>
        </w:rPr>
        <w:t>מקורו של סעיף 4א(א) לחוק בתיקון מס' 2 לחוק השבות.</w:t>
      </w:r>
      <w:r w:rsidRPr="00784C6F">
        <w:rPr>
          <w:rtl/>
        </w:rPr>
        <w:t xml:space="preserve"> התיקון נחקק בעקבות פסק דינו של בית משפט זה בבג"ץ 58/68 </w:t>
      </w:r>
      <w:r w:rsidRPr="00784C6F">
        <w:rPr>
          <w:rFonts w:ascii="Century" w:hAnsi="Century" w:cs="Miriam"/>
          <w:b/>
          <w:spacing w:val="0"/>
          <w:sz w:val="22"/>
          <w:szCs w:val="24"/>
          <w:rtl/>
        </w:rPr>
        <w:t>שליט נ' שר הפנים</w:t>
      </w:r>
      <w:r w:rsidRPr="00784C6F">
        <w:rPr>
          <w:rtl/>
        </w:rPr>
        <w:t>, פ"ד כג(2) 477 (1970), בו נקבע ברוב דעות כי יש לרשום כיהודי במרשם האוכלוסין ילד לאב יהודי ולאם שאינה יהודייה. בעקבות הכרעה זו, הוחלט לתקן את חוק השבות ולקבוע הגדרה סטטוטורית למונח "יהודי"</w:t>
      </w:r>
      <w:r w:rsidRPr="00784C6F">
        <w:rPr>
          <w:rFonts w:hint="cs"/>
          <w:rtl/>
        </w:rPr>
        <w:t xml:space="preserve"> </w:t>
      </w:r>
      <w:r w:rsidRPr="00784C6F">
        <w:rPr>
          <w:rtl/>
        </w:rPr>
        <w:t xml:space="preserve">– בהתאם להגדרה המסורתית המקובלת (כן נקבע כי הגדרה זו תחול גם לעניין חוק מרשם האוכלוסין, תשכ"ה-1965). לצד זאת, הוחלט להרחיב את מעגל הזכאים, ולהעניק את זכות השבות גם לבני משפחתו של היהודי. תיקון זה עורר מחלוקת ציבורית עזה, שעיקרה נגע להגדרת המונח יהודי; ואולם, גם קביעת זכאותם של קרובי המשפחה הלא יהודיים עוררה מחלוקת בקרב המשתתפים בהליך החקיקה. כך, היו מי שסברו כי מתן זכות שבות לקרובי המשפחה </w:t>
      </w:r>
      <w:r w:rsidRPr="00784C6F">
        <w:rPr>
          <w:rFonts w:hint="cs"/>
          <w:rtl/>
        </w:rPr>
        <w:t>י</w:t>
      </w:r>
      <w:r w:rsidRPr="00784C6F">
        <w:rPr>
          <w:rtl/>
        </w:rPr>
        <w:t xml:space="preserve">עודד את נישואי התערובת בקרב יהודי </w:t>
      </w:r>
      <w:r w:rsidRPr="00784C6F">
        <w:rPr>
          <w:rtl/>
        </w:rPr>
        <w:lastRenderedPageBreak/>
        <w:t xml:space="preserve">התפוצות, </w:t>
      </w:r>
      <w:r w:rsidRPr="00784C6F">
        <w:rPr>
          <w:rFonts w:hint="cs"/>
          <w:rtl/>
        </w:rPr>
        <w:t>ולפיכך התנגדו לכך</w:t>
      </w:r>
      <w:r w:rsidRPr="00784C6F">
        <w:rPr>
          <w:rtl/>
        </w:rPr>
        <w:t xml:space="preserve"> (ראו למשל: ד"כ 9.2.1970, 727; ד"כ 10.2.1970, 751; פרוטוקול ישיבה 13 של ועדת חוקה, חוק ומשפט, הכנסת ה-13, 7 (11.2.1970) (להלן: </w:t>
      </w:r>
      <w:r w:rsidRPr="00784C6F">
        <w:rPr>
          <w:rFonts w:ascii="Century" w:hAnsi="Century" w:cs="Miriam"/>
          <w:b/>
          <w:spacing w:val="0"/>
          <w:sz w:val="22"/>
          <w:szCs w:val="24"/>
          <w:rtl/>
        </w:rPr>
        <w:t>הפרוטוקול מיום 11.2.1970</w:t>
      </w:r>
      <w:r w:rsidRPr="00784C6F">
        <w:rPr>
          <w:rtl/>
        </w:rPr>
        <w:t xml:space="preserve">). </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pPr>
      <w:r w:rsidRPr="00784C6F">
        <w:rPr>
          <w:rtl/>
        </w:rPr>
        <w:t xml:space="preserve">אשר לתכלית הסעיף, דברי ההסבר להצעת החוק מציינים בתמצית כי הממשלה מציעה: "להעניק את זכות העלייה והזכויות הנובעות ממנה או הקשורות בה לבני המשפחה של יהודי אף אם הם עצמם אינם יהודיים לפי ההגדרה האמורה" (דברי הסבר להצעת חוק השבות (תיקון מס' 2), התש"ל-1970, ה"ח 866). עיון בדיונים שנערכו במליאת הכנסת ובוועדת חוקה, חוק ומשפט של הכנסת (להלן גם: </w:t>
      </w:r>
      <w:r w:rsidRPr="00784C6F">
        <w:rPr>
          <w:rFonts w:ascii="Century" w:hAnsi="Century" w:cs="Miriam"/>
          <w:b/>
          <w:spacing w:val="0"/>
          <w:sz w:val="22"/>
          <w:szCs w:val="24"/>
          <w:rtl/>
        </w:rPr>
        <w:t>הוועדה</w:t>
      </w:r>
      <w:r w:rsidRPr="00784C6F">
        <w:rPr>
          <w:rtl/>
        </w:rPr>
        <w:t>) מעלה כי ביסודה של ההצעה ליתן זכות עליה ל</w:t>
      </w:r>
      <w:r w:rsidRPr="00784C6F">
        <w:rPr>
          <w:rFonts w:hint="cs"/>
          <w:rtl/>
        </w:rPr>
        <w:t>בן</w:t>
      </w:r>
      <w:r w:rsidRPr="00784C6F">
        <w:rPr>
          <w:rtl/>
        </w:rPr>
        <w:t xml:space="preserve"> משפח</w:t>
      </w:r>
      <w:r w:rsidRPr="00784C6F">
        <w:rPr>
          <w:rFonts w:hint="cs"/>
          <w:rtl/>
        </w:rPr>
        <w:t>תו</w:t>
      </w:r>
      <w:r w:rsidRPr="00784C6F">
        <w:rPr>
          <w:rtl/>
        </w:rPr>
        <w:t xml:space="preserve"> של היהודי עמדו מספר תכליות. תכלית ראשונה למתן זכות עלייה לקרובי משפחתו של היהודי היא עידוד עלייתם של יהודים שלהם משפחות מעורבות: בין היתר, חברי הכנסת הביעו את חששם כי מצב הדברים שבו לאחד מבני המשפחה נתונה זכות לאזרחות מכוח חוק השבות – אך</w:t>
      </w:r>
      <w:r w:rsidRPr="00784C6F">
        <w:rPr>
          <w:rFonts w:hint="cs"/>
          <w:rtl/>
        </w:rPr>
        <w:t xml:space="preserve"> </w:t>
      </w:r>
      <w:r w:rsidRPr="00784C6F">
        <w:rPr>
          <w:rtl/>
        </w:rPr>
        <w:t>יתר בני המשפחה נאלצים לעבור תהליך של התאזרחות –</w:t>
      </w:r>
      <w:r w:rsidRPr="00784C6F">
        <w:rPr>
          <w:rFonts w:hint="cs"/>
          <w:rtl/>
        </w:rPr>
        <w:t xml:space="preserve"> </w:t>
      </w:r>
      <w:r w:rsidRPr="00784C6F">
        <w:rPr>
          <w:rtl/>
        </w:rPr>
        <w:t>ירתיע יהודים מלעלות לישראל שכן יש בו להעביר מסר שמשפחות מעורבות אינן רצויות בישראל (ראו למשל: ד"כ 10.2.1970, 766).</w:t>
      </w:r>
      <w:r w:rsidRPr="00784C6F">
        <w:rPr>
          <w:rFonts w:hint="cs"/>
          <w:rtl/>
        </w:rPr>
        <w:t xml:space="preserve"> </w:t>
      </w:r>
      <w:r w:rsidRPr="00784C6F">
        <w:rPr>
          <w:rtl/>
        </w:rPr>
        <w:t xml:space="preserve">השוואת זכויותיהם של בני אותה המשפחה נתפסה גם כתכלית העומדת בפני עצמה, שכן מצב זה נתפס כגורם לעוול כלפי המשפחה המעורבת (ראו למשל את דבריו של חבר הכנסת זאב הרינג: "תיקון חוק השבות מתקן עוול גדול. שוב לא יהיה מצב שבני משפחה אחת המתייצבים על סף המולדת </w:t>
      </w:r>
      <w:r w:rsidR="00EE7E2A">
        <w:rPr>
          <w:rtl/>
        </w:rPr>
        <w:t>יהיו לא שווים בפני חוקי המדינה"</w:t>
      </w:r>
      <w:r w:rsidRPr="00784C6F">
        <w:rPr>
          <w:rtl/>
        </w:rPr>
        <w:t xml:space="preserve"> ד"כ 10.2.1970, 775; כן ראו את דברי ראש הממשלה גולדה מאיר, שם, בעמ' 772; פרוטוקול ישיבה 14 של ועדת חוקה, חוק ומשפט, הכנסת ה-7, 5 (16.2.1970) (להלן: </w:t>
      </w:r>
      <w:r w:rsidRPr="00784C6F">
        <w:rPr>
          <w:rFonts w:ascii="Century" w:hAnsi="Century" w:cs="Miriam"/>
          <w:b/>
          <w:spacing w:val="0"/>
          <w:sz w:val="22"/>
          <w:szCs w:val="24"/>
          <w:rtl/>
        </w:rPr>
        <w:t>הפרוטוקול מיום 16.2.1970</w:t>
      </w:r>
      <w:r w:rsidRPr="00784C6F">
        <w:rPr>
          <w:rtl/>
        </w:rPr>
        <w:t>)). בנוסף לכך, הענקת זכות שבות למי שאינו יהודי לפי ההגדרה המסורתית יש בה ליישב בין ההגדרה הדתית לבין ההגדרה הלאומית לעניין מיהו יהודי (</w:t>
      </w:r>
      <w:r w:rsidRPr="00784C6F">
        <w:rPr>
          <w:rFonts w:hint="cs"/>
          <w:rtl/>
        </w:rPr>
        <w:t>ו</w:t>
      </w:r>
      <w:r w:rsidRPr="00784C6F">
        <w:rPr>
          <w:rtl/>
        </w:rPr>
        <w:t xml:space="preserve">ראו </w:t>
      </w:r>
      <w:r w:rsidRPr="00784C6F">
        <w:rPr>
          <w:rFonts w:hint="cs"/>
          <w:rtl/>
        </w:rPr>
        <w:t xml:space="preserve">בהקשר זה את </w:t>
      </w:r>
      <w:r w:rsidRPr="00784C6F">
        <w:rPr>
          <w:rtl/>
        </w:rPr>
        <w:t>דברי</w:t>
      </w:r>
      <w:r w:rsidRPr="00784C6F">
        <w:rPr>
          <w:rFonts w:hint="cs"/>
          <w:rtl/>
        </w:rPr>
        <w:t xml:space="preserve"> הביקורת</w:t>
      </w:r>
      <w:r w:rsidRPr="00784C6F">
        <w:rPr>
          <w:rtl/>
        </w:rPr>
        <w:t xml:space="preserve"> של חבר הכנסת משה סנה, ד"כ 10.3.1970, 1133). כמו כן, הסעיף מאפשר להגשים תכלית של איחוד משפחות וקיום חיי משפחה משותפים (</w:t>
      </w:r>
      <w:r w:rsidRPr="00784C6F">
        <w:rPr>
          <w:rFonts w:ascii="Century" w:hAnsi="Century"/>
          <w:sz w:val="22"/>
          <w:rtl/>
        </w:rPr>
        <w:t>הפרוטוקול מיום 11.2.1970,</w:t>
      </w:r>
      <w:r w:rsidRPr="00784C6F">
        <w:rPr>
          <w:rtl/>
        </w:rPr>
        <w:t xml:space="preserve"> בעמ' 10). תכלית נוספת שעולה מן הדיונים שהתקיימו במסגרת הליך החקיקה היא עידוד מי שאינו יהודי לפי ההלכה אך יש לו קרבה לעם היהודי לעלות לישראל, מתוך תקווה שעלייתו לישראל תוביל להצטרפותו לעם היהודי. ראו את דבריו של יו"ר הוועדה, חבר הכנסת שלמה בן-מאיר במליאת הכנסת: </w:t>
      </w:r>
    </w:p>
    <w:p w:rsidR="00E1330B" w:rsidRPr="00784C6F" w:rsidRDefault="00E1330B" w:rsidP="00E1330B">
      <w:pPr>
        <w:pStyle w:val="Ruller4"/>
        <w:numPr>
          <w:ilvl w:val="0"/>
          <w:numId w:val="0"/>
        </w:numPr>
      </w:pPr>
    </w:p>
    <w:p w:rsidR="00E1330B" w:rsidRPr="00784C6F" w:rsidRDefault="00E1330B" w:rsidP="00E1330B">
      <w:pPr>
        <w:pStyle w:val="Ruller5"/>
        <w:rPr>
          <w:rtl/>
        </w:rPr>
      </w:pPr>
      <w:r w:rsidRPr="00784C6F">
        <w:rPr>
          <w:rtl/>
        </w:rPr>
        <w:t>"זכ</w:t>
      </w:r>
      <w:r w:rsidRPr="00784C6F">
        <w:rPr>
          <w:rFonts w:hint="cs"/>
          <w:rtl/>
        </w:rPr>
        <w:t>ו</w:t>
      </w:r>
      <w:r w:rsidRPr="00784C6F">
        <w:rPr>
          <w:rtl/>
        </w:rPr>
        <w:t xml:space="preserve">רני פגישה עם צעירה בת עשרים שבאה מאנגליה, או מסקוטלנד, ותוך שיחה נתברר לי כי היא עומדת להתגייר. כיצד הגיעה לכך, השיבה: אני בת לנישואי תערובת. אבי יהודי ואמי אינה יהודיה. כששאלתיה: מדוע לא התגיירה </w:t>
      </w:r>
      <w:r w:rsidRPr="00784C6F">
        <w:rPr>
          <w:rtl/>
        </w:rPr>
        <w:lastRenderedPageBreak/>
        <w:t xml:space="preserve">באנגליה? השיבה, כי אביה התנגד לכך בכל תוקף [...] סיפור זה בא להוכיח כאלף עדים, שהרוצה לבוא, יכול לבוא, ואנו מקווים כי ירצה גם ליהפך לחלק מן העם היהודי, וזאת באמצעות הגיור" (ד"כ 10.3.1970, 1120-1119); כן ראו בהקשר של בת זוג: דברי ראש הממשלה גולדה מאיר בד"כ 10.2.1970, 775). </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tl/>
        </w:rPr>
        <w:t xml:space="preserve"> בעת הדיונים בוועדה התעוררה מחלוקת לגבי זהותם של </w:t>
      </w:r>
      <w:r w:rsidRPr="00784C6F">
        <w:rPr>
          <w:rFonts w:hint="cs"/>
          <w:rtl/>
        </w:rPr>
        <w:t>בני</w:t>
      </w:r>
      <w:r w:rsidRPr="00784C6F">
        <w:rPr>
          <w:rtl/>
        </w:rPr>
        <w:t xml:space="preserve"> המשפחה שיכללו בתיקון.</w:t>
      </w:r>
      <w:r w:rsidRPr="00784C6F">
        <w:rPr>
          <w:rFonts w:hint="cs"/>
          <w:rtl/>
        </w:rPr>
        <w:t xml:space="preserve"> בין המשתתפים הייתה הסכמה בעיקרם של דברים לגבי מתן זכאות לשני דורות של צאצאים ליהודי (ראו למשל: </w:t>
      </w:r>
      <w:r w:rsidRPr="00784C6F">
        <w:rPr>
          <w:rFonts w:hint="eastAsia"/>
          <w:rtl/>
        </w:rPr>
        <w:t>הדיון</w:t>
      </w:r>
      <w:r w:rsidRPr="00784C6F">
        <w:rPr>
          <w:rtl/>
        </w:rPr>
        <w:t xml:space="preserve"> </w:t>
      </w:r>
      <w:r w:rsidRPr="00784C6F">
        <w:rPr>
          <w:rFonts w:hint="eastAsia"/>
          <w:rtl/>
        </w:rPr>
        <w:t>מיום</w:t>
      </w:r>
      <w:r w:rsidRPr="00784C6F">
        <w:rPr>
          <w:rtl/>
        </w:rPr>
        <w:t xml:space="preserve"> 11.2.1970, </w:t>
      </w:r>
      <w:r w:rsidRPr="00784C6F">
        <w:rPr>
          <w:rFonts w:hint="cs"/>
          <w:rtl/>
        </w:rPr>
        <w:t>ב</w:t>
      </w:r>
      <w:r w:rsidRPr="00784C6F">
        <w:rPr>
          <w:rFonts w:hint="eastAsia"/>
          <w:rtl/>
        </w:rPr>
        <w:t>עמ</w:t>
      </w:r>
      <w:r w:rsidRPr="00784C6F">
        <w:rPr>
          <w:rtl/>
        </w:rPr>
        <w:t>' 13</w:t>
      </w:r>
      <w:r w:rsidRPr="00784C6F">
        <w:rPr>
          <w:rFonts w:hint="cs"/>
          <w:rtl/>
        </w:rPr>
        <w:t>).</w:t>
      </w:r>
      <w:r w:rsidRPr="00784C6F">
        <w:rPr>
          <w:rtl/>
        </w:rPr>
        <w:t xml:space="preserve"> בנוסח הצעת החוק המקורית לא נכללה בת זוגו של הנכד,</w:t>
      </w:r>
      <w:r w:rsidRPr="00784C6F">
        <w:rPr>
          <w:rFonts w:hint="cs"/>
          <w:rtl/>
        </w:rPr>
        <w:t xml:space="preserve"> אך הוסכם להוסיף אותה לבני המשפחה </w:t>
      </w:r>
      <w:r w:rsidRPr="00784C6F">
        <w:rPr>
          <w:rtl/>
        </w:rPr>
        <w:t xml:space="preserve">הזכאים – והסתייגות שהועלו בהקשר זה לא התקבלו (ראו: פרוטוקול ישיבה 18 של ועדת חוקה, חוק ומשפט, הכנסת ה-7, 4 (4.3.1970) (להלן: </w:t>
      </w:r>
      <w:r w:rsidRPr="00784C6F">
        <w:rPr>
          <w:rFonts w:ascii="Century" w:hAnsi="Century" w:cs="Miriam"/>
          <w:b/>
          <w:spacing w:val="0"/>
          <w:sz w:val="22"/>
          <w:szCs w:val="24"/>
          <w:rtl/>
        </w:rPr>
        <w:t>הפרוטוקול מיום 4.3.1970</w:t>
      </w:r>
      <w:r w:rsidRPr="00784C6F">
        <w:rPr>
          <w:rtl/>
        </w:rPr>
        <w:t>); הפרוטוקול מיום 16.2.1970, בעמ' 9; פרוטוקול ישיבה 17 של ועדת חוקה, חוק ומשפט, הכנסת ה-7, 3 (2.3.1970)</w:t>
      </w:r>
      <w:r w:rsidR="00B25F06">
        <w:rPr>
          <w:rFonts w:hint="cs"/>
          <w:rtl/>
        </w:rPr>
        <w:t xml:space="preserve"> </w:t>
      </w:r>
      <w:r w:rsidRPr="00784C6F">
        <w:rPr>
          <w:rFonts w:hint="cs"/>
          <w:rtl/>
        </w:rPr>
        <w:t xml:space="preserve">(להלן: </w:t>
      </w:r>
      <w:r w:rsidRPr="00784C6F">
        <w:rPr>
          <w:rFonts w:ascii="Century" w:hAnsi="Century" w:cs="Miriam" w:hint="eastAsia"/>
          <w:b/>
          <w:spacing w:val="0"/>
          <w:sz w:val="22"/>
          <w:szCs w:val="24"/>
          <w:rtl/>
        </w:rPr>
        <w:t>הפרוטוקול</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מיום</w:t>
      </w:r>
      <w:r w:rsidRPr="00784C6F">
        <w:rPr>
          <w:rFonts w:ascii="Century" w:hAnsi="Century" w:cs="Miriam"/>
          <w:b/>
          <w:spacing w:val="0"/>
          <w:sz w:val="22"/>
          <w:szCs w:val="24"/>
          <w:rtl/>
        </w:rPr>
        <w:t xml:space="preserve"> 2.3.1970</w:t>
      </w:r>
      <w:r w:rsidRPr="00784C6F">
        <w:rPr>
          <w:rtl/>
        </w:rPr>
        <w:t>)). לעומת זאת, הצעות להרחיב את סעיף 4א(א) כך שיחול גם על קרובי משפחה נוספים, כדוגמת נינו של היהודי, נדחו (</w:t>
      </w:r>
      <w:r w:rsidRPr="00784C6F">
        <w:rPr>
          <w:rFonts w:hint="cs"/>
          <w:rtl/>
        </w:rPr>
        <w:t xml:space="preserve">ראו </w:t>
      </w:r>
      <w:r w:rsidRPr="00784C6F">
        <w:rPr>
          <w:rtl/>
        </w:rPr>
        <w:t>למשל: הפרוטוקול מיום 4.3.1970, בעמ' 4-3).</w:t>
      </w:r>
      <w:r w:rsidRPr="00784C6F">
        <w:rPr>
          <w:rFonts w:hint="cs"/>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tl/>
        </w:rPr>
        <w:t xml:space="preserve">יושם אל לב כי סעיף 4א(ב) – שקובע כי זכותו של קרוב המשפחה אינה נפגעת כתוצאה מכך שהיהודי שהוא מקור הזכות נפטר – לא נכלל בהצעת החוק המקורית. נושא זה התעורר בעת הדיונים בתיקון בוועדת החוקה, חוק ומשפט של הכנסת. במסגרת זאת,  </w:t>
      </w:r>
      <w:r w:rsidRPr="00784C6F">
        <w:rPr>
          <w:rFonts w:hint="cs"/>
          <w:rtl/>
        </w:rPr>
        <w:t xml:space="preserve">הבהיר </w:t>
      </w:r>
      <w:r w:rsidRPr="00784C6F">
        <w:rPr>
          <w:rtl/>
        </w:rPr>
        <w:t>היועץ המשפטי לממשלה דאז, מאיר שמגר, כי לעמדת הממשלה הזכות שניתנת לבני המשפחה אינה מותנית בכך שהיהודי שמכוח הקרבה אליו מוענקת הזכות מימש את זכותו שלו:</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 </w:t>
      </w:r>
    </w:p>
    <w:p w:rsidR="00E1330B" w:rsidRPr="00784C6F" w:rsidRDefault="00E1330B" w:rsidP="00E1330B">
      <w:pPr>
        <w:pStyle w:val="Ruller5"/>
        <w:rPr>
          <w:rtl/>
        </w:rPr>
      </w:pPr>
      <w:r w:rsidRPr="00784C6F">
        <w:rPr>
          <w:rtl/>
        </w:rPr>
        <w:t xml:space="preserve">במילים אחרות: הזכות שיש ליהודי לעלות ארצה מוענקת בכוח התיקון המוצע לקטגוריות נוספות של אנשים המפורטות כאן. ז.א., כל ההוראות בחוק השבות הנוגעות ליהודי מועברות לקטגוריות נוספות, שמיד אזכיר אותן. </w:t>
      </w:r>
    </w:p>
    <w:p w:rsidR="00E1330B" w:rsidRPr="00784C6F" w:rsidRDefault="00E1330B" w:rsidP="00E1330B">
      <w:pPr>
        <w:pStyle w:val="Ruller5"/>
      </w:pPr>
    </w:p>
    <w:p w:rsidR="00E1330B" w:rsidRPr="00784C6F" w:rsidRDefault="00E1330B" w:rsidP="00E1330B">
      <w:pPr>
        <w:pStyle w:val="Ruller5"/>
        <w:rPr>
          <w:rtl/>
        </w:rPr>
      </w:pPr>
      <w:r w:rsidRPr="00784C6F">
        <w:rPr>
          <w:rtl/>
        </w:rPr>
        <w:t xml:space="preserve">המילים </w:t>
      </w:r>
      <w:r w:rsidRPr="00784C6F">
        <w:rPr>
          <w:rFonts w:ascii="Century" w:hAnsi="Century" w:cs="Miriam"/>
          <w:b/>
          <w:spacing w:val="0"/>
          <w:szCs w:val="24"/>
          <w:rtl/>
        </w:rPr>
        <w:t>'הזכויות של יהודי' הן למעשה טרמין טכני. ביטוי כולל לקבוצה של זכויות, בלי שזה יהיה קשור לעלייתו לארץ של יהודי קונקרטי מסוים</w:t>
      </w:r>
      <w:r w:rsidRPr="00784C6F">
        <w:rPr>
          <w:rtl/>
        </w:rPr>
        <w:t>. זהו ביטוי שבא לקבץ יחד קבוצה של זכויות ולומר שקבוצת זכויות זו מועברת עתה לקטגוריות אלה.</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 xml:space="preserve">[...] למי הכוונה להעניק את הזכויות האלה? </w:t>
      </w:r>
      <w:r w:rsidRPr="00784C6F">
        <w:rPr>
          <w:rFonts w:ascii="Century" w:hAnsi="Century" w:cs="Miriam"/>
          <w:b/>
          <w:spacing w:val="0"/>
          <w:szCs w:val="24"/>
          <w:rtl/>
        </w:rPr>
        <w:t>כשהמדובר כאן על זכויות של יהודי, אין הכוונה ליהודי ספציפי, היינו לאדם שצריך להוכיח את יהדותו, אלא לזכויות המוענקות על חוקים שונים למי שהוא יהודי</w:t>
      </w:r>
      <w:r w:rsidRPr="00784C6F">
        <w:rPr>
          <w:rtl/>
        </w:rPr>
        <w:t xml:space="preserve">. זכויות אלה מוענקות </w:t>
      </w:r>
      <w:r w:rsidRPr="00784C6F">
        <w:rPr>
          <w:rtl/>
        </w:rPr>
        <w:lastRenderedPageBreak/>
        <w:t xml:space="preserve">עתה לילדו של יהודי, לבן הזוג של יהודי, וכן לילד ולבן הזוג של הילד. בנסחנו הצעה זו ראינו לנגד עינינו – לדוגמה – המצב בברית המועצות. למשל: בן לאב יהודי ואם לא יהודיה; ההורים נפטרו בינתיים, או נהרגו, והבן מחליט לעלות ארצה: הוא בבחינת ילדו של יהודי. אבל בעלייתו הוא מביא לא רק את עצמו אלא גם את ילדיו ובן הזוג שגם הוא לא יהודי. ז.א., הסעיף הזה עושה העברה של זכויות של יהודי לילדו, גם אם איננו יהודי, לבן הזוג, גם אם איננו יהודי, ולבן הזוג ולילדו של הילד"  (הפרוטוקול מיום 11.2.1970, בעמ' 9-8; ההדגשות הוספו – ע' פ'). </w:t>
      </w:r>
    </w:p>
    <w:p w:rsidR="00E1330B" w:rsidRPr="00784C6F" w:rsidRDefault="00E1330B" w:rsidP="00E1330B">
      <w:pPr>
        <w:pStyle w:val="Ruller4"/>
        <w:numPr>
          <w:ilvl w:val="0"/>
          <w:numId w:val="0"/>
        </w:numPr>
        <w:rPr>
          <w:rtl/>
        </w:rPr>
      </w:pPr>
    </w:p>
    <w:p w:rsidR="00E1330B" w:rsidRPr="00784C6F" w:rsidRDefault="00E1330B" w:rsidP="00E1330B">
      <w:pPr>
        <w:pStyle w:val="Ruller41"/>
        <w:rPr>
          <w:rtl/>
        </w:rPr>
      </w:pPr>
      <w:r w:rsidRPr="00784C6F">
        <w:rPr>
          <w:rtl/>
        </w:rPr>
        <w:tab/>
        <w:t>ובמקום אחר:</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"למי התכוונו להעניק זכויות? התכוונו להעניק זכויות לבת הזוג של היהודי ולילד של היהודי, </w:t>
      </w:r>
      <w:r w:rsidRPr="00784C6F">
        <w:rPr>
          <w:rFonts w:ascii="Century" w:hAnsi="Century" w:cs="Miriam"/>
          <w:b/>
          <w:spacing w:val="0"/>
          <w:szCs w:val="24"/>
          <w:rtl/>
        </w:rPr>
        <w:t>בין אם הם עולים ארצה יחד אתו ובין אם הם באים לבדם; בין אם היהודי בחיים ובין אם הלך לעולמו</w:t>
      </w:r>
      <w:r w:rsidRPr="00784C6F">
        <w:rPr>
          <w:rtl/>
        </w:rPr>
        <w:t xml:space="preserve">. כקוריוז רוצה אני להזכיר שתוך כדי הניסוח חשבנו ברגע מסויים לכתוב 'בין אם הוא חי ובין אם נפטר', אך זנחנו רעיון זה לטובת קביעת העקרון שמדובר על קומפלקס של זכויות המועברות לסוג אחר של אנשים. כמו כן התכוונו להעניק זכויות אלה לבן של הילד, במעמדו כנכד של היהודי ולא כקטין, והוא אמנם יכול להיות בן 80. נמנענו מלהשתמש במילה 'קטין' ביודעין" (הפרוטוקול מיום 16.2.1970, בעמ' 7).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Fonts w:hint="cs"/>
          <w:rtl/>
        </w:rPr>
        <w:t xml:space="preserve">במקרים רבים צוין כי מתן זכות עצמאית נדרש לשם מתן מענה למצב בברית המועצות (למשל: </w:t>
      </w:r>
      <w:r w:rsidRPr="00784C6F">
        <w:rPr>
          <w:rtl/>
        </w:rPr>
        <w:t>הפרוטוקול מיום 16.2.1970, בעמ' 2</w:t>
      </w:r>
      <w:r w:rsidRPr="00784C6F">
        <w:rPr>
          <w:rFonts w:hint="cs"/>
          <w:rtl/>
        </w:rPr>
        <w:t xml:space="preserve">). לצד זאת, </w:t>
      </w:r>
      <w:r w:rsidRPr="00784C6F">
        <w:rPr>
          <w:rtl/>
        </w:rPr>
        <w:t>חלק מחברי הכנסת הביעו הסתייגות ממתן זכות שבות עצמאית ל</w:t>
      </w:r>
      <w:r w:rsidRPr="00784C6F">
        <w:rPr>
          <w:rFonts w:hint="cs"/>
          <w:rtl/>
        </w:rPr>
        <w:t>בני</w:t>
      </w:r>
      <w:r w:rsidRPr="00784C6F">
        <w:rPr>
          <w:rtl/>
        </w:rPr>
        <w:t xml:space="preserve"> המשפחה</w:t>
      </w:r>
      <w:r w:rsidRPr="00784C6F">
        <w:rPr>
          <w:rFonts w:hint="cs"/>
          <w:rtl/>
        </w:rPr>
        <w:t xml:space="preserve"> וחששו מהרחבת יתר של תחולתה. בהקשר זה, ראו את</w:t>
      </w:r>
      <w:r w:rsidRPr="00784C6F">
        <w:rPr>
          <w:rtl/>
        </w:rPr>
        <w:t xml:space="preserve"> דבריו של חבר הכנסת יוסף גולדשמידט:</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 אנחנו רואים לפנינו את הסיטואציה הראשונה: יהודי, עם או בלי בת זוג, הילד שלו עם בת הזוג ונכדו. אולם אין זו הסיטואציה הבלעדית שיכולה להיות. יכולים לבוא מחר שני בני-זוג בני 50 ושניהם פרוטסטנטים החיים בשבדיה. הם ירצו לעלות לארץ לפי חוק השבות. על סמך מה? גם הוריהם היו פרוטסטנטים. אלא שאב אמו של הבעל היה יהודי [...]  אני רוצה להבהיר שעלינו להשתחרר מדגם מסוים. יכולות להיות סיטואציות אחרות, כאשר אותו יהודי שמעניק את הזכות הזאת, לילד או לנכד, כבר איננו בחיים. וזה יכול להיות אדם בגיל 80 שירצה לעלות לארץ, למרות שאין לו כל זיקה ליהדות, לא אצלו ולא בדור שקדם לו [...] לי נדמה שהחוק לא מרחיק לכת עד כדי כך [...] אנחנו צריכים לראות את המצבים החדשים שחוק זה יוצר, שהם בלי ספק עוברים בהרבה כל מה שהעלינו בדעתנו כאפשרי. אני אומר זאת </w:t>
      </w:r>
      <w:r w:rsidRPr="00784C6F">
        <w:rPr>
          <w:rtl/>
        </w:rPr>
        <w:lastRenderedPageBreak/>
        <w:t xml:space="preserve">כדי להדגיש: ניזהר לפני הרחבות, כי אם נוסיף צאצאים פירוש הדבר שיכולים להפליג לדור רביעי וחמשי" (הפרוטוקול מיום 11.2.1970, בעמ' 10; כן ראו: פרוטוקול ישיבה 15 של ועדת חוקה, חוק ומשפט הכנסת ה-7, דבריו של חבר הכנסת מאיר אביזוהר בעמ' 3 (18.2.1970)). </w:t>
      </w:r>
    </w:p>
    <w:p w:rsidR="00E1330B" w:rsidRPr="00784C6F" w:rsidRDefault="00E1330B" w:rsidP="00E1330B">
      <w:pPr>
        <w:pStyle w:val="Ruller4"/>
        <w:numPr>
          <w:ilvl w:val="0"/>
          <w:numId w:val="0"/>
        </w:numPr>
        <w:rPr>
          <w:rtl/>
        </w:rPr>
      </w:pPr>
    </w:p>
    <w:p w:rsidR="00E1330B" w:rsidRPr="00784C6F" w:rsidRDefault="00E1330B" w:rsidP="00E1330B">
      <w:pPr>
        <w:pStyle w:val="Ruller41"/>
        <w:rPr>
          <w:rtl/>
        </w:rPr>
      </w:pPr>
      <w:r w:rsidRPr="00784C6F">
        <w:rPr>
          <w:rtl/>
        </w:rPr>
        <w:tab/>
        <w:t xml:space="preserve">הסתייגויות אלה </w:t>
      </w:r>
      <w:r w:rsidRPr="00784C6F">
        <w:rPr>
          <w:rFonts w:hint="cs"/>
          <w:rtl/>
        </w:rPr>
        <w:t>נדחו</w:t>
      </w:r>
      <w:r w:rsidRPr="00784C6F">
        <w:rPr>
          <w:rtl/>
        </w:rPr>
        <w:t xml:space="preserve"> בסופו של יום, ומספר חברי כנסת עמדו על הצורך לתקן את הנוסח ולהבהיר במפורש כי זכותו של קרוב המשפחה היא עצמאית ואינה מותנית בכך שקרוב המשפחה מתלווה ליהודי. כך למשל, טען חבר הכנסת אברהם עופר כי: "מה שצריך להבהיר הוא שהכוונה לבני המשפחה בנפרד, כי עלול להתפרש שהם צריכים להיות נלווים לאותו יהודי" (הפרוטוקול מיום 16.2.1970, בעמ' 2; כן ראו: הפרוטוקול מיום 11.2.1970, בעמ' 12-11, עמ' 14-13). וראו בהקשר זה את דבריו של המשנה ליועץ המשפטי לממשלה דאז, פרופ' אורי ידין:</w:t>
      </w:r>
    </w:p>
    <w:p w:rsidR="00E1330B" w:rsidRPr="00784C6F" w:rsidRDefault="00E1330B" w:rsidP="00E1330B">
      <w:pPr>
        <w:pStyle w:val="Ruller41"/>
        <w:rPr>
          <w:rtl/>
        </w:rPr>
      </w:pPr>
    </w:p>
    <w:p w:rsidR="00E1330B" w:rsidRPr="00784C6F" w:rsidRDefault="00014D82" w:rsidP="00E1330B">
      <w:pPr>
        <w:pStyle w:val="Ruller5"/>
      </w:pPr>
      <w:r>
        <w:rPr>
          <w:rtl/>
        </w:rPr>
        <w:t>"</w:t>
      </w:r>
      <w:r w:rsidR="00E1330B" w:rsidRPr="00784C6F">
        <w:rPr>
          <w:rtl/>
        </w:rPr>
        <w:t>[...]</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 xml:space="preserve">אני חושב שבדרך-כלל צודק חבר-הכנסת צדוק באמרו שאם כותבים 'יהודי' ולא 'היהודי' פותרים את הבעיה, אך לאחר שחבר הכנסת הלוי הזכיר את הוויכוח בכנסת ובעיתונות ודיבר על הצורך להרבות במקצת בפרטים ולא להכריח את המפרש ללמוד דבר מתוך דבר – </w:t>
      </w:r>
      <w:r w:rsidRPr="00784C6F">
        <w:rPr>
          <w:rFonts w:ascii="Century" w:hAnsi="Century" w:cs="Miriam"/>
          <w:b/>
          <w:spacing w:val="0"/>
          <w:szCs w:val="24"/>
          <w:rtl/>
        </w:rPr>
        <w:t xml:space="preserve">נראה לי שיש בכל זאת לשקול אם לא להבהיר אי-תלות זו, </w:t>
      </w:r>
      <w:r w:rsidRPr="00784C6F">
        <w:rPr>
          <w:rtl/>
        </w:rPr>
        <w:t xml:space="preserve">האומרת שאין נפקא מיניה אם היהודי, שמכוחו מוענקות הזכויות בסעיף זה, עודו בחיים או עלה ארצה. אם נלך בדרך זו, פירוש הדבר יהיה שאין זה חשוב אם אותו יהודי, </w:t>
      </w:r>
      <w:r w:rsidRPr="00784C6F">
        <w:rPr>
          <w:rFonts w:ascii="Century" w:hAnsi="Century" w:cs="Miriam"/>
          <w:b/>
          <w:spacing w:val="0"/>
          <w:szCs w:val="24"/>
          <w:rtl/>
        </w:rPr>
        <w:t>שממנו יצאה כל אותה השורה</w:t>
      </w:r>
      <w:r w:rsidRPr="00784C6F">
        <w:rPr>
          <w:rtl/>
        </w:rPr>
        <w:t xml:space="preserve">, עודנו בחיים, אלא הענין פועל גם אם הוא מת, ובמידה שמדברים על עולים, העניין פועל גם אם הוא לא עולה. </w:t>
      </w:r>
      <w:r w:rsidRPr="00784C6F">
        <w:rPr>
          <w:rFonts w:ascii="Century" w:hAnsi="Century"/>
          <w:rtl/>
        </w:rPr>
        <w:t>כלל זה חל לא רק על היהודי, כי אם גם על בנו, כלומר, אם הנכד תובע זכויות של עולה, אין זה חשוב אם אביו שהוא הבן של היהודי עלה כבר ארצה או שהוא כבר אינו בחיים.</w:t>
      </w:r>
      <w:r w:rsidRPr="00784C6F">
        <w:rPr>
          <w:rtl/>
        </w:rPr>
        <w:t xml:space="preserve"> </w:t>
      </w:r>
      <w:r w:rsidRPr="00784C6F">
        <w:rPr>
          <w:rFonts w:ascii="Century" w:hAnsi="Century" w:cs="Miriam"/>
          <w:b/>
          <w:spacing w:val="0"/>
          <w:szCs w:val="24"/>
          <w:rtl/>
        </w:rPr>
        <w:t>פירוש הדבר</w:t>
      </w:r>
      <w:r w:rsidRPr="00784C6F">
        <w:rPr>
          <w:rtl/>
        </w:rPr>
        <w:t xml:space="preserve"> </w:t>
      </w:r>
      <w:r w:rsidRPr="00784C6F">
        <w:rPr>
          <w:rFonts w:ascii="Century" w:hAnsi="Century" w:cs="Miriam"/>
          <w:b/>
          <w:spacing w:val="0"/>
          <w:szCs w:val="24"/>
          <w:rtl/>
        </w:rPr>
        <w:t>שכל אחד עומד בפני עצמו, בלי להיפגע מכך, שהאדם, שממנו הוא יונק את זכויותיו, עלה כבר ארצה או שאינו עוד בחיים</w:t>
      </w:r>
      <w:r w:rsidRPr="00784C6F">
        <w:rPr>
          <w:rtl/>
        </w:rPr>
        <w:t xml:space="preserve">" (פרוטוקול הדיון מיום 16.2.1970, בעמ' 8-9; ההדגשות הוספו – ע' פ'). </w:t>
      </w:r>
    </w:p>
    <w:p w:rsidR="00E1330B" w:rsidRPr="00784C6F" w:rsidRDefault="00E1330B" w:rsidP="00E1330B">
      <w:pPr>
        <w:pStyle w:val="Ruller41"/>
        <w:rPr>
          <w:rtl/>
        </w:rPr>
      </w:pPr>
    </w:p>
    <w:p w:rsidR="00E1330B" w:rsidRPr="00784C6F" w:rsidRDefault="00E1330B" w:rsidP="00E1330B">
      <w:pPr>
        <w:pStyle w:val="Ruller4"/>
        <w:numPr>
          <w:ilvl w:val="0"/>
          <w:numId w:val="0"/>
        </w:numPr>
        <w:rPr>
          <w:rtl/>
        </w:rPr>
      </w:pPr>
      <w:r w:rsidRPr="00784C6F">
        <w:rPr>
          <w:rFonts w:hint="cs"/>
          <w:rtl/>
        </w:rPr>
        <w:tab/>
        <w:t>על רקע הדיון האמור, הוסכם להוסיף את סעיף 4א(ב) לחוק. בהצגת הסעיף במליאת הכנסת, אמר יו"</w:t>
      </w:r>
      <w:r w:rsidRPr="00784C6F">
        <w:rPr>
          <w:rFonts w:hint="eastAsia"/>
          <w:rtl/>
        </w:rPr>
        <w:t>ר</w:t>
      </w:r>
      <w:r w:rsidRPr="00784C6F">
        <w:rPr>
          <w:rtl/>
        </w:rPr>
        <w:t xml:space="preserve"> </w:t>
      </w:r>
      <w:r w:rsidRPr="00784C6F">
        <w:rPr>
          <w:rFonts w:hint="eastAsia"/>
          <w:rtl/>
        </w:rPr>
        <w:t>הוועדה</w:t>
      </w:r>
      <w:r w:rsidRPr="00784C6F">
        <w:rPr>
          <w:rtl/>
        </w:rPr>
        <w:t xml:space="preserve">, </w:t>
      </w:r>
      <w:r w:rsidRPr="00784C6F">
        <w:rPr>
          <w:rFonts w:hint="eastAsia"/>
          <w:rtl/>
        </w:rPr>
        <w:t>ח</w:t>
      </w:r>
      <w:r w:rsidRPr="00784C6F">
        <w:rPr>
          <w:rFonts w:hint="cs"/>
          <w:rtl/>
        </w:rPr>
        <w:t>בר הכנסת</w:t>
      </w:r>
      <w:r w:rsidRPr="00784C6F">
        <w:rPr>
          <w:rtl/>
        </w:rPr>
        <w:t xml:space="preserve"> </w:t>
      </w:r>
      <w:r w:rsidRPr="00784C6F">
        <w:rPr>
          <w:rFonts w:hint="eastAsia"/>
          <w:rtl/>
        </w:rPr>
        <w:t>שלמה</w:t>
      </w:r>
      <w:r w:rsidRPr="00784C6F">
        <w:rPr>
          <w:rtl/>
        </w:rPr>
        <w:t xml:space="preserve"> </w:t>
      </w:r>
      <w:r w:rsidRPr="00784C6F">
        <w:rPr>
          <w:rFonts w:hint="eastAsia"/>
          <w:rtl/>
        </w:rPr>
        <w:t>בן</w:t>
      </w:r>
      <w:r w:rsidRPr="00784C6F">
        <w:rPr>
          <w:rFonts w:hint="cs"/>
          <w:rtl/>
        </w:rPr>
        <w:t>-</w:t>
      </w:r>
      <w:r w:rsidRPr="00784C6F">
        <w:rPr>
          <w:rFonts w:hint="eastAsia"/>
          <w:rtl/>
        </w:rPr>
        <w:t>מאיר</w:t>
      </w:r>
      <w:r w:rsidRPr="00784C6F">
        <w:rPr>
          <w:rFonts w:hint="cs"/>
          <w:rtl/>
        </w:rPr>
        <w:t>, את הדברים הבאים:</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w:t>
      </w:r>
      <w:r w:rsidRPr="00784C6F">
        <w:rPr>
          <w:rFonts w:hint="eastAsia"/>
          <w:rtl/>
        </w:rPr>
        <w:t>סעיף</w:t>
      </w:r>
      <w:r w:rsidRPr="00784C6F">
        <w:rPr>
          <w:rtl/>
        </w:rPr>
        <w:t xml:space="preserve"> </w:t>
      </w:r>
      <w:r w:rsidRPr="00784C6F">
        <w:rPr>
          <w:rFonts w:hint="eastAsia"/>
          <w:rtl/>
        </w:rPr>
        <w:t>קטן</w:t>
      </w:r>
      <w:r w:rsidRPr="00784C6F">
        <w:rPr>
          <w:rtl/>
        </w:rPr>
        <w:t xml:space="preserve"> (</w:t>
      </w:r>
      <w:r w:rsidRPr="00784C6F">
        <w:rPr>
          <w:rFonts w:hint="eastAsia"/>
          <w:rtl/>
        </w:rPr>
        <w:t>ב</w:t>
      </w:r>
      <w:r w:rsidRPr="00784C6F">
        <w:rPr>
          <w:rtl/>
        </w:rPr>
        <w:t xml:space="preserve">) – </w:t>
      </w:r>
      <w:r w:rsidRPr="00784C6F">
        <w:rPr>
          <w:rFonts w:hint="eastAsia"/>
          <w:rtl/>
        </w:rPr>
        <w:t>ונאמר</w:t>
      </w:r>
      <w:r w:rsidRPr="00784C6F">
        <w:rPr>
          <w:rtl/>
        </w:rPr>
        <w:t xml:space="preserve"> </w:t>
      </w:r>
      <w:r w:rsidRPr="00784C6F">
        <w:rPr>
          <w:rFonts w:hint="eastAsia"/>
          <w:rtl/>
        </w:rPr>
        <w:t>לנו</w:t>
      </w:r>
      <w:r w:rsidRPr="00784C6F">
        <w:rPr>
          <w:rtl/>
        </w:rPr>
        <w:t xml:space="preserve">, </w:t>
      </w:r>
      <w:r w:rsidRPr="00784C6F">
        <w:rPr>
          <w:rFonts w:hint="eastAsia"/>
          <w:rtl/>
        </w:rPr>
        <w:t>כי</w:t>
      </w:r>
      <w:r w:rsidRPr="00784C6F">
        <w:rPr>
          <w:rtl/>
        </w:rPr>
        <w:t xml:space="preserve"> </w:t>
      </w:r>
      <w:r w:rsidRPr="00784C6F">
        <w:rPr>
          <w:rFonts w:hint="eastAsia"/>
          <w:rtl/>
        </w:rPr>
        <w:t>כזאת</w:t>
      </w:r>
      <w:r w:rsidRPr="00784C6F">
        <w:rPr>
          <w:rtl/>
        </w:rPr>
        <w:t xml:space="preserve"> </w:t>
      </w:r>
      <w:r w:rsidRPr="00784C6F">
        <w:rPr>
          <w:rFonts w:hint="eastAsia"/>
          <w:rtl/>
        </w:rPr>
        <w:t>היתה</w:t>
      </w:r>
      <w:r w:rsidRPr="00784C6F">
        <w:rPr>
          <w:rtl/>
        </w:rPr>
        <w:t xml:space="preserve"> </w:t>
      </w:r>
      <w:r w:rsidRPr="00784C6F">
        <w:rPr>
          <w:rFonts w:hint="eastAsia"/>
          <w:rtl/>
        </w:rPr>
        <w:t>גם</w:t>
      </w:r>
      <w:r w:rsidRPr="00784C6F">
        <w:rPr>
          <w:rtl/>
        </w:rPr>
        <w:t xml:space="preserve"> </w:t>
      </w:r>
      <w:r w:rsidRPr="00784C6F">
        <w:rPr>
          <w:rFonts w:hint="eastAsia"/>
          <w:rtl/>
        </w:rPr>
        <w:t>כוונת</w:t>
      </w:r>
      <w:r w:rsidRPr="00784C6F">
        <w:rPr>
          <w:rtl/>
        </w:rPr>
        <w:t xml:space="preserve"> </w:t>
      </w:r>
      <w:r w:rsidRPr="00784C6F">
        <w:rPr>
          <w:rFonts w:hint="eastAsia"/>
          <w:rtl/>
        </w:rPr>
        <w:t>הממשלה</w:t>
      </w:r>
      <w:r w:rsidRPr="00784C6F">
        <w:rPr>
          <w:rtl/>
        </w:rPr>
        <w:t xml:space="preserve"> – </w:t>
      </w:r>
      <w:r w:rsidRPr="00784C6F">
        <w:rPr>
          <w:rFonts w:hint="eastAsia"/>
          <w:rtl/>
        </w:rPr>
        <w:t>אומר</w:t>
      </w:r>
      <w:r w:rsidRPr="00784C6F">
        <w:rPr>
          <w:rtl/>
        </w:rPr>
        <w:t>: '</w:t>
      </w:r>
      <w:r w:rsidRPr="00784C6F">
        <w:rPr>
          <w:rFonts w:hint="eastAsia"/>
          <w:rtl/>
        </w:rPr>
        <w:t>אין</w:t>
      </w:r>
      <w:r w:rsidRPr="00784C6F">
        <w:rPr>
          <w:rtl/>
        </w:rPr>
        <w:t xml:space="preserve"> </w:t>
      </w:r>
      <w:r w:rsidRPr="00784C6F">
        <w:rPr>
          <w:rFonts w:hint="eastAsia"/>
          <w:rtl/>
        </w:rPr>
        <w:t>נפקא</w:t>
      </w:r>
      <w:r w:rsidRPr="00784C6F">
        <w:rPr>
          <w:rtl/>
        </w:rPr>
        <w:t xml:space="preserve"> </w:t>
      </w:r>
      <w:r w:rsidRPr="00784C6F">
        <w:rPr>
          <w:rFonts w:hint="eastAsia"/>
          <w:rtl/>
        </w:rPr>
        <w:t>מינה</w:t>
      </w:r>
      <w:r w:rsidRPr="00784C6F">
        <w:rPr>
          <w:rtl/>
        </w:rPr>
        <w:t xml:space="preserve"> </w:t>
      </w:r>
      <w:r w:rsidRPr="00784C6F">
        <w:rPr>
          <w:rFonts w:hint="eastAsia"/>
          <w:rtl/>
        </w:rPr>
        <w:t>אם</w:t>
      </w:r>
      <w:r w:rsidRPr="00784C6F">
        <w:rPr>
          <w:rtl/>
        </w:rPr>
        <w:t xml:space="preserve"> </w:t>
      </w:r>
      <w:r w:rsidRPr="00784C6F">
        <w:rPr>
          <w:rFonts w:hint="eastAsia"/>
          <w:rtl/>
        </w:rPr>
        <w:t>יהודי</w:t>
      </w:r>
      <w:r w:rsidRPr="00784C6F">
        <w:rPr>
          <w:rtl/>
        </w:rPr>
        <w:t xml:space="preserve"> </w:t>
      </w:r>
      <w:r w:rsidRPr="00784C6F">
        <w:rPr>
          <w:rFonts w:hint="eastAsia"/>
          <w:rtl/>
        </w:rPr>
        <w:t>שמכוחו</w:t>
      </w:r>
      <w:r w:rsidRPr="00784C6F">
        <w:rPr>
          <w:rtl/>
        </w:rPr>
        <w:t xml:space="preserve"> </w:t>
      </w:r>
      <w:r w:rsidRPr="00784C6F">
        <w:rPr>
          <w:rFonts w:hint="eastAsia"/>
          <w:rtl/>
        </w:rPr>
        <w:t>נתבעת</w:t>
      </w:r>
      <w:r w:rsidRPr="00784C6F">
        <w:rPr>
          <w:rtl/>
        </w:rPr>
        <w:t xml:space="preserve"> </w:t>
      </w:r>
      <w:r w:rsidRPr="00784C6F">
        <w:rPr>
          <w:rFonts w:hint="eastAsia"/>
          <w:rtl/>
        </w:rPr>
        <w:t>זכות</w:t>
      </w:r>
      <w:r w:rsidRPr="00784C6F">
        <w:rPr>
          <w:rtl/>
        </w:rPr>
        <w:t xml:space="preserve"> </w:t>
      </w:r>
      <w:r w:rsidRPr="00784C6F">
        <w:rPr>
          <w:rFonts w:hint="eastAsia"/>
          <w:rtl/>
        </w:rPr>
        <w:t>לפי</w:t>
      </w:r>
      <w:r w:rsidRPr="00784C6F">
        <w:rPr>
          <w:rtl/>
        </w:rPr>
        <w:t xml:space="preserve"> </w:t>
      </w:r>
      <w:r w:rsidRPr="00784C6F">
        <w:rPr>
          <w:rFonts w:hint="eastAsia"/>
          <w:rtl/>
        </w:rPr>
        <w:t>סעיף</w:t>
      </w:r>
      <w:r w:rsidRPr="00784C6F">
        <w:rPr>
          <w:rtl/>
        </w:rPr>
        <w:t xml:space="preserve"> </w:t>
      </w:r>
      <w:r w:rsidRPr="00784C6F">
        <w:rPr>
          <w:rFonts w:hint="eastAsia"/>
          <w:rtl/>
        </w:rPr>
        <w:t>קטן</w:t>
      </w:r>
      <w:r w:rsidRPr="00784C6F">
        <w:rPr>
          <w:rtl/>
        </w:rPr>
        <w:t xml:space="preserve"> (</w:t>
      </w:r>
      <w:r w:rsidRPr="00784C6F">
        <w:rPr>
          <w:rFonts w:hint="eastAsia"/>
          <w:rtl/>
        </w:rPr>
        <w:t>א</w:t>
      </w:r>
      <w:r w:rsidRPr="00784C6F">
        <w:rPr>
          <w:rtl/>
        </w:rPr>
        <w:t xml:space="preserve">) </w:t>
      </w:r>
      <w:r w:rsidRPr="00784C6F">
        <w:rPr>
          <w:rFonts w:hint="eastAsia"/>
          <w:rtl/>
        </w:rPr>
        <w:t>עודו</w:t>
      </w:r>
      <w:r w:rsidRPr="00784C6F">
        <w:rPr>
          <w:rtl/>
        </w:rPr>
        <w:t xml:space="preserve"> </w:t>
      </w:r>
      <w:r w:rsidRPr="00784C6F">
        <w:rPr>
          <w:rFonts w:hint="eastAsia"/>
          <w:rtl/>
        </w:rPr>
        <w:t>בחיים</w:t>
      </w:r>
      <w:r w:rsidRPr="00784C6F">
        <w:rPr>
          <w:rtl/>
        </w:rPr>
        <w:t xml:space="preserve"> </w:t>
      </w:r>
      <w:r w:rsidRPr="00784C6F">
        <w:rPr>
          <w:rFonts w:hint="eastAsia"/>
          <w:rtl/>
        </w:rPr>
        <w:t>או</w:t>
      </w:r>
      <w:r w:rsidRPr="00784C6F">
        <w:rPr>
          <w:rtl/>
        </w:rPr>
        <w:t xml:space="preserve"> </w:t>
      </w:r>
      <w:r w:rsidRPr="00784C6F">
        <w:rPr>
          <w:rFonts w:hint="eastAsia"/>
          <w:rtl/>
        </w:rPr>
        <w:t>לאו</w:t>
      </w:r>
      <w:r w:rsidRPr="00784C6F">
        <w:rPr>
          <w:rtl/>
        </w:rPr>
        <w:t xml:space="preserve"> </w:t>
      </w:r>
      <w:r w:rsidRPr="00784C6F">
        <w:rPr>
          <w:rFonts w:hint="eastAsia"/>
          <w:rtl/>
        </w:rPr>
        <w:t>ואם</w:t>
      </w:r>
      <w:r w:rsidRPr="00784C6F">
        <w:rPr>
          <w:rtl/>
        </w:rPr>
        <w:t xml:space="preserve"> </w:t>
      </w:r>
      <w:r w:rsidRPr="00784C6F">
        <w:rPr>
          <w:rFonts w:hint="eastAsia"/>
          <w:rtl/>
        </w:rPr>
        <w:t>עלה</w:t>
      </w:r>
      <w:r w:rsidRPr="00784C6F">
        <w:rPr>
          <w:rtl/>
        </w:rPr>
        <w:t xml:space="preserve"> </w:t>
      </w:r>
      <w:r w:rsidRPr="00784C6F">
        <w:rPr>
          <w:rFonts w:hint="eastAsia"/>
          <w:rtl/>
        </w:rPr>
        <w:t>ארצה</w:t>
      </w:r>
      <w:r w:rsidRPr="00784C6F">
        <w:rPr>
          <w:rtl/>
        </w:rPr>
        <w:t xml:space="preserve"> </w:t>
      </w:r>
      <w:r w:rsidRPr="00784C6F">
        <w:rPr>
          <w:rFonts w:hint="eastAsia"/>
          <w:rtl/>
        </w:rPr>
        <w:t>או</w:t>
      </w:r>
      <w:r w:rsidRPr="00784C6F">
        <w:rPr>
          <w:rtl/>
        </w:rPr>
        <w:t xml:space="preserve"> </w:t>
      </w:r>
      <w:r w:rsidRPr="00784C6F">
        <w:rPr>
          <w:rFonts w:hint="eastAsia"/>
          <w:rtl/>
        </w:rPr>
        <w:t>לאו</w:t>
      </w:r>
      <w:r w:rsidRPr="00784C6F">
        <w:rPr>
          <w:rtl/>
        </w:rPr>
        <w:t xml:space="preserve">'. </w:t>
      </w:r>
      <w:r w:rsidRPr="00784C6F">
        <w:rPr>
          <w:rFonts w:hint="eastAsia"/>
          <w:rtl/>
        </w:rPr>
        <w:t>כי</w:t>
      </w:r>
      <w:r w:rsidRPr="00784C6F">
        <w:rPr>
          <w:rtl/>
        </w:rPr>
        <w:t xml:space="preserve"> </w:t>
      </w:r>
      <w:r w:rsidRPr="00784C6F">
        <w:rPr>
          <w:rFonts w:hint="eastAsia"/>
          <w:rtl/>
        </w:rPr>
        <w:t>זכות</w:t>
      </w:r>
      <w:r w:rsidRPr="00784C6F">
        <w:rPr>
          <w:rtl/>
        </w:rPr>
        <w:t xml:space="preserve"> </w:t>
      </w:r>
      <w:r w:rsidRPr="00784C6F">
        <w:rPr>
          <w:rFonts w:hint="eastAsia"/>
          <w:rtl/>
        </w:rPr>
        <w:t>זו</w:t>
      </w:r>
      <w:r w:rsidRPr="00784C6F">
        <w:rPr>
          <w:rtl/>
        </w:rPr>
        <w:t xml:space="preserve"> </w:t>
      </w:r>
      <w:r w:rsidRPr="00784C6F">
        <w:rPr>
          <w:rFonts w:hint="eastAsia"/>
          <w:rtl/>
        </w:rPr>
        <w:t>ניתנת</w:t>
      </w:r>
      <w:r w:rsidRPr="00784C6F">
        <w:rPr>
          <w:rtl/>
        </w:rPr>
        <w:t xml:space="preserve"> </w:t>
      </w:r>
      <w:r w:rsidRPr="00784C6F">
        <w:rPr>
          <w:rFonts w:hint="eastAsia"/>
          <w:rtl/>
        </w:rPr>
        <w:t>לאנשים</w:t>
      </w:r>
      <w:r w:rsidRPr="00784C6F">
        <w:rPr>
          <w:rtl/>
        </w:rPr>
        <w:t xml:space="preserve"> </w:t>
      </w:r>
      <w:r w:rsidRPr="00784C6F">
        <w:rPr>
          <w:rFonts w:hint="eastAsia"/>
          <w:rtl/>
        </w:rPr>
        <w:t>בשל</w:t>
      </w:r>
      <w:r w:rsidRPr="00784C6F">
        <w:rPr>
          <w:rtl/>
        </w:rPr>
        <w:t xml:space="preserve"> </w:t>
      </w:r>
      <w:r w:rsidRPr="00784C6F">
        <w:rPr>
          <w:rFonts w:hint="eastAsia"/>
          <w:rtl/>
        </w:rPr>
        <w:lastRenderedPageBreak/>
        <w:t>קירבתם</w:t>
      </w:r>
      <w:r w:rsidRPr="00784C6F">
        <w:rPr>
          <w:rtl/>
        </w:rPr>
        <w:t xml:space="preserve"> </w:t>
      </w:r>
      <w:r w:rsidRPr="00784C6F">
        <w:rPr>
          <w:rFonts w:hint="eastAsia"/>
          <w:rtl/>
        </w:rPr>
        <w:t>לעמנו</w:t>
      </w:r>
      <w:r w:rsidRPr="00784C6F">
        <w:rPr>
          <w:rtl/>
        </w:rPr>
        <w:t xml:space="preserve">, </w:t>
      </w:r>
      <w:r w:rsidRPr="00784C6F">
        <w:rPr>
          <w:rFonts w:hint="eastAsia"/>
          <w:rtl/>
        </w:rPr>
        <w:t>ולא</w:t>
      </w:r>
      <w:r w:rsidRPr="00784C6F">
        <w:rPr>
          <w:rtl/>
        </w:rPr>
        <w:t xml:space="preserve"> </w:t>
      </w:r>
      <w:r w:rsidRPr="00784C6F">
        <w:rPr>
          <w:rFonts w:hint="eastAsia"/>
          <w:rtl/>
        </w:rPr>
        <w:t>מתוך</w:t>
      </w:r>
      <w:r w:rsidRPr="00784C6F">
        <w:rPr>
          <w:rtl/>
        </w:rPr>
        <w:t xml:space="preserve"> </w:t>
      </w:r>
      <w:r w:rsidRPr="00784C6F">
        <w:rPr>
          <w:rFonts w:hint="eastAsia"/>
          <w:rtl/>
        </w:rPr>
        <w:t>בואם</w:t>
      </w:r>
      <w:r w:rsidRPr="00784C6F">
        <w:rPr>
          <w:rtl/>
        </w:rPr>
        <w:t xml:space="preserve"> </w:t>
      </w:r>
      <w:r w:rsidRPr="00784C6F">
        <w:rPr>
          <w:rFonts w:hint="eastAsia"/>
          <w:rtl/>
        </w:rPr>
        <w:t>יחד</w:t>
      </w:r>
      <w:r w:rsidRPr="00784C6F">
        <w:rPr>
          <w:rtl/>
        </w:rPr>
        <w:t xml:space="preserve"> </w:t>
      </w:r>
      <w:r w:rsidRPr="00784C6F">
        <w:rPr>
          <w:rFonts w:hint="eastAsia"/>
          <w:rtl/>
        </w:rPr>
        <w:t>עם</w:t>
      </w:r>
      <w:r w:rsidRPr="00784C6F">
        <w:rPr>
          <w:rtl/>
        </w:rPr>
        <w:t xml:space="preserve"> </w:t>
      </w:r>
      <w:r w:rsidRPr="00784C6F">
        <w:rPr>
          <w:rFonts w:hint="eastAsia"/>
          <w:rtl/>
        </w:rPr>
        <w:t>איש</w:t>
      </w:r>
      <w:r w:rsidRPr="00784C6F">
        <w:rPr>
          <w:rtl/>
        </w:rPr>
        <w:t xml:space="preserve"> </w:t>
      </w:r>
      <w:r w:rsidRPr="00784C6F">
        <w:rPr>
          <w:rFonts w:hint="eastAsia"/>
          <w:rtl/>
        </w:rPr>
        <w:t>מסויים</w:t>
      </w:r>
      <w:r w:rsidRPr="00784C6F">
        <w:rPr>
          <w:rtl/>
        </w:rPr>
        <w:t>" (</w:t>
      </w:r>
      <w:r w:rsidRPr="00784C6F">
        <w:rPr>
          <w:rFonts w:hint="cs"/>
          <w:rtl/>
        </w:rPr>
        <w:t>ד"כ 10.3.1970</w:t>
      </w:r>
      <w:r w:rsidRPr="00784C6F">
        <w:rPr>
          <w:rtl/>
        </w:rPr>
        <w:t xml:space="preserve">, </w:t>
      </w:r>
      <w:r w:rsidRPr="00784C6F">
        <w:rPr>
          <w:rFonts w:hint="eastAsia"/>
          <w:rtl/>
        </w:rPr>
        <w:t>בעמ</w:t>
      </w:r>
      <w:r w:rsidRPr="00784C6F">
        <w:rPr>
          <w:rtl/>
        </w:rPr>
        <w:t>' 1119).</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Fonts w:hint="cs"/>
          <w:rtl/>
        </w:rPr>
        <w:t>בנוסף לכך, שינוי אחר שנערך בוועדה נגע לאופן שבו הוגדרו חברי המשפחה. בעוד שנוסח הצעת החוק המקורית קבע כי: "</w:t>
      </w:r>
      <w:r w:rsidRPr="00784C6F">
        <w:rPr>
          <w:rFonts w:hint="eastAsia"/>
          <w:rtl/>
        </w:rPr>
        <w:t>הזכויות</w:t>
      </w:r>
      <w:r w:rsidRPr="00784C6F">
        <w:rPr>
          <w:rtl/>
        </w:rPr>
        <w:t xml:space="preserve"> </w:t>
      </w:r>
      <w:r w:rsidRPr="00784C6F">
        <w:rPr>
          <w:rFonts w:hint="eastAsia"/>
          <w:rtl/>
        </w:rPr>
        <w:t>של</w:t>
      </w:r>
      <w:r w:rsidRPr="00784C6F">
        <w:rPr>
          <w:rtl/>
        </w:rPr>
        <w:t xml:space="preserve"> </w:t>
      </w:r>
      <w:r w:rsidRPr="00784C6F">
        <w:rPr>
          <w:rFonts w:hint="eastAsia"/>
          <w:rtl/>
        </w:rPr>
        <w:t>יהודי</w:t>
      </w:r>
      <w:r w:rsidRPr="00784C6F">
        <w:rPr>
          <w:rtl/>
        </w:rPr>
        <w:t xml:space="preserve"> </w:t>
      </w:r>
      <w:r w:rsidRPr="00784C6F">
        <w:rPr>
          <w:rFonts w:hint="eastAsia"/>
          <w:rtl/>
        </w:rPr>
        <w:t>לפי</w:t>
      </w:r>
      <w:r w:rsidRPr="00784C6F">
        <w:rPr>
          <w:rtl/>
        </w:rPr>
        <w:t xml:space="preserve"> </w:t>
      </w:r>
      <w:r w:rsidRPr="00784C6F">
        <w:rPr>
          <w:rFonts w:hint="eastAsia"/>
          <w:rtl/>
        </w:rPr>
        <w:t>חוק</w:t>
      </w:r>
      <w:r w:rsidRPr="00784C6F">
        <w:rPr>
          <w:rtl/>
        </w:rPr>
        <w:t xml:space="preserve"> </w:t>
      </w:r>
      <w:r w:rsidRPr="00784C6F">
        <w:rPr>
          <w:rFonts w:hint="eastAsia"/>
          <w:rtl/>
        </w:rPr>
        <w:t>זה</w:t>
      </w:r>
      <w:r w:rsidRPr="00784C6F">
        <w:rPr>
          <w:rtl/>
        </w:rPr>
        <w:t xml:space="preserve"> [...] </w:t>
      </w:r>
      <w:r w:rsidRPr="00784C6F">
        <w:rPr>
          <w:rFonts w:hint="eastAsia"/>
          <w:rtl/>
        </w:rPr>
        <w:t>נתונות</w:t>
      </w:r>
      <w:r w:rsidRPr="00784C6F">
        <w:rPr>
          <w:rtl/>
        </w:rPr>
        <w:t xml:space="preserve"> </w:t>
      </w:r>
      <w:r w:rsidRPr="00784C6F">
        <w:rPr>
          <w:rFonts w:hint="eastAsia"/>
          <w:rtl/>
        </w:rPr>
        <w:t>גם</w:t>
      </w:r>
      <w:r w:rsidRPr="00784C6F">
        <w:rPr>
          <w:rtl/>
        </w:rPr>
        <w:t xml:space="preserve"> </w:t>
      </w:r>
      <w:r w:rsidRPr="00784C6F">
        <w:rPr>
          <w:rFonts w:hint="eastAsia"/>
          <w:rtl/>
        </w:rPr>
        <w:t>לילדו</w:t>
      </w:r>
      <w:r w:rsidRPr="00784C6F">
        <w:rPr>
          <w:rtl/>
        </w:rPr>
        <w:t xml:space="preserve"> </w:t>
      </w:r>
      <w:r w:rsidRPr="00784C6F">
        <w:rPr>
          <w:rFonts w:hint="eastAsia"/>
          <w:rtl/>
        </w:rPr>
        <w:t>ולבן</w:t>
      </w:r>
      <w:r w:rsidRPr="00784C6F">
        <w:rPr>
          <w:rtl/>
        </w:rPr>
        <w:t>-</w:t>
      </w:r>
      <w:r w:rsidRPr="00784C6F">
        <w:rPr>
          <w:rFonts w:hint="eastAsia"/>
          <w:rtl/>
        </w:rPr>
        <w:t>הזוג</w:t>
      </w:r>
      <w:r w:rsidRPr="00784C6F">
        <w:rPr>
          <w:rtl/>
        </w:rPr>
        <w:t xml:space="preserve"> </w:t>
      </w:r>
      <w:r w:rsidRPr="00784C6F">
        <w:rPr>
          <w:rFonts w:hint="eastAsia"/>
          <w:rtl/>
        </w:rPr>
        <w:t>וכן</w:t>
      </w:r>
      <w:r w:rsidRPr="00784C6F">
        <w:rPr>
          <w:rtl/>
        </w:rPr>
        <w:t xml:space="preserve"> </w:t>
      </w:r>
      <w:r w:rsidRPr="00784C6F">
        <w:rPr>
          <w:rFonts w:hint="eastAsia"/>
          <w:rtl/>
        </w:rPr>
        <w:t>לילד</w:t>
      </w:r>
      <w:r w:rsidRPr="00784C6F">
        <w:rPr>
          <w:rtl/>
        </w:rPr>
        <w:t xml:space="preserve"> </w:t>
      </w:r>
      <w:r w:rsidRPr="00784C6F">
        <w:rPr>
          <w:rFonts w:hint="eastAsia"/>
          <w:rtl/>
        </w:rPr>
        <w:t>ולבן</w:t>
      </w:r>
      <w:r w:rsidRPr="00784C6F">
        <w:rPr>
          <w:rtl/>
        </w:rPr>
        <w:t xml:space="preserve"> </w:t>
      </w:r>
      <w:r w:rsidRPr="00784C6F">
        <w:rPr>
          <w:rFonts w:hint="eastAsia"/>
          <w:rtl/>
        </w:rPr>
        <w:t>הזוג</w:t>
      </w:r>
      <w:r w:rsidRPr="00784C6F">
        <w:rPr>
          <w:rtl/>
        </w:rPr>
        <w:t xml:space="preserve"> </w:t>
      </w:r>
      <w:r w:rsidRPr="00784C6F">
        <w:rPr>
          <w:rFonts w:hint="eastAsia"/>
          <w:rtl/>
        </w:rPr>
        <w:t>של</w:t>
      </w:r>
      <w:r w:rsidRPr="00784C6F">
        <w:rPr>
          <w:rtl/>
        </w:rPr>
        <w:t xml:space="preserve"> </w:t>
      </w:r>
      <w:r w:rsidRPr="00784C6F">
        <w:rPr>
          <w:rFonts w:hint="eastAsia"/>
          <w:rtl/>
        </w:rPr>
        <w:t>הילד</w:t>
      </w:r>
      <w:r w:rsidRPr="00784C6F">
        <w:rPr>
          <w:rFonts w:hint="cs"/>
          <w:rtl/>
        </w:rPr>
        <w:t>", בוועדה הוחלט להגדיר כל אחד מקרובי המשפחה באופן עצמאי: "</w:t>
      </w:r>
      <w:r w:rsidRPr="00784C6F">
        <w:rPr>
          <w:rFonts w:hint="eastAsia"/>
          <w:rtl/>
        </w:rPr>
        <w:t>אבל</w:t>
      </w:r>
      <w:r w:rsidRPr="00784C6F">
        <w:rPr>
          <w:rtl/>
        </w:rPr>
        <w:t xml:space="preserve"> </w:t>
      </w:r>
      <w:r w:rsidRPr="00784C6F">
        <w:rPr>
          <w:rFonts w:hint="eastAsia"/>
          <w:rtl/>
        </w:rPr>
        <w:t>קודם</w:t>
      </w:r>
      <w:r w:rsidRPr="00784C6F">
        <w:rPr>
          <w:rtl/>
        </w:rPr>
        <w:t>-</w:t>
      </w:r>
      <w:r w:rsidRPr="00784C6F">
        <w:rPr>
          <w:rFonts w:hint="eastAsia"/>
          <w:rtl/>
        </w:rPr>
        <w:t>כל</w:t>
      </w:r>
      <w:r w:rsidRPr="00784C6F">
        <w:rPr>
          <w:rtl/>
        </w:rPr>
        <w:t xml:space="preserve"> </w:t>
      </w:r>
      <w:r w:rsidRPr="00784C6F">
        <w:rPr>
          <w:rFonts w:hint="eastAsia"/>
          <w:rtl/>
        </w:rPr>
        <w:t>נבהיר</w:t>
      </w:r>
      <w:r w:rsidRPr="00784C6F">
        <w:rPr>
          <w:rtl/>
        </w:rPr>
        <w:t xml:space="preserve"> </w:t>
      </w:r>
      <w:r w:rsidRPr="00784C6F">
        <w:rPr>
          <w:rFonts w:hint="eastAsia"/>
          <w:rtl/>
        </w:rPr>
        <w:t>לעצמנו</w:t>
      </w:r>
      <w:r w:rsidRPr="00784C6F">
        <w:rPr>
          <w:rtl/>
        </w:rPr>
        <w:t xml:space="preserve"> </w:t>
      </w:r>
      <w:r w:rsidRPr="00784C6F">
        <w:rPr>
          <w:rFonts w:hint="eastAsia"/>
          <w:rtl/>
        </w:rPr>
        <w:t>את</w:t>
      </w:r>
      <w:r w:rsidRPr="00784C6F">
        <w:rPr>
          <w:rtl/>
        </w:rPr>
        <w:t xml:space="preserve"> </w:t>
      </w:r>
      <w:r w:rsidRPr="00784C6F">
        <w:rPr>
          <w:rFonts w:hint="eastAsia"/>
          <w:rtl/>
        </w:rPr>
        <w:t>ענין</w:t>
      </w:r>
      <w:r w:rsidRPr="00784C6F">
        <w:rPr>
          <w:rtl/>
        </w:rPr>
        <w:t xml:space="preserve"> </w:t>
      </w:r>
      <w:r w:rsidRPr="00784C6F">
        <w:rPr>
          <w:rFonts w:hint="eastAsia"/>
          <w:rtl/>
        </w:rPr>
        <w:t>שני</w:t>
      </w:r>
      <w:r w:rsidRPr="00784C6F">
        <w:rPr>
          <w:rtl/>
        </w:rPr>
        <w:t xml:space="preserve"> </w:t>
      </w:r>
      <w:r w:rsidRPr="00784C6F">
        <w:rPr>
          <w:rFonts w:hint="eastAsia"/>
          <w:rtl/>
        </w:rPr>
        <w:t>הדורות</w:t>
      </w:r>
      <w:r w:rsidRPr="00784C6F">
        <w:rPr>
          <w:rtl/>
        </w:rPr>
        <w:t xml:space="preserve">. </w:t>
      </w:r>
      <w:r w:rsidRPr="00784C6F">
        <w:rPr>
          <w:rFonts w:hint="eastAsia"/>
          <w:rtl/>
        </w:rPr>
        <w:t>בעקבות</w:t>
      </w:r>
      <w:r w:rsidRPr="00784C6F">
        <w:rPr>
          <w:rtl/>
        </w:rPr>
        <w:t xml:space="preserve"> </w:t>
      </w:r>
      <w:r w:rsidRPr="00784C6F">
        <w:rPr>
          <w:rFonts w:hint="eastAsia"/>
          <w:rtl/>
        </w:rPr>
        <w:t>הדברים</w:t>
      </w:r>
      <w:r w:rsidRPr="00784C6F">
        <w:rPr>
          <w:rtl/>
        </w:rPr>
        <w:t xml:space="preserve"> </w:t>
      </w:r>
      <w:r w:rsidRPr="00784C6F">
        <w:rPr>
          <w:rFonts w:hint="eastAsia"/>
          <w:rtl/>
        </w:rPr>
        <w:t>של</w:t>
      </w:r>
      <w:r w:rsidRPr="00784C6F">
        <w:rPr>
          <w:rtl/>
        </w:rPr>
        <w:t xml:space="preserve"> </w:t>
      </w:r>
      <w:r w:rsidRPr="00784C6F">
        <w:rPr>
          <w:rFonts w:hint="eastAsia"/>
          <w:rtl/>
        </w:rPr>
        <w:t>היועץ</w:t>
      </w:r>
      <w:r w:rsidRPr="00784C6F">
        <w:rPr>
          <w:rtl/>
        </w:rPr>
        <w:t xml:space="preserve"> </w:t>
      </w:r>
      <w:r w:rsidRPr="00784C6F">
        <w:rPr>
          <w:rFonts w:hint="eastAsia"/>
          <w:rtl/>
        </w:rPr>
        <w:t>המשפטי</w:t>
      </w:r>
      <w:r w:rsidRPr="00784C6F">
        <w:rPr>
          <w:rtl/>
        </w:rPr>
        <w:t xml:space="preserve"> </w:t>
      </w:r>
      <w:r w:rsidRPr="00784C6F">
        <w:rPr>
          <w:rFonts w:hint="eastAsia"/>
          <w:rtl/>
        </w:rPr>
        <w:t>הייתי</w:t>
      </w:r>
      <w:r w:rsidRPr="00784C6F">
        <w:rPr>
          <w:rtl/>
        </w:rPr>
        <w:t xml:space="preserve"> </w:t>
      </w:r>
      <w:r w:rsidRPr="00784C6F">
        <w:rPr>
          <w:rFonts w:hint="eastAsia"/>
          <w:rtl/>
        </w:rPr>
        <w:t>חושב</w:t>
      </w:r>
      <w:r w:rsidRPr="00784C6F">
        <w:rPr>
          <w:rtl/>
        </w:rPr>
        <w:t xml:space="preserve"> </w:t>
      </w:r>
      <w:r w:rsidRPr="00784C6F">
        <w:rPr>
          <w:rFonts w:hint="eastAsia"/>
          <w:rtl/>
        </w:rPr>
        <w:t>שהביטוי</w:t>
      </w:r>
      <w:r w:rsidRPr="00784C6F">
        <w:rPr>
          <w:rtl/>
        </w:rPr>
        <w:t xml:space="preserve"> '</w:t>
      </w:r>
      <w:r w:rsidRPr="00784C6F">
        <w:rPr>
          <w:rFonts w:hint="eastAsia"/>
          <w:rtl/>
        </w:rPr>
        <w:t>לילדו</w:t>
      </w:r>
      <w:r w:rsidRPr="00784C6F">
        <w:rPr>
          <w:rtl/>
        </w:rPr>
        <w:t xml:space="preserve">' </w:t>
      </w:r>
      <w:r w:rsidRPr="00784C6F">
        <w:rPr>
          <w:rFonts w:hint="eastAsia"/>
          <w:rtl/>
        </w:rPr>
        <w:t>משאיר</w:t>
      </w:r>
      <w:r w:rsidRPr="00784C6F">
        <w:rPr>
          <w:rtl/>
        </w:rPr>
        <w:t xml:space="preserve"> </w:t>
      </w:r>
      <w:r w:rsidRPr="00784C6F">
        <w:rPr>
          <w:rFonts w:hint="eastAsia"/>
          <w:rtl/>
        </w:rPr>
        <w:t>מקום</w:t>
      </w:r>
      <w:r w:rsidRPr="00784C6F">
        <w:rPr>
          <w:rtl/>
        </w:rPr>
        <w:t xml:space="preserve"> </w:t>
      </w:r>
      <w:r w:rsidRPr="00784C6F">
        <w:rPr>
          <w:rFonts w:hint="eastAsia"/>
          <w:rtl/>
        </w:rPr>
        <w:t>לאי</w:t>
      </w:r>
      <w:r w:rsidRPr="00784C6F">
        <w:rPr>
          <w:rtl/>
        </w:rPr>
        <w:t xml:space="preserve"> </w:t>
      </w:r>
      <w:r w:rsidRPr="00784C6F">
        <w:rPr>
          <w:rFonts w:hint="eastAsia"/>
          <w:rtl/>
        </w:rPr>
        <w:t>בהירות</w:t>
      </w:r>
      <w:r w:rsidRPr="00784C6F">
        <w:rPr>
          <w:rtl/>
        </w:rPr>
        <w:t xml:space="preserve"> [...] </w:t>
      </w:r>
      <w:r w:rsidRPr="00784C6F">
        <w:rPr>
          <w:rFonts w:hint="eastAsia"/>
          <w:rtl/>
        </w:rPr>
        <w:t>לכן</w:t>
      </w:r>
      <w:r w:rsidRPr="00784C6F">
        <w:rPr>
          <w:rtl/>
        </w:rPr>
        <w:t xml:space="preserve"> </w:t>
      </w:r>
      <w:r w:rsidRPr="00784C6F">
        <w:rPr>
          <w:rFonts w:hint="eastAsia"/>
          <w:rtl/>
        </w:rPr>
        <w:t>מוטב</w:t>
      </w:r>
      <w:r w:rsidRPr="00784C6F">
        <w:rPr>
          <w:rtl/>
        </w:rPr>
        <w:t xml:space="preserve"> </w:t>
      </w:r>
      <w:r w:rsidRPr="00784C6F">
        <w:rPr>
          <w:rFonts w:hint="eastAsia"/>
          <w:rtl/>
        </w:rPr>
        <w:t>לומר</w:t>
      </w:r>
      <w:r w:rsidRPr="00784C6F">
        <w:rPr>
          <w:rtl/>
        </w:rPr>
        <w:t xml:space="preserve"> '</w:t>
      </w:r>
      <w:r w:rsidRPr="00784C6F">
        <w:rPr>
          <w:rFonts w:hint="eastAsia"/>
          <w:rtl/>
        </w:rPr>
        <w:t>לילד</w:t>
      </w:r>
      <w:r w:rsidRPr="00784C6F">
        <w:rPr>
          <w:rtl/>
        </w:rPr>
        <w:t xml:space="preserve"> </w:t>
      </w:r>
      <w:r w:rsidRPr="00784C6F">
        <w:rPr>
          <w:rFonts w:hint="eastAsia"/>
          <w:rtl/>
        </w:rPr>
        <w:t>של</w:t>
      </w:r>
      <w:r w:rsidRPr="00784C6F">
        <w:rPr>
          <w:rtl/>
        </w:rPr>
        <w:t xml:space="preserve"> </w:t>
      </w:r>
      <w:r w:rsidRPr="00784C6F">
        <w:rPr>
          <w:rFonts w:hint="eastAsia"/>
          <w:rtl/>
        </w:rPr>
        <w:t>יהודי</w:t>
      </w:r>
      <w:r w:rsidRPr="00784C6F">
        <w:rPr>
          <w:rtl/>
        </w:rPr>
        <w:t xml:space="preserve">' </w:t>
      </w:r>
      <w:r w:rsidRPr="00784C6F">
        <w:rPr>
          <w:rFonts w:hint="eastAsia"/>
          <w:rtl/>
        </w:rPr>
        <w:t>ו</w:t>
      </w:r>
      <w:r w:rsidRPr="00784C6F">
        <w:rPr>
          <w:rtl/>
        </w:rPr>
        <w:t>'</w:t>
      </w:r>
      <w:r w:rsidRPr="00784C6F">
        <w:rPr>
          <w:rFonts w:hint="eastAsia"/>
          <w:rtl/>
        </w:rPr>
        <w:t>לבן</w:t>
      </w:r>
      <w:r w:rsidRPr="00784C6F">
        <w:rPr>
          <w:rtl/>
        </w:rPr>
        <w:t xml:space="preserve"> </w:t>
      </w:r>
      <w:r w:rsidRPr="00784C6F">
        <w:rPr>
          <w:rFonts w:hint="eastAsia"/>
          <w:rtl/>
        </w:rPr>
        <w:t>הזוג</w:t>
      </w:r>
      <w:r w:rsidRPr="00784C6F">
        <w:rPr>
          <w:rtl/>
        </w:rPr>
        <w:t xml:space="preserve"> </w:t>
      </w:r>
      <w:r w:rsidRPr="00784C6F">
        <w:rPr>
          <w:rFonts w:hint="eastAsia"/>
          <w:rtl/>
        </w:rPr>
        <w:t>של</w:t>
      </w:r>
      <w:r w:rsidRPr="00784C6F">
        <w:rPr>
          <w:rtl/>
        </w:rPr>
        <w:t xml:space="preserve"> </w:t>
      </w:r>
      <w:r w:rsidRPr="00784C6F">
        <w:rPr>
          <w:rFonts w:hint="eastAsia"/>
          <w:rtl/>
        </w:rPr>
        <w:t>יהודי</w:t>
      </w:r>
      <w:r w:rsidRPr="00784C6F">
        <w:rPr>
          <w:rtl/>
        </w:rPr>
        <w:t xml:space="preserve">' </w:t>
      </w:r>
      <w:r w:rsidRPr="00784C6F">
        <w:rPr>
          <w:rFonts w:hint="eastAsia"/>
          <w:rtl/>
        </w:rPr>
        <w:t>במקום</w:t>
      </w:r>
      <w:r w:rsidRPr="00784C6F">
        <w:rPr>
          <w:rtl/>
        </w:rPr>
        <w:t xml:space="preserve"> </w:t>
      </w:r>
      <w:r w:rsidRPr="00784C6F">
        <w:rPr>
          <w:rFonts w:hint="eastAsia"/>
          <w:rtl/>
        </w:rPr>
        <w:t>לילדו</w:t>
      </w:r>
      <w:r w:rsidRPr="00784C6F">
        <w:rPr>
          <w:rtl/>
        </w:rPr>
        <w:t xml:space="preserve"> </w:t>
      </w:r>
      <w:r w:rsidRPr="00784C6F">
        <w:rPr>
          <w:rFonts w:hint="eastAsia"/>
          <w:rtl/>
        </w:rPr>
        <w:t>ולבן</w:t>
      </w:r>
      <w:r w:rsidRPr="00784C6F">
        <w:rPr>
          <w:rtl/>
        </w:rPr>
        <w:t xml:space="preserve"> </w:t>
      </w:r>
      <w:r w:rsidRPr="00784C6F">
        <w:rPr>
          <w:rFonts w:hint="eastAsia"/>
          <w:rtl/>
        </w:rPr>
        <w:t>הזוג</w:t>
      </w:r>
      <w:r w:rsidRPr="00784C6F">
        <w:rPr>
          <w:rtl/>
        </w:rPr>
        <w:t xml:space="preserve"> </w:t>
      </w:r>
      <w:r w:rsidRPr="00784C6F">
        <w:rPr>
          <w:rFonts w:hint="eastAsia"/>
          <w:rtl/>
        </w:rPr>
        <w:t>ולא</w:t>
      </w:r>
      <w:r w:rsidRPr="00784C6F">
        <w:rPr>
          <w:rtl/>
        </w:rPr>
        <w:t xml:space="preserve"> </w:t>
      </w:r>
      <w:r w:rsidRPr="00784C6F">
        <w:rPr>
          <w:rFonts w:hint="eastAsia"/>
          <w:rtl/>
        </w:rPr>
        <w:t>לחסר</w:t>
      </w:r>
      <w:r w:rsidRPr="00784C6F">
        <w:rPr>
          <w:rtl/>
        </w:rPr>
        <w:t xml:space="preserve"> </w:t>
      </w:r>
      <w:r w:rsidRPr="00784C6F">
        <w:rPr>
          <w:rFonts w:hint="eastAsia"/>
          <w:rtl/>
        </w:rPr>
        <w:t>במילים</w:t>
      </w:r>
      <w:r w:rsidRPr="00784C6F">
        <w:rPr>
          <w:rtl/>
        </w:rPr>
        <w:t xml:space="preserve">. </w:t>
      </w:r>
      <w:r w:rsidRPr="00784C6F">
        <w:rPr>
          <w:rFonts w:ascii="Century" w:hAnsi="Century" w:cs="Miriam" w:hint="eastAsia"/>
          <w:b/>
          <w:spacing w:val="0"/>
          <w:sz w:val="22"/>
          <w:szCs w:val="24"/>
          <w:rtl/>
        </w:rPr>
        <w:t>אם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נאמר</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זאת</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אולי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לא</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יהיה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צורך</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להגיד</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במילים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מפורשות</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שאמרתי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קודם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בין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שעולים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יחד</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או</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בנפרד</w:t>
      </w:r>
      <w:r w:rsidRPr="00784C6F">
        <w:rPr>
          <w:rtl/>
        </w:rPr>
        <w:t xml:space="preserve">, </w:t>
      </w:r>
      <w:r w:rsidRPr="00784C6F">
        <w:rPr>
          <w:rFonts w:hint="eastAsia"/>
          <w:rtl/>
        </w:rPr>
        <w:t>ובין</w:t>
      </w:r>
      <w:r w:rsidRPr="00784C6F">
        <w:rPr>
          <w:rtl/>
        </w:rPr>
        <w:t xml:space="preserve"> </w:t>
      </w:r>
      <w:r w:rsidRPr="00784C6F">
        <w:rPr>
          <w:rFonts w:hint="eastAsia"/>
          <w:rtl/>
        </w:rPr>
        <w:t>שאותו</w:t>
      </w:r>
      <w:r w:rsidRPr="00784C6F">
        <w:rPr>
          <w:rtl/>
        </w:rPr>
        <w:t xml:space="preserve"> </w:t>
      </w:r>
      <w:r w:rsidRPr="00784C6F">
        <w:rPr>
          <w:rFonts w:hint="eastAsia"/>
          <w:rtl/>
        </w:rPr>
        <w:t>יהודי</w:t>
      </w:r>
      <w:r w:rsidRPr="00784C6F">
        <w:rPr>
          <w:rtl/>
        </w:rPr>
        <w:t xml:space="preserve"> </w:t>
      </w:r>
      <w:r w:rsidRPr="00784C6F">
        <w:rPr>
          <w:rFonts w:hint="eastAsia"/>
          <w:rtl/>
        </w:rPr>
        <w:t>נמצא</w:t>
      </w:r>
      <w:r w:rsidRPr="00784C6F">
        <w:rPr>
          <w:rtl/>
        </w:rPr>
        <w:t xml:space="preserve"> </w:t>
      </w:r>
      <w:r w:rsidRPr="00784C6F">
        <w:rPr>
          <w:rFonts w:hint="eastAsia"/>
          <w:rtl/>
        </w:rPr>
        <w:t>בחיים</w:t>
      </w:r>
      <w:r w:rsidRPr="00784C6F">
        <w:rPr>
          <w:rtl/>
        </w:rPr>
        <w:t xml:space="preserve"> </w:t>
      </w:r>
      <w:r w:rsidRPr="00784C6F">
        <w:rPr>
          <w:rFonts w:hint="eastAsia"/>
          <w:rtl/>
        </w:rPr>
        <w:t>או</w:t>
      </w:r>
      <w:r w:rsidRPr="00784C6F">
        <w:rPr>
          <w:rtl/>
        </w:rPr>
        <w:t xml:space="preserve"> </w:t>
      </w:r>
      <w:r w:rsidRPr="00784C6F">
        <w:rPr>
          <w:rFonts w:hint="eastAsia"/>
          <w:rtl/>
        </w:rPr>
        <w:t>לא</w:t>
      </w:r>
      <w:r w:rsidRPr="00784C6F">
        <w:rPr>
          <w:rtl/>
        </w:rPr>
        <w:t xml:space="preserve"> </w:t>
      </w:r>
      <w:r w:rsidRPr="00784C6F">
        <w:rPr>
          <w:rFonts w:hint="eastAsia"/>
          <w:rtl/>
        </w:rPr>
        <w:t>נמצא</w:t>
      </w:r>
      <w:r w:rsidRPr="00784C6F">
        <w:rPr>
          <w:rtl/>
        </w:rPr>
        <w:t xml:space="preserve"> </w:t>
      </w:r>
      <w:r w:rsidRPr="00784C6F">
        <w:rPr>
          <w:rFonts w:hint="eastAsia"/>
          <w:rtl/>
        </w:rPr>
        <w:t>בחיים</w:t>
      </w:r>
      <w:r w:rsidRPr="00784C6F">
        <w:rPr>
          <w:rtl/>
        </w:rPr>
        <w:t>" (</w:t>
      </w:r>
      <w:r w:rsidRPr="00784C6F">
        <w:rPr>
          <w:rFonts w:hint="eastAsia"/>
          <w:rtl/>
        </w:rPr>
        <w:t>פרוטוקול</w:t>
      </w:r>
      <w:r w:rsidRPr="00784C6F">
        <w:rPr>
          <w:rtl/>
        </w:rPr>
        <w:t xml:space="preserve"> </w:t>
      </w:r>
      <w:r w:rsidRPr="00784C6F">
        <w:rPr>
          <w:rFonts w:hint="eastAsia"/>
          <w:rtl/>
        </w:rPr>
        <w:t>הדיון</w:t>
      </w:r>
      <w:r w:rsidRPr="00784C6F">
        <w:rPr>
          <w:rtl/>
        </w:rPr>
        <w:t xml:space="preserve"> </w:t>
      </w:r>
      <w:r w:rsidRPr="00784C6F">
        <w:rPr>
          <w:rFonts w:hint="eastAsia"/>
          <w:rtl/>
        </w:rPr>
        <w:t>מיום</w:t>
      </w:r>
      <w:r w:rsidRPr="00784C6F">
        <w:rPr>
          <w:rtl/>
        </w:rPr>
        <w:t xml:space="preserve"> 11.2.1970, </w:t>
      </w:r>
      <w:r w:rsidRPr="00784C6F">
        <w:rPr>
          <w:rFonts w:hint="cs"/>
          <w:rtl/>
        </w:rPr>
        <w:t>ב</w:t>
      </w:r>
      <w:r w:rsidRPr="00784C6F">
        <w:rPr>
          <w:rFonts w:hint="eastAsia"/>
          <w:rtl/>
        </w:rPr>
        <w:t>עמ</w:t>
      </w:r>
      <w:r w:rsidRPr="00784C6F">
        <w:rPr>
          <w:rtl/>
        </w:rPr>
        <w:t>' 13</w:t>
      </w:r>
      <w:r w:rsidRPr="00784C6F">
        <w:rPr>
          <w:rFonts w:hint="cs"/>
          <w:rtl/>
        </w:rPr>
        <w:t xml:space="preserve">; ההדגשה הוספה </w:t>
      </w:r>
      <w:r w:rsidRPr="00784C6F">
        <w:rPr>
          <w:rtl/>
        </w:rPr>
        <w:t>–</w:t>
      </w:r>
      <w:r w:rsidRPr="00784C6F">
        <w:rPr>
          <w:rFonts w:hint="cs"/>
          <w:rtl/>
        </w:rPr>
        <w:t xml:space="preserve"> ע' פ'</w:t>
      </w:r>
      <w:r w:rsidRPr="00784C6F">
        <w:rPr>
          <w:rtl/>
        </w:rPr>
        <w:t>).</w:t>
      </w:r>
      <w:r w:rsidRPr="00784C6F">
        <w:rPr>
          <w:rFonts w:hint="cs"/>
          <w:rtl/>
        </w:rPr>
        <w:t xml:space="preserve"> המשתתפים ביקשו להחיל עיקרון זה גם לגבי בן הזוג של הילד</w:t>
      </w:r>
      <w:r w:rsidRPr="00784C6F">
        <w:rPr>
          <w:rtl/>
        </w:rPr>
        <w:t>: "בנוגע לסיפה לא הייתי חוסך מלה והייתי אומר 'ולבן זוג של ילד של יהודי' במקום 'ולבן זוגו של ילדו', כלומר, נהיה נאמנים לזה שאנו מגדירים כל אישיות כזאת בפני עצמה" (</w:t>
      </w:r>
      <w:r w:rsidRPr="00784C6F">
        <w:rPr>
          <w:rFonts w:ascii="Century" w:hAnsi="Century" w:hint="eastAsia"/>
          <w:sz w:val="22"/>
          <w:rtl/>
        </w:rPr>
        <w:t>הפרוטוקול</w:t>
      </w:r>
      <w:r w:rsidRPr="00784C6F">
        <w:rPr>
          <w:rFonts w:ascii="Century" w:hAnsi="Century"/>
          <w:sz w:val="22"/>
          <w:rtl/>
        </w:rPr>
        <w:t xml:space="preserve"> </w:t>
      </w:r>
      <w:r w:rsidRPr="00784C6F">
        <w:rPr>
          <w:rFonts w:ascii="Century" w:hAnsi="Century" w:hint="eastAsia"/>
          <w:sz w:val="22"/>
          <w:rtl/>
        </w:rPr>
        <w:t>מיום</w:t>
      </w:r>
      <w:r w:rsidRPr="00784C6F">
        <w:rPr>
          <w:rFonts w:ascii="Century" w:hAnsi="Century"/>
          <w:sz w:val="22"/>
          <w:rtl/>
        </w:rPr>
        <w:t xml:space="preserve"> 2.3.1970, </w:t>
      </w:r>
      <w:r w:rsidRPr="00784C6F">
        <w:rPr>
          <w:rFonts w:hint="cs"/>
          <w:rtl/>
        </w:rPr>
        <w:t>בעמ' 6; יוער כי במועד זה נוסח הצעת החוק טרם כלל גם את בת זוגו של הנכד</w:t>
      </w:r>
      <w:r w:rsidRPr="00784C6F">
        <w:rPr>
          <w:rtl/>
        </w:rPr>
        <w:t>).</w:t>
      </w:r>
    </w:p>
    <w:p w:rsidR="00E1330B" w:rsidRPr="00784C6F" w:rsidRDefault="00E1330B" w:rsidP="00E1330B">
      <w:pPr>
        <w:pStyle w:val="Ruller4"/>
        <w:numPr>
          <w:ilvl w:val="0"/>
          <w:numId w:val="0"/>
        </w:numPr>
        <w:rPr>
          <w:rtl/>
        </w:rPr>
      </w:pPr>
    </w:p>
    <w:p w:rsidR="00E1330B" w:rsidRPr="00784C6F" w:rsidRDefault="00E1330B" w:rsidP="00E1330B">
      <w:pPr>
        <w:pStyle w:val="Ruller4"/>
        <w:numPr>
          <w:ilvl w:val="0"/>
          <w:numId w:val="13"/>
        </w:numPr>
        <w:rPr>
          <w:rtl/>
        </w:rPr>
      </w:pPr>
      <w:r w:rsidRPr="00784C6F">
        <w:rPr>
          <w:rFonts w:hint="cs"/>
          <w:rtl/>
        </w:rPr>
        <w:t>המכלול שהובא לעניין הליך חקיקתו של סעיף 4א(ב) מעלה כי המשתתפים ביקשו להבהיר כי הזכות שניתנת לבני המשפחה אינה תלויה בעלייתו של היהודי שמכוחו ניתנת הזכות. בהקשר זה לא נערך דיון בזכאותו הפרטנית של כל אחד מחברי המשפחה שמנויים בסעיף ובמעמדו, ואף לא נערך דיון בשאלה האם יש מקום להבחין בין מעמדו של בן זוג לפי החוק לבין מעמדו של צאצא. מ</w:t>
      </w:r>
      <w:r w:rsidRPr="00784C6F">
        <w:rPr>
          <w:rtl/>
        </w:rPr>
        <w:t xml:space="preserve">דבריו של המשנה ליועץ המשפטי לממשלה עולה </w:t>
      </w:r>
      <w:r w:rsidRPr="00784C6F">
        <w:rPr>
          <w:rFonts w:hint="cs"/>
          <w:rtl/>
        </w:rPr>
        <w:t xml:space="preserve">כי </w:t>
      </w:r>
      <w:r w:rsidRPr="00784C6F">
        <w:rPr>
          <w:rtl/>
        </w:rPr>
        <w:t>כלל קרובי המשפחה יונקים את זכותם כתוצאה מקרבתם ליהודי ("ממנו יצאה כל אותה שורה").</w:t>
      </w:r>
      <w:r w:rsidRPr="00784C6F">
        <w:rPr>
          <w:rFonts w:hint="cs"/>
          <w:rtl/>
        </w:rPr>
        <w:t xml:space="preserve"> </w:t>
      </w:r>
      <w:r w:rsidRPr="00784C6F">
        <w:rPr>
          <w:rFonts w:hint="eastAsia"/>
          <w:rtl/>
        </w:rPr>
        <w:t>במקרים</w:t>
      </w:r>
      <w:r w:rsidRPr="00784C6F">
        <w:rPr>
          <w:rtl/>
        </w:rPr>
        <w:t xml:space="preserve"> </w:t>
      </w:r>
      <w:r w:rsidRPr="00784C6F">
        <w:rPr>
          <w:rFonts w:hint="eastAsia"/>
          <w:rtl/>
        </w:rPr>
        <w:t>רבים</w:t>
      </w:r>
      <w:r w:rsidRPr="00784C6F">
        <w:rPr>
          <w:rtl/>
        </w:rPr>
        <w:t xml:space="preserve">, </w:t>
      </w:r>
      <w:r w:rsidRPr="00784C6F">
        <w:rPr>
          <w:rFonts w:hint="eastAsia"/>
          <w:rtl/>
        </w:rPr>
        <w:t>דברי</w:t>
      </w:r>
      <w:r w:rsidRPr="00784C6F">
        <w:rPr>
          <w:rtl/>
        </w:rPr>
        <w:t xml:space="preserve"> </w:t>
      </w:r>
      <w:r w:rsidRPr="00784C6F">
        <w:rPr>
          <w:rFonts w:hint="cs"/>
          <w:rtl/>
        </w:rPr>
        <w:t xml:space="preserve">המשתתפים בהליך החקיקה מעלים כי אלה ראו לנגד עיניהם את המצב שבו היהודי נפטר ושני דורות של צאצאיו עולים לישראל. ואולם, על אף הסתייגויות שהועלו בהקשר זה, צוין כי הזכות עשויה לעמוד בתוקפה במצבים נוספים. עיקר הדיון בוועדה עסק בשאלת תחולת הסעיף במצבים שונים ולא בתכליותיו. לצד זאת, מדבריו של יו"ר הוועדה בעת הצגת הסעיף במליאת הכנסת עולה כי זכותם העצמאית של בני המשפחה ניתנת להם מתוך התפיסה שעצם הקשר המשפחתי יוצר קרבה בינם לבין לעם היהודי.   </w:t>
      </w:r>
    </w:p>
    <w:p w:rsidR="00E1330B" w:rsidRPr="00784C6F" w:rsidRDefault="00E1330B" w:rsidP="00E1330B">
      <w:pPr>
        <w:pStyle w:val="Ruller41"/>
      </w:pPr>
    </w:p>
    <w:p w:rsidR="00E1330B" w:rsidRPr="00784C6F" w:rsidRDefault="00E1330B" w:rsidP="00E1330B">
      <w:pPr>
        <w:pStyle w:val="Ruller4"/>
        <w:numPr>
          <w:ilvl w:val="0"/>
          <w:numId w:val="13"/>
        </w:numPr>
      </w:pPr>
      <w:r w:rsidRPr="00784C6F">
        <w:rPr>
          <w:rFonts w:hint="cs"/>
          <w:rtl/>
        </w:rPr>
        <w:t>ה</w:t>
      </w:r>
      <w:r w:rsidRPr="00784C6F">
        <w:rPr>
          <w:rtl/>
        </w:rPr>
        <w:t xml:space="preserve">סוגיה הפרטיקולרית שלפנינו – זכאותה של אלמנת זכאי השבות במצב הדברים שבו הילד או הנכד נפטר – לא עמדה במוקד הדיונים בהצעת החוק. ואולם, במסגרת דיון </w:t>
      </w:r>
      <w:r w:rsidRPr="00784C6F">
        <w:rPr>
          <w:rtl/>
        </w:rPr>
        <w:lastRenderedPageBreak/>
        <w:t>בוועדה בעניין הסיפא של סעיף 4א(א)</w:t>
      </w:r>
      <w:r w:rsidRPr="00784C6F">
        <w:rPr>
          <w:rFonts w:hint="cs"/>
          <w:rtl/>
        </w:rPr>
        <w:t>, אשר</w:t>
      </w:r>
      <w:r w:rsidRPr="00784C6F">
        <w:rPr>
          <w:rtl/>
        </w:rPr>
        <w:t xml:space="preserve"> שוללת את זכ</w:t>
      </w:r>
      <w:r w:rsidRPr="00784C6F">
        <w:rPr>
          <w:rFonts w:hint="cs"/>
          <w:rtl/>
        </w:rPr>
        <w:t>א</w:t>
      </w:r>
      <w:r w:rsidRPr="00784C6F">
        <w:rPr>
          <w:rtl/>
        </w:rPr>
        <w:t>ו</w:t>
      </w:r>
      <w:r w:rsidRPr="00784C6F">
        <w:rPr>
          <w:rFonts w:hint="cs"/>
          <w:rtl/>
        </w:rPr>
        <w:t xml:space="preserve">תו של בן משפחה שהוא </w:t>
      </w:r>
      <w:r w:rsidRPr="00784C6F">
        <w:rPr>
          <w:rtl/>
        </w:rPr>
        <w:t xml:space="preserve">יהודי </w:t>
      </w:r>
      <w:r w:rsidRPr="00784C6F">
        <w:rPr>
          <w:rFonts w:hint="cs"/>
          <w:rtl/>
        </w:rPr>
        <w:t>שהמיר את דתו</w:t>
      </w:r>
      <w:r w:rsidRPr="00784C6F">
        <w:rPr>
          <w:rtl/>
        </w:rPr>
        <w:t>, אמר היועץ המשפטי לממשלה את הדברים הבאים:</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"מדוע כתבנו את הסיפא 'להוציא יהודי מומר'? היינו ערים לכך שכאשר מדברים על זכויות של יהודי המוענקות לילדו ולבן הזוג, הכוונה לילד ולבן הזוג שאין להם מעמד של יהודי לפי סעיף 4ב', שהרי לו היה להם מעמד של יהודים, לא היו זקוקים לסעיף זה. זו יכולה להיות אותה אשה שהיא בת דת אחרת, וזו המציאות שאנו עומדים לפניה. טפלתי במקרה של אשה מברית-המועצות הטוענת שאין לה דת. זו אולי מציאות המקילה במידה מסויימת, אך אם נבחן היטב את הדבר, ייתכן שיתברר כי סבה היה פרבוסלבי, ואנחנו לא שוללים זאת, כי איננו אומרים שמעמדה הוא מעמד של יהודי, אלא שיש לה זכות לעלות ארצה. אפשר להקשות עוד יותר – כיוון שנקודת המוצא היא שיהודי העולה ארצה, צריך שיתאפשר לו להביא עמו את אשתו ואת ילדיו (זו היתה הדוגמה הקלאסית), אפשר לשאול מדוע להרחיב מסגרת זו בכלל. </w:t>
      </w:r>
      <w:r w:rsidRPr="00784C6F">
        <w:rPr>
          <w:rFonts w:ascii="Century" w:hAnsi="Century" w:cs="Miriam"/>
          <w:b/>
          <w:spacing w:val="0"/>
          <w:szCs w:val="24"/>
          <w:rtl/>
        </w:rPr>
        <w:t xml:space="preserve">אבל אנחנו לא התכוונו להגביל את ההוראה רק לאלה העולים יחד ארצה, אלא אמרנו שאם הסבא היהודי הלך לעולמו וגם הבעל מת, שמורה לאשה זכות זו לעלות לישראל </w:t>
      </w:r>
      <w:r w:rsidRPr="00784C6F">
        <w:rPr>
          <w:rtl/>
        </w:rPr>
        <w:t>מתוך הקונצפציה הבסיסית שמי שבא לישראל יצטרף לעם היהודי במוקדם או במאוחר. מפני זה אני שולל את הצעת היושב ראש לגבי ההצהרה שאינו בן דת אחרת שהרי כאשר מדובר על הצטרפות לעם היהודי הכוונה לטווח ארוך, היינו לאחר שהאיש חי בארץ ומתערה בה הוא משתלב.</w:t>
      </w:r>
    </w:p>
    <w:p w:rsidR="00E1330B" w:rsidRPr="00784C6F" w:rsidRDefault="00E1330B" w:rsidP="00E1330B">
      <w:pPr>
        <w:pStyle w:val="Ruller5"/>
        <w:rPr>
          <w:rtl/>
        </w:rPr>
      </w:pPr>
    </w:p>
    <w:p w:rsidR="00E1330B" w:rsidRPr="00784C6F" w:rsidRDefault="00E1330B" w:rsidP="00E1330B">
      <w:pPr>
        <w:pStyle w:val="Ruller5"/>
        <w:rPr>
          <w:rtl/>
        </w:rPr>
      </w:pPr>
      <w:r w:rsidRPr="00784C6F">
        <w:rPr>
          <w:rtl/>
        </w:rPr>
        <w:t>היו"ר י.ש בן-מאיר: זו הוכחה לגבי בן הזוג, אך לא לגבי הילד הבא לבדו.</w:t>
      </w:r>
    </w:p>
    <w:p w:rsidR="00E1330B" w:rsidRPr="00784C6F" w:rsidRDefault="00E1330B" w:rsidP="00E1330B">
      <w:pPr>
        <w:pStyle w:val="Ruller41"/>
        <w:rPr>
          <w:rtl/>
        </w:rPr>
      </w:pPr>
    </w:p>
    <w:p w:rsidR="00E1330B" w:rsidRPr="00784C6F" w:rsidRDefault="00E1330B" w:rsidP="00E1330B">
      <w:pPr>
        <w:pStyle w:val="Ruller5"/>
        <w:rPr>
          <w:rtl/>
        </w:rPr>
      </w:pPr>
      <w:r w:rsidRPr="00784C6F">
        <w:rPr>
          <w:rtl/>
        </w:rPr>
        <w:t xml:space="preserve">מ. שמגר: בכלל רוצה אני לומר שמסוכן מאוד להיכנס לדוגמאות, כי כל קזואיסטיקה מטעה. בצרפת, למשל, אנו יודעים שבנים למומרים חוזרים למסלול [...]" </w:t>
      </w:r>
      <w:r w:rsidRPr="00784C6F">
        <w:rPr>
          <w:rFonts w:hint="eastAsia"/>
          <w:rtl/>
        </w:rPr>
        <w:t>הפרוטוקול</w:t>
      </w:r>
      <w:r w:rsidRPr="00784C6F">
        <w:rPr>
          <w:rtl/>
        </w:rPr>
        <w:t xml:space="preserve"> </w:t>
      </w:r>
      <w:r w:rsidRPr="00784C6F">
        <w:rPr>
          <w:rFonts w:hint="eastAsia"/>
          <w:rtl/>
        </w:rPr>
        <w:t>מיום</w:t>
      </w:r>
      <w:r w:rsidRPr="00784C6F">
        <w:rPr>
          <w:rtl/>
        </w:rPr>
        <w:t xml:space="preserve"> 16.2.1970 </w:t>
      </w:r>
      <w:r w:rsidRPr="00784C6F">
        <w:rPr>
          <w:rFonts w:hint="cs"/>
          <w:rtl/>
        </w:rPr>
        <w:t>ב</w:t>
      </w:r>
      <w:r w:rsidRPr="00784C6F">
        <w:rPr>
          <w:rtl/>
        </w:rPr>
        <w:t>עמ' 8-7, ה</w:t>
      </w:r>
      <w:r w:rsidRPr="00784C6F">
        <w:rPr>
          <w:rFonts w:hint="cs"/>
          <w:rtl/>
        </w:rPr>
        <w:t>ה</w:t>
      </w:r>
      <w:r w:rsidRPr="00784C6F">
        <w:rPr>
          <w:rtl/>
        </w:rPr>
        <w:t>דגשה הוספה</w:t>
      </w:r>
      <w:r w:rsidRPr="00784C6F">
        <w:rPr>
          <w:rFonts w:hint="cs"/>
          <w:rtl/>
        </w:rPr>
        <w:t xml:space="preserve"> </w:t>
      </w:r>
      <w:r w:rsidRPr="00784C6F">
        <w:rPr>
          <w:rtl/>
        </w:rPr>
        <w:t>–</w:t>
      </w:r>
      <w:r w:rsidRPr="00784C6F">
        <w:rPr>
          <w:rFonts w:hint="cs"/>
          <w:rtl/>
        </w:rPr>
        <w:t xml:space="preserve"> ע' פ'</w:t>
      </w:r>
      <w:r w:rsidRPr="00784C6F">
        <w:rPr>
          <w:rtl/>
        </w:rPr>
        <w:t>).</w:t>
      </w:r>
    </w:p>
    <w:p w:rsidR="00E1330B" w:rsidRPr="00784C6F" w:rsidRDefault="00E1330B" w:rsidP="00E1330B">
      <w:pPr>
        <w:pStyle w:val="Ruller4"/>
        <w:numPr>
          <w:ilvl w:val="0"/>
          <w:numId w:val="0"/>
        </w:numPr>
      </w:pPr>
    </w:p>
    <w:p w:rsidR="00E1330B" w:rsidRPr="00784C6F" w:rsidRDefault="00E1330B" w:rsidP="00E1330B">
      <w:pPr>
        <w:pStyle w:val="Ruller4"/>
      </w:pPr>
      <w:r w:rsidRPr="00784C6F">
        <w:rPr>
          <w:rtl/>
        </w:rPr>
        <w:t xml:space="preserve">מדברים אלה ניתן ללמוד </w:t>
      </w:r>
      <w:r w:rsidRPr="00784C6F">
        <w:rPr>
          <w:rFonts w:hint="cs"/>
          <w:rtl/>
        </w:rPr>
        <w:t>ש</w:t>
      </w:r>
      <w:r w:rsidRPr="00784C6F">
        <w:rPr>
          <w:rtl/>
        </w:rPr>
        <w:t xml:space="preserve">האפשרות שאלמנת </w:t>
      </w:r>
      <w:r w:rsidRPr="00784C6F">
        <w:rPr>
          <w:rFonts w:hint="cs"/>
          <w:rtl/>
        </w:rPr>
        <w:t>בנו של יהודי</w:t>
      </w:r>
      <w:r w:rsidRPr="00784C6F">
        <w:rPr>
          <w:rtl/>
        </w:rPr>
        <w:t xml:space="preserve"> תעלה לישראל לאחר פטירתו</w:t>
      </w:r>
      <w:r w:rsidRPr="00784C6F">
        <w:rPr>
          <w:rFonts w:hint="cs"/>
          <w:rtl/>
        </w:rPr>
        <w:t xml:space="preserve"> של בן זוגה</w:t>
      </w:r>
      <w:r w:rsidRPr="00784C6F">
        <w:rPr>
          <w:rtl/>
        </w:rPr>
        <w:t xml:space="preserve"> הועלתה במפורש לפני הוועדה ולא נעלמה מעיני המחוקק. ברי כי אין מדובר באמרה שיש ליתן לה משקל מכריע, שכן</w:t>
      </w:r>
      <w:r w:rsidRPr="00784C6F">
        <w:rPr>
          <w:rFonts w:hint="cs"/>
          <w:rtl/>
        </w:rPr>
        <w:t xml:space="preserve"> הדיון שנערך בוועדה עסק בעיקרו במצב שבו היהודי נפטר ולא במצב הדברים שבו ילדו של היהודי נפטר, ובהתאם</w:t>
      </w:r>
      <w:r w:rsidRPr="00784C6F">
        <w:rPr>
          <w:rtl/>
        </w:rPr>
        <w:t xml:space="preserve"> לא נערך דיון </w:t>
      </w:r>
      <w:r w:rsidRPr="00784C6F">
        <w:rPr>
          <w:rFonts w:hint="cs"/>
          <w:rtl/>
        </w:rPr>
        <w:t>עקרוני</w:t>
      </w:r>
      <w:r w:rsidRPr="00784C6F">
        <w:rPr>
          <w:rtl/>
        </w:rPr>
        <w:t xml:space="preserve"> בנושא זה בוועדה; עם זאת, אין לכחד כי יש באמרה זו לחזק את </w:t>
      </w:r>
      <w:r w:rsidRPr="00784C6F">
        <w:rPr>
          <w:rFonts w:hint="cs"/>
          <w:rtl/>
        </w:rPr>
        <w:t xml:space="preserve">במידת מה </w:t>
      </w:r>
      <w:r w:rsidRPr="00784C6F">
        <w:rPr>
          <w:rtl/>
        </w:rPr>
        <w:t>פרשנות המשיבים</w:t>
      </w:r>
      <w:r w:rsidRPr="00784C6F">
        <w:rPr>
          <w:rFonts w:hint="cs"/>
          <w:rtl/>
        </w:rPr>
        <w:t xml:space="preserve">. </w:t>
      </w:r>
    </w:p>
    <w:p w:rsidR="00E1330B" w:rsidRPr="00784C6F" w:rsidRDefault="00E1330B" w:rsidP="00E1330B">
      <w:pPr>
        <w:pStyle w:val="Ruller4"/>
        <w:numPr>
          <w:ilvl w:val="0"/>
          <w:numId w:val="0"/>
        </w:numPr>
      </w:pPr>
      <w:r w:rsidRPr="00784C6F">
        <w:rPr>
          <w:rFonts w:hint="cs"/>
          <w:rtl/>
        </w:rPr>
        <w:t xml:space="preserve"> </w:t>
      </w:r>
    </w:p>
    <w:p w:rsidR="00E1330B" w:rsidRPr="00784C6F" w:rsidRDefault="00E1330B" w:rsidP="00E1330B">
      <w:pPr>
        <w:pStyle w:val="1"/>
        <w:rPr>
          <w:rtl/>
        </w:rPr>
      </w:pPr>
      <w:r w:rsidRPr="00784C6F">
        <w:rPr>
          <w:rtl/>
        </w:rPr>
        <w:lastRenderedPageBreak/>
        <w:t>תכלית אובייקטיבית</w:t>
      </w:r>
    </w:p>
    <w:p w:rsidR="00E1330B" w:rsidRPr="00784C6F" w:rsidRDefault="00E1330B" w:rsidP="00E1330B">
      <w:pPr>
        <w:pStyle w:val="Ruller41"/>
      </w:pPr>
    </w:p>
    <w:p w:rsidR="00E1330B" w:rsidRPr="00784C6F" w:rsidRDefault="00E1330B" w:rsidP="00E1330B">
      <w:pPr>
        <w:pStyle w:val="Ruller4"/>
        <w:numPr>
          <w:ilvl w:val="0"/>
          <w:numId w:val="13"/>
        </w:numPr>
        <w:rPr>
          <w:rFonts w:ascii="Arial TUR" w:hAnsi="Arial TUR"/>
          <w:rtl/>
        </w:rPr>
      </w:pPr>
      <w:r w:rsidRPr="00784C6F">
        <w:rPr>
          <w:rtl/>
        </w:rPr>
        <w:t>תכליותיו האובייקטיביות של סעיף 4א(א) חופפות לתכליותיו הסובייקטיביות, עליהן עמדתי לעיל.</w:t>
      </w:r>
      <w:r w:rsidRPr="00784C6F">
        <w:rPr>
          <w:rFonts w:ascii="Arial TUR" w:hAnsi="Arial TUR"/>
          <w:rtl/>
        </w:rPr>
        <w:t xml:space="preserve"> </w:t>
      </w:r>
      <w:r w:rsidRPr="00784C6F">
        <w:rPr>
          <w:rtl/>
        </w:rPr>
        <w:t xml:space="preserve">סיכמה זאת השופטת </w:t>
      </w:r>
      <w:r w:rsidRPr="00784C6F">
        <w:rPr>
          <w:rFonts w:ascii="Century" w:hAnsi="Century" w:cs="Miriam"/>
          <w:b/>
          <w:spacing w:val="0"/>
          <w:sz w:val="22"/>
          <w:szCs w:val="24"/>
          <w:rtl/>
        </w:rPr>
        <w:t>ע' ארבל</w:t>
      </w:r>
      <w:r w:rsidRPr="00784C6F">
        <w:rPr>
          <w:rtl/>
        </w:rPr>
        <w:t xml:space="preserve"> בעניין </w:t>
      </w:r>
      <w:r w:rsidRPr="00784C6F">
        <w:rPr>
          <w:rFonts w:ascii="Century" w:hAnsi="Century" w:cs="Miriam"/>
          <w:b/>
          <w:spacing w:val="0"/>
          <w:sz w:val="22"/>
          <w:szCs w:val="24"/>
          <w:rtl/>
        </w:rPr>
        <w:t>גורודצקי</w:t>
      </w:r>
      <w:r w:rsidRPr="00784C6F">
        <w:rPr>
          <w:rtl/>
        </w:rPr>
        <w:t>:</w:t>
      </w:r>
    </w:p>
    <w:p w:rsidR="00E1330B" w:rsidRPr="00784C6F" w:rsidRDefault="00E1330B" w:rsidP="00E1330B">
      <w:pPr>
        <w:pStyle w:val="Ruller41"/>
      </w:pPr>
    </w:p>
    <w:p w:rsidR="00E1330B" w:rsidRPr="00784C6F" w:rsidRDefault="00E1330B" w:rsidP="00E1330B">
      <w:pPr>
        <w:pStyle w:val="Ruller5"/>
        <w:rPr>
          <w:rtl/>
        </w:rPr>
      </w:pPr>
      <w:r w:rsidRPr="00784C6F">
        <w:rPr>
          <w:rFonts w:hint="cs"/>
          <w:rtl/>
        </w:rPr>
        <w:t>"</w:t>
      </w:r>
      <w:r w:rsidRPr="00784C6F">
        <w:rPr>
          <w:rtl/>
        </w:rPr>
        <w:t xml:space="preserve">ניתן לסכם את תכליותיו של סעיף 4א לחוק השבות בחמש אלו: הראשונה, עידוד מי שאינו יהודי על-פי ההלכה אך יש לו זיקה משפחתית ליהודים לעלות לישראל ולהצטרף לעם היושב בציון כאמצעי למניעת התבוללות; השניה, עידוד יהודים הנשואים בנישואי תערובת לעלות לישראל ומציאת פתרון למשפחות מעורבות; השלישית, עשיית צדק על-ידי השוואת הסטאטוס של בני משפחה מעורבת שעולים לישראל, בלי שחלק מבני המשפחה ידרשו לעמוד במבחני חוק האזרחות בעוד האחרים יקבלו מעמד אוטומאטי; הרביעית, איזון בין ההגדרה המסורתית לבין ההגדרה הלאומית של המונח </w:t>
      </w:r>
      <w:r w:rsidRPr="00784C6F">
        <w:rPr>
          <w:rFonts w:hint="cs"/>
          <w:rtl/>
        </w:rPr>
        <w:t>'</w:t>
      </w:r>
      <w:r w:rsidRPr="00784C6F">
        <w:rPr>
          <w:rtl/>
        </w:rPr>
        <w:t>יהודי</w:t>
      </w:r>
      <w:r w:rsidRPr="00784C6F">
        <w:rPr>
          <w:rFonts w:hint="cs"/>
          <w:rtl/>
        </w:rPr>
        <w:t>'</w:t>
      </w:r>
      <w:r w:rsidRPr="00784C6F">
        <w:rPr>
          <w:rtl/>
        </w:rPr>
        <w:t xml:space="preserve"> בחוק השבות, כפי שעלה מדיוני הכנסת; החמישית, איחוד משפחות והגשמת הזכות לחיי משפחה משותפים</w:t>
      </w:r>
      <w:r w:rsidRPr="00784C6F">
        <w:rPr>
          <w:rFonts w:hint="cs"/>
          <w:rtl/>
        </w:rPr>
        <w:t>"</w:t>
      </w:r>
      <w:r w:rsidRPr="00784C6F">
        <w:rPr>
          <w:rtl/>
        </w:rPr>
        <w:t xml:space="preserve"> (שם, פסקה 33).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r>
      <w:r w:rsidRPr="00784C6F">
        <w:rPr>
          <w:rFonts w:hint="cs"/>
          <w:rtl/>
        </w:rPr>
        <w:t xml:space="preserve">תכליות החוק משלימות ומשתלבות זו בזו. </w:t>
      </w:r>
      <w:r w:rsidRPr="00784C6F">
        <w:rPr>
          <w:rtl/>
        </w:rPr>
        <w:t>נוכח חשיבות הדברים לענייננו, אפרט על תכליות אלה בטרם נפנה לבחון את יישומן בנסיבות העניין.</w:t>
      </w:r>
    </w:p>
    <w:p w:rsidR="00E1330B" w:rsidRPr="00784C6F" w:rsidRDefault="00E1330B" w:rsidP="00E1330B">
      <w:pPr>
        <w:pStyle w:val="Ruller4"/>
        <w:numPr>
          <w:ilvl w:val="0"/>
          <w:numId w:val="0"/>
        </w:numPr>
        <w:rPr>
          <w:rtl/>
        </w:rPr>
      </w:pPr>
    </w:p>
    <w:p w:rsidR="00E1330B" w:rsidRPr="00784C6F" w:rsidRDefault="00E1330B" w:rsidP="00E1330B">
      <w:pPr>
        <w:pStyle w:val="Ruller4"/>
        <w:rPr>
          <w:rtl/>
        </w:rPr>
      </w:pPr>
      <w:r w:rsidRPr="00784C6F">
        <w:rPr>
          <w:rtl/>
        </w:rPr>
        <w:tab/>
        <w:t xml:space="preserve">תכלית </w:t>
      </w:r>
      <w:r w:rsidRPr="00784C6F">
        <w:rPr>
          <w:rFonts w:hint="cs"/>
          <w:rtl/>
        </w:rPr>
        <w:t>חשובה</w:t>
      </w:r>
      <w:r w:rsidRPr="00784C6F">
        <w:rPr>
          <w:rtl/>
        </w:rPr>
        <w:t xml:space="preserve"> של סעיף 4א(א) לחוק נגזרת מתכלית חוק השבות בכללותו. </w:t>
      </w:r>
      <w:r w:rsidRPr="00784C6F">
        <w:rPr>
          <w:rFonts w:hint="cs"/>
          <w:rtl/>
        </w:rPr>
        <w:t xml:space="preserve">כאמור, </w:t>
      </w:r>
      <w:r w:rsidRPr="00784C6F">
        <w:rPr>
          <w:rtl/>
        </w:rPr>
        <w:t xml:space="preserve">הוראת התשתית </w:t>
      </w:r>
      <w:r w:rsidRPr="00784C6F">
        <w:rPr>
          <w:rFonts w:hint="cs"/>
          <w:rtl/>
        </w:rPr>
        <w:t>ש</w:t>
      </w:r>
      <w:r w:rsidRPr="00784C6F">
        <w:rPr>
          <w:rtl/>
        </w:rPr>
        <w:t xml:space="preserve">קבועה בסעיף 1 מעגנת את זכותו של יהודי לעלות לישראל. </w:t>
      </w:r>
      <w:r w:rsidRPr="00784C6F">
        <w:rPr>
          <w:rFonts w:hint="cs"/>
          <w:rtl/>
        </w:rPr>
        <w:t xml:space="preserve">תכלית </w:t>
      </w:r>
      <w:r w:rsidRPr="00784C6F">
        <w:rPr>
          <w:rtl/>
        </w:rPr>
        <w:t xml:space="preserve">זו עומדת ברקע </w:t>
      </w:r>
      <w:r w:rsidRPr="00784C6F">
        <w:rPr>
          <w:rFonts w:hint="cs"/>
          <w:rtl/>
        </w:rPr>
        <w:t>ל</w:t>
      </w:r>
      <w:r w:rsidRPr="00784C6F">
        <w:rPr>
          <w:rtl/>
        </w:rPr>
        <w:t xml:space="preserve">כלל ההסדרים הקבועים בחוק השבות, ובפרט בעניינה של הזכאות שניתנת לקרובי המשפחה הלא יהודיים לעלות לישראל. </w:t>
      </w:r>
      <w:r w:rsidRPr="00784C6F">
        <w:rPr>
          <w:sz w:val="28"/>
          <w:rtl/>
        </w:rPr>
        <w:t>הנחת היסוד היא ש</w:t>
      </w:r>
      <w:r w:rsidRPr="00784C6F">
        <w:rPr>
          <w:rtl/>
        </w:rPr>
        <w:t xml:space="preserve">במציאות שבה יהודי התפוצות מקיימים חיי משפחה, ובתוך כך מתחתנים ומולידים צאצאים, </w:t>
      </w:r>
      <w:r w:rsidRPr="00784C6F">
        <w:rPr>
          <w:rFonts w:hint="cs"/>
          <w:rtl/>
        </w:rPr>
        <w:t>מתן</w:t>
      </w:r>
      <w:r w:rsidRPr="00784C6F">
        <w:rPr>
          <w:rtl/>
        </w:rPr>
        <w:t xml:space="preserve"> זכות שבות ליהודי בלבד מבלי שלצדה מעוגנת</w:t>
      </w:r>
      <w:r w:rsidRPr="00784C6F">
        <w:rPr>
          <w:rFonts w:hint="cs"/>
          <w:rtl/>
        </w:rPr>
        <w:t xml:space="preserve"> גם</w:t>
      </w:r>
      <w:r w:rsidRPr="00784C6F">
        <w:rPr>
          <w:rtl/>
        </w:rPr>
        <w:t xml:space="preserve"> זכותם של בני משפחתו לעלות יחד עמו, עשוי להרתיע את היהודי מלממש את זכותו</w:t>
      </w:r>
      <w:r w:rsidRPr="00784C6F">
        <w:rPr>
          <w:rFonts w:hint="cs"/>
          <w:rtl/>
        </w:rPr>
        <w:t xml:space="preserve"> ולעלות לישראל,</w:t>
      </w:r>
      <w:r w:rsidRPr="00784C6F">
        <w:rPr>
          <w:rtl/>
        </w:rPr>
        <w:t xml:space="preserve"> </w:t>
      </w:r>
      <w:r w:rsidRPr="00784C6F">
        <w:rPr>
          <w:rFonts w:hint="cs"/>
          <w:rtl/>
        </w:rPr>
        <w:t>נוכח חוסר הוודאות באשר למעמדם של בני משפחתו</w:t>
      </w:r>
      <w:r w:rsidRPr="00784C6F">
        <w:rPr>
          <w:rtl/>
        </w:rPr>
        <w:t xml:space="preserve">. הזכות אשר ניתנת לקרובי המשפחה של היהודי נועדה, אפוא, להשלים את זכות השבות של היהודי ולהקל על </w:t>
      </w:r>
      <w:r w:rsidRPr="00784C6F">
        <w:rPr>
          <w:rFonts w:hint="cs"/>
          <w:rtl/>
        </w:rPr>
        <w:t>עליית</w:t>
      </w:r>
      <w:r w:rsidRPr="00784C6F">
        <w:rPr>
          <w:rtl/>
        </w:rPr>
        <w:t xml:space="preserve">ו. במובן זה, זכות השבות של קרובי המשפחה מהווה "כלי עזר" לקידום המטרה שעניינה מימוש זכותו של יהודי (ראו מני רבים: עניין </w:t>
      </w:r>
      <w:r w:rsidRPr="00784C6F">
        <w:rPr>
          <w:rFonts w:ascii="Century" w:hAnsi="Century" w:cs="Miriam"/>
          <w:b/>
          <w:spacing w:val="0"/>
          <w:sz w:val="22"/>
          <w:szCs w:val="24"/>
          <w:rtl/>
        </w:rPr>
        <w:t>פוזרסקי</w:t>
      </w:r>
      <w:r w:rsidRPr="00784C6F">
        <w:rPr>
          <w:rtl/>
        </w:rPr>
        <w:t xml:space="preserve">, פסקה 25; עניין </w:t>
      </w:r>
      <w:r w:rsidRPr="00784C6F">
        <w:rPr>
          <w:rFonts w:ascii="Century" w:hAnsi="Century" w:cs="Miriam"/>
          <w:b/>
          <w:spacing w:val="0"/>
          <w:sz w:val="22"/>
          <w:szCs w:val="24"/>
          <w:rtl/>
        </w:rPr>
        <w:t>גורודצקי</w:t>
      </w:r>
      <w:r w:rsidRPr="00784C6F">
        <w:rPr>
          <w:rtl/>
        </w:rPr>
        <w:t xml:space="preserve">, פסקה 29; עניין </w:t>
      </w:r>
      <w:r w:rsidRPr="00784C6F">
        <w:rPr>
          <w:rFonts w:cs="Miriam"/>
          <w:b/>
          <w:spacing w:val="0"/>
          <w:sz w:val="22"/>
          <w:szCs w:val="24"/>
          <w:rtl/>
        </w:rPr>
        <w:t xml:space="preserve">סמוילוב, </w:t>
      </w:r>
      <w:r w:rsidRPr="00784C6F">
        <w:rPr>
          <w:rFonts w:ascii="Century" w:hAnsi="Century"/>
          <w:sz w:val="22"/>
          <w:rtl/>
        </w:rPr>
        <w:t>בעמ'</w:t>
      </w:r>
      <w:r w:rsidRPr="00784C6F">
        <w:rPr>
          <w:rFonts w:cs="Miriam"/>
          <w:b/>
          <w:spacing w:val="0"/>
          <w:sz w:val="22"/>
          <w:szCs w:val="24"/>
          <w:rtl/>
        </w:rPr>
        <w:t xml:space="preserve"> </w:t>
      </w:r>
      <w:r w:rsidRPr="00784C6F">
        <w:rPr>
          <w:rtl/>
        </w:rPr>
        <w:t>120).</w:t>
      </w:r>
      <w:r w:rsidRPr="00784C6F">
        <w:rPr>
          <w:rFonts w:hint="cs"/>
          <w:rtl/>
        </w:rPr>
        <w:t xml:space="preserve"> ואולם, הוראת </w:t>
      </w:r>
      <w:r w:rsidRPr="00784C6F">
        <w:rPr>
          <w:rtl/>
        </w:rPr>
        <w:t>סעיף 4א(ב) קובע</w:t>
      </w:r>
      <w:r w:rsidRPr="00784C6F">
        <w:rPr>
          <w:rFonts w:hint="cs"/>
          <w:rtl/>
        </w:rPr>
        <w:t>ת</w:t>
      </w:r>
      <w:r w:rsidRPr="00784C6F">
        <w:rPr>
          <w:rtl/>
        </w:rPr>
        <w:t xml:space="preserve"> </w:t>
      </w:r>
      <w:r w:rsidRPr="00784C6F">
        <w:rPr>
          <w:rFonts w:hint="cs"/>
          <w:rtl/>
        </w:rPr>
        <w:t xml:space="preserve">במפורש </w:t>
      </w:r>
      <w:r w:rsidRPr="00784C6F">
        <w:rPr>
          <w:rtl/>
        </w:rPr>
        <w:t>כי</w:t>
      </w:r>
      <w:r w:rsidRPr="00784C6F">
        <w:rPr>
          <w:rFonts w:hint="cs"/>
          <w:rtl/>
        </w:rPr>
        <w:t xml:space="preserve"> גם כאשר היהודי נפטר או שלא עלה לארץ, קרי בנסיבות שבהן תכלית זו לא מתקיימת כלל ועיקר, זכותו של בן המשפחה תעמוד לו. מכך ניתן ללמוד כי על אף שאין חולק בדבר חשיבותה של תכלית זו, החוק לא ביקש ליתן לה משקל בלעדי או מכריע; לזכות שניתנת לבני </w:t>
      </w:r>
      <w:r w:rsidRPr="00784C6F">
        <w:rPr>
          <w:rFonts w:hint="cs"/>
          <w:rtl/>
        </w:rPr>
        <w:lastRenderedPageBreak/>
        <w:t xml:space="preserve">המשפחה של היהודי ישנה חשיבות בפני עצמה, שאינה תלויה אך בהיותה אמצעי לקידום עלייתו של יהודי. זאת, בנתון ל"קשר הגורל" שקשרו למשפחה שבראשה עומד היהודי </w:t>
      </w:r>
      <w:r w:rsidRPr="00784C6F">
        <w:rPr>
          <w:rtl/>
        </w:rPr>
        <w:t>–</w:t>
      </w:r>
      <w:r w:rsidRPr="00784C6F">
        <w:rPr>
          <w:rFonts w:hint="cs"/>
          <w:rtl/>
        </w:rPr>
        <w:t xml:space="preserve"> שיש בו להוביל להתקיימות יתר התכליות של הסעיף, עליהן אעמוד כעת (והשוו: </w:t>
      </w:r>
      <w:r w:rsidRPr="00784C6F">
        <w:rPr>
          <w:rtl/>
        </w:rPr>
        <w:t xml:space="preserve">עניין </w:t>
      </w:r>
      <w:r w:rsidRPr="00784C6F">
        <w:rPr>
          <w:rFonts w:cs="Miriam"/>
          <w:b/>
          <w:spacing w:val="0"/>
          <w:sz w:val="22"/>
          <w:szCs w:val="24"/>
          <w:rtl/>
        </w:rPr>
        <w:t>סמוילוב</w:t>
      </w:r>
      <w:r w:rsidRPr="00784C6F">
        <w:rPr>
          <w:rFonts w:cs="Miriam" w:hint="cs"/>
          <w:b/>
          <w:spacing w:val="0"/>
          <w:sz w:val="22"/>
          <w:szCs w:val="24"/>
          <w:rtl/>
        </w:rPr>
        <w:t xml:space="preserve">, </w:t>
      </w:r>
      <w:r w:rsidRPr="00784C6F">
        <w:rPr>
          <w:rFonts w:hint="cs"/>
          <w:rtl/>
        </w:rPr>
        <w:t>בעמ' 121-120).</w:t>
      </w:r>
    </w:p>
    <w:p w:rsidR="00E1330B" w:rsidRPr="00784C6F" w:rsidRDefault="00E1330B" w:rsidP="00E1330B">
      <w:pPr>
        <w:pStyle w:val="Ruller41"/>
        <w:rPr>
          <w:rtl/>
        </w:rPr>
      </w:pPr>
    </w:p>
    <w:p w:rsidR="00E1330B" w:rsidRPr="00784C6F" w:rsidRDefault="00E1330B" w:rsidP="00E1330B">
      <w:pPr>
        <w:pStyle w:val="Ruller4"/>
        <w:numPr>
          <w:ilvl w:val="0"/>
          <w:numId w:val="13"/>
        </w:numPr>
      </w:pPr>
      <w:r w:rsidRPr="00784C6F">
        <w:rPr>
          <w:rtl/>
        </w:rPr>
        <w:t>תכלית נוספת אשר עומדת ביסוד הסעיף היא שמירה על אחדות המשפחה ומתן אפשרות לקיים בפועל חיי משפחה משותפים. כפי שהודגש</w:t>
      </w:r>
      <w:r w:rsidRPr="00784C6F">
        <w:rPr>
          <w:rFonts w:hint="cs"/>
          <w:rtl/>
        </w:rPr>
        <w:t xml:space="preserve"> </w:t>
      </w:r>
      <w:r w:rsidRPr="00784C6F">
        <w:rPr>
          <w:rFonts w:hint="eastAsia"/>
          <w:rtl/>
        </w:rPr>
        <w:t>בספרות</w:t>
      </w:r>
      <w:r w:rsidRPr="00784C6F">
        <w:rPr>
          <w:rtl/>
        </w:rPr>
        <w:t xml:space="preserve">: "זכות השבות לחיים ניתנה, והגשמתה מחייבת ומעודדת חיי משפחה ולא פיצול ופירוד משפחות" (חיים כהן </w:t>
      </w:r>
      <w:r w:rsidRPr="00784C6F">
        <w:rPr>
          <w:rFonts w:ascii="Century" w:hAnsi="Century" w:cs="Miriam"/>
          <w:b/>
          <w:spacing w:val="0"/>
          <w:sz w:val="22"/>
          <w:szCs w:val="24"/>
          <w:rtl/>
        </w:rPr>
        <w:t>מבחר כתבים</w:t>
      </w:r>
      <w:r w:rsidRPr="00784C6F">
        <w:rPr>
          <w:rtl/>
        </w:rPr>
        <w:t xml:space="preserve"> 336 (אהרן ברק ורות גביזון עורכים, 1991) (להלן: </w:t>
      </w:r>
      <w:r w:rsidRPr="00784C6F">
        <w:rPr>
          <w:rFonts w:ascii="Century" w:hAnsi="Century" w:cs="Miriam"/>
          <w:b/>
          <w:spacing w:val="0"/>
          <w:sz w:val="22"/>
          <w:szCs w:val="24"/>
          <w:rtl/>
        </w:rPr>
        <w:t>כהן</w:t>
      </w:r>
      <w:r w:rsidRPr="00784C6F">
        <w:rPr>
          <w:rtl/>
        </w:rPr>
        <w:t>)</w:t>
      </w:r>
      <w:r w:rsidRPr="00784C6F">
        <w:rPr>
          <w:rFonts w:hint="cs"/>
          <w:rtl/>
        </w:rPr>
        <w:t>; כן ראו:</w:t>
      </w:r>
      <w:r w:rsidRPr="00784C6F" w:rsidDel="000768A0">
        <w:rPr>
          <w:rtl/>
        </w:rPr>
        <w:t xml:space="preserve"> </w:t>
      </w:r>
      <w:r w:rsidRPr="00784C6F">
        <w:rPr>
          <w:rtl/>
        </w:rPr>
        <w:t xml:space="preserve">עניין </w:t>
      </w:r>
      <w:r w:rsidRPr="00784C6F">
        <w:rPr>
          <w:rFonts w:ascii="Century" w:hAnsi="Century" w:cs="Miriam"/>
          <w:b/>
          <w:spacing w:val="0"/>
          <w:sz w:val="22"/>
          <w:szCs w:val="24"/>
          <w:rtl/>
        </w:rPr>
        <w:t>גורודצקי</w:t>
      </w:r>
      <w:r w:rsidRPr="00784C6F">
        <w:rPr>
          <w:rtl/>
        </w:rPr>
        <w:t xml:space="preserve">, פסקה 32; עניין </w:t>
      </w:r>
      <w:r w:rsidRPr="00784C6F">
        <w:rPr>
          <w:rFonts w:ascii="Century" w:hAnsi="Century" w:cs="Miriam"/>
          <w:b/>
          <w:spacing w:val="0"/>
          <w:sz w:val="22"/>
          <w:szCs w:val="24"/>
          <w:rtl/>
        </w:rPr>
        <w:t>טושביים,</w:t>
      </w:r>
      <w:r w:rsidRPr="00784C6F">
        <w:rPr>
          <w:rtl/>
        </w:rPr>
        <w:t xml:space="preserve"> בעמ' 447; עניין </w:t>
      </w:r>
      <w:r w:rsidRPr="00784C6F">
        <w:rPr>
          <w:rFonts w:ascii="Century" w:hAnsi="Century" w:cs="Miriam"/>
          <w:b/>
          <w:spacing w:val="0"/>
          <w:sz w:val="22"/>
          <w:szCs w:val="24"/>
          <w:rtl/>
        </w:rPr>
        <w:t>סטמקה</w:t>
      </w:r>
      <w:r w:rsidRPr="00784C6F">
        <w:rPr>
          <w:rtl/>
        </w:rPr>
        <w:t xml:space="preserve">, בעמ' 757; עניין </w:t>
      </w:r>
      <w:r w:rsidRPr="00784C6F">
        <w:rPr>
          <w:rFonts w:ascii="Century" w:hAnsi="Century" w:cs="Miriam"/>
          <w:b/>
          <w:spacing w:val="0"/>
          <w:sz w:val="22"/>
          <w:szCs w:val="24"/>
          <w:rtl/>
        </w:rPr>
        <w:t>ברספורד</w:t>
      </w:r>
      <w:r w:rsidRPr="00784C6F">
        <w:rPr>
          <w:rtl/>
        </w:rPr>
        <w:t>, בעמ' 834).</w:t>
      </w:r>
      <w:r w:rsidRPr="00784C6F">
        <w:rPr>
          <w:rFonts w:hint="cs"/>
          <w:rtl/>
        </w:rPr>
        <w:t xml:space="preserve"> בכך מבטא החוק את הכרתו ב</w:t>
      </w:r>
      <w:r w:rsidRPr="00784C6F">
        <w:rPr>
          <w:rFonts w:hint="eastAsia"/>
          <w:rtl/>
        </w:rPr>
        <w:t>ערכו</w:t>
      </w:r>
      <w:r w:rsidRPr="00784C6F">
        <w:rPr>
          <w:rtl/>
        </w:rPr>
        <w:t xml:space="preserve"> </w:t>
      </w:r>
      <w:r w:rsidRPr="00784C6F">
        <w:rPr>
          <w:rFonts w:hint="eastAsia"/>
          <w:rtl/>
        </w:rPr>
        <w:t>של</w:t>
      </w:r>
      <w:r w:rsidRPr="00784C6F">
        <w:rPr>
          <w:rtl/>
        </w:rPr>
        <w:t xml:space="preserve"> </w:t>
      </w:r>
      <w:r w:rsidRPr="00784C6F">
        <w:rPr>
          <w:rFonts w:hint="eastAsia"/>
          <w:rtl/>
        </w:rPr>
        <w:t>התא</w:t>
      </w:r>
      <w:r w:rsidRPr="00784C6F">
        <w:rPr>
          <w:rtl/>
        </w:rPr>
        <w:t xml:space="preserve"> </w:t>
      </w:r>
      <w:r w:rsidRPr="00784C6F">
        <w:rPr>
          <w:rFonts w:hint="eastAsia"/>
          <w:rtl/>
        </w:rPr>
        <w:t>המשפחתי</w:t>
      </w:r>
      <w:r w:rsidRPr="00784C6F">
        <w:rPr>
          <w:rtl/>
        </w:rPr>
        <w:t xml:space="preserve"> </w:t>
      </w:r>
      <w:r w:rsidRPr="00784C6F">
        <w:rPr>
          <w:rFonts w:hint="eastAsia"/>
          <w:rtl/>
        </w:rPr>
        <w:t>אשר</w:t>
      </w:r>
      <w:r w:rsidRPr="00784C6F">
        <w:rPr>
          <w:rtl/>
        </w:rPr>
        <w:t xml:space="preserve"> "</w:t>
      </w:r>
      <w:r w:rsidRPr="00784C6F">
        <w:rPr>
          <w:rFonts w:hint="eastAsia"/>
          <w:rtl/>
        </w:rPr>
        <w:t>שמירתו</w:t>
      </w:r>
      <w:r w:rsidRPr="00784C6F">
        <w:rPr>
          <w:rtl/>
        </w:rPr>
        <w:t xml:space="preserve"> </w:t>
      </w:r>
      <w:r w:rsidRPr="00784C6F">
        <w:rPr>
          <w:rFonts w:hint="eastAsia"/>
          <w:rtl/>
        </w:rPr>
        <w:t>מהווה</w:t>
      </w:r>
      <w:r w:rsidRPr="00784C6F">
        <w:rPr>
          <w:rtl/>
        </w:rPr>
        <w:t xml:space="preserve"> </w:t>
      </w:r>
      <w:r w:rsidRPr="00784C6F">
        <w:rPr>
          <w:rFonts w:hint="eastAsia"/>
          <w:rtl/>
        </w:rPr>
        <w:t>חלק</w:t>
      </w:r>
      <w:r w:rsidRPr="00784C6F">
        <w:rPr>
          <w:rtl/>
        </w:rPr>
        <w:t xml:space="preserve"> </w:t>
      </w:r>
      <w:r w:rsidRPr="00784C6F">
        <w:rPr>
          <w:rFonts w:hint="eastAsia"/>
          <w:rtl/>
        </w:rPr>
        <w:t>מתקנת</w:t>
      </w:r>
      <w:r w:rsidRPr="00784C6F">
        <w:rPr>
          <w:rtl/>
        </w:rPr>
        <w:t xml:space="preserve"> </w:t>
      </w:r>
      <w:r w:rsidRPr="00784C6F">
        <w:rPr>
          <w:rFonts w:hint="eastAsia"/>
          <w:rtl/>
        </w:rPr>
        <w:t>הציבור</w:t>
      </w:r>
      <w:r w:rsidRPr="00784C6F">
        <w:rPr>
          <w:rtl/>
        </w:rPr>
        <w:t xml:space="preserve"> </w:t>
      </w:r>
      <w:r w:rsidRPr="00784C6F">
        <w:rPr>
          <w:rFonts w:hint="eastAsia"/>
          <w:rtl/>
        </w:rPr>
        <w:t>בישראל</w:t>
      </w:r>
      <w:r w:rsidRPr="00784C6F">
        <w:rPr>
          <w:rtl/>
        </w:rPr>
        <w:t>" (</w:t>
      </w:r>
      <w:r w:rsidRPr="00784C6F">
        <w:rPr>
          <w:rFonts w:hint="eastAsia"/>
          <w:rtl/>
        </w:rPr>
        <w:t>בג</w:t>
      </w:r>
      <w:r w:rsidRPr="00784C6F">
        <w:rPr>
          <w:rtl/>
        </w:rPr>
        <w:t>"</w:t>
      </w:r>
      <w:r w:rsidRPr="00784C6F">
        <w:rPr>
          <w:rFonts w:hint="eastAsia"/>
          <w:rtl/>
        </w:rPr>
        <w:t>ץ</w:t>
      </w:r>
      <w:r w:rsidRPr="00784C6F">
        <w:rPr>
          <w:rtl/>
        </w:rPr>
        <w:t xml:space="preserve"> 693/91 </w:t>
      </w:r>
      <w:r w:rsidRPr="00784C6F">
        <w:rPr>
          <w:rFonts w:ascii="Century" w:hAnsi="Century" w:cs="Miriam" w:hint="eastAsia"/>
          <w:b/>
          <w:spacing w:val="0"/>
          <w:sz w:val="22"/>
          <w:szCs w:val="24"/>
          <w:rtl/>
        </w:rPr>
        <w:t>אפרת</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הממונה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על</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מרשם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האוכלוסין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במשרד</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הפנים</w:t>
      </w:r>
      <w:r w:rsidRPr="00784C6F">
        <w:rPr>
          <w:rtl/>
        </w:rPr>
        <w:t xml:space="preserve">, </w:t>
      </w:r>
      <w:r w:rsidRPr="00784C6F">
        <w:rPr>
          <w:rFonts w:hint="eastAsia"/>
          <w:rtl/>
        </w:rPr>
        <w:t>פ</w:t>
      </w:r>
      <w:r w:rsidRPr="00784C6F">
        <w:rPr>
          <w:rtl/>
        </w:rPr>
        <w:t>"</w:t>
      </w:r>
      <w:r w:rsidRPr="00784C6F">
        <w:rPr>
          <w:rFonts w:hint="eastAsia"/>
          <w:rtl/>
        </w:rPr>
        <w:t>ד</w:t>
      </w:r>
      <w:r w:rsidRPr="00784C6F">
        <w:rPr>
          <w:rtl/>
        </w:rPr>
        <w:t xml:space="preserve"> </w:t>
      </w:r>
      <w:r w:rsidRPr="00784C6F">
        <w:rPr>
          <w:rFonts w:hint="eastAsia"/>
          <w:rtl/>
        </w:rPr>
        <w:t>מז</w:t>
      </w:r>
      <w:r w:rsidRPr="00784C6F">
        <w:rPr>
          <w:rtl/>
        </w:rPr>
        <w:t>(1) 749, 766-765 (1993))</w:t>
      </w:r>
      <w:r w:rsidRPr="00784C6F">
        <w:rPr>
          <w:rFonts w:hint="cs"/>
          <w:rtl/>
        </w:rPr>
        <w:t xml:space="preserve">. התא המשפחתי שעומד ביסוד החוק הוא תא משפחתי מורחב, שאינו מוגבל לבני משפחתו הגרעינית של היהודי אלא כולל שלושה דורות של בני משפחתו. כמו כן, זכאותם של צאצאיו אינה תלויה בהיותם קטינים, בשונה מדברי חקיקה אחרים. בכך מבטא החוק תפיסה מרחיבה של התא המשפחתי. </w:t>
      </w:r>
    </w:p>
    <w:p w:rsidR="00E1330B" w:rsidRPr="00784C6F" w:rsidRDefault="00E1330B" w:rsidP="00E1330B">
      <w:pPr>
        <w:pStyle w:val="Ruller4"/>
        <w:numPr>
          <w:ilvl w:val="0"/>
          <w:numId w:val="0"/>
        </w:numPr>
      </w:pPr>
    </w:p>
    <w:p w:rsidR="00E1330B" w:rsidRPr="00784C6F" w:rsidRDefault="00E1330B" w:rsidP="00E1330B">
      <w:pPr>
        <w:pStyle w:val="Ruller4"/>
        <w:numPr>
          <w:ilvl w:val="0"/>
          <w:numId w:val="13"/>
        </w:numPr>
      </w:pPr>
      <w:r w:rsidRPr="00784C6F">
        <w:rPr>
          <w:rtl/>
        </w:rPr>
        <w:t xml:space="preserve">תכלית נוספת של סעיף 4א(א) היא יצירת איזון בין ההגדרה המסורתית של המונח יהודי לבין ההגדרה הלאומית של מונח זה. כאמור, בתיקון מס' 2 התווספה הגדרה אובייקטיבית למונח "יהודי" – היא ההגדרה המסורתית; זאת על רקע מחלוקת ציבורית עזה. מן העבר השני, הורחבה תחולתה של הזכות והיא הוחלה גם על קרובי </w:t>
      </w:r>
      <w:r w:rsidR="00E4678E">
        <w:rPr>
          <w:rFonts w:hint="cs"/>
          <w:rtl/>
        </w:rPr>
        <w:t>ה</w:t>
      </w:r>
      <w:r w:rsidR="00E4678E">
        <w:rPr>
          <w:rtl/>
        </w:rPr>
        <w:t>משפח</w:t>
      </w:r>
      <w:r w:rsidR="00E4678E">
        <w:rPr>
          <w:rFonts w:hint="cs"/>
          <w:rtl/>
        </w:rPr>
        <w:t>ה</w:t>
      </w:r>
      <w:r w:rsidRPr="00784C6F">
        <w:rPr>
          <w:rtl/>
        </w:rPr>
        <w:t xml:space="preserve"> הלא יהודיים. כפי שצוין לא אחת, מדובר במגמות סותרות לכאורה, ואולם יש בהן להשלים זו את זו (עניין </w:t>
      </w:r>
      <w:r w:rsidRPr="00784C6F">
        <w:rPr>
          <w:rFonts w:ascii="Century" w:hAnsi="Century" w:cs="Miriam"/>
          <w:b/>
          <w:spacing w:val="0"/>
          <w:sz w:val="22"/>
          <w:szCs w:val="24"/>
          <w:rtl/>
        </w:rPr>
        <w:t>סטמקה</w:t>
      </w:r>
      <w:r w:rsidRPr="00784C6F">
        <w:rPr>
          <w:rtl/>
        </w:rPr>
        <w:t xml:space="preserve">, בעמ' 755; </w:t>
      </w:r>
      <w:r w:rsidRPr="00784C6F">
        <w:rPr>
          <w:rFonts w:ascii="Century" w:hAnsi="Century" w:cs="Miriam"/>
          <w:b/>
          <w:spacing w:val="0"/>
          <w:sz w:val="22"/>
          <w:szCs w:val="24"/>
          <w:rtl/>
        </w:rPr>
        <w:t>כהן,</w:t>
      </w:r>
      <w:r w:rsidRPr="00784C6F">
        <w:rPr>
          <w:rtl/>
        </w:rPr>
        <w:t xml:space="preserve"> בעמ' 336). קיימת זיקה הדוקה בין הוספת הגדרה למונח יהודי באופן שתואם את ההגדרה המסורתית המקובלת, לבין הרחבת מעגל הזכאים גם ל</w:t>
      </w:r>
      <w:r w:rsidRPr="00784C6F">
        <w:rPr>
          <w:rFonts w:hint="cs"/>
          <w:rtl/>
        </w:rPr>
        <w:t>בנ</w:t>
      </w:r>
      <w:r w:rsidRPr="00784C6F">
        <w:rPr>
          <w:rtl/>
        </w:rPr>
        <w:t>י המשפחה שאינם עונים להגדרה זו. כך, החוק מאפשר למי שעונה להגדרה</w:t>
      </w:r>
      <w:r w:rsidRPr="00784C6F">
        <w:rPr>
          <w:rFonts w:hint="cs"/>
          <w:rtl/>
        </w:rPr>
        <w:t xml:space="preserve"> שכונתה הגדרה "</w:t>
      </w:r>
      <w:r w:rsidRPr="00784C6F">
        <w:rPr>
          <w:rtl/>
        </w:rPr>
        <w:t>לאומי</w:t>
      </w:r>
      <w:r w:rsidRPr="00784C6F">
        <w:rPr>
          <w:rFonts w:hint="cs"/>
          <w:rtl/>
        </w:rPr>
        <w:t>ת"</w:t>
      </w:r>
      <w:r w:rsidRPr="00784C6F">
        <w:rPr>
          <w:rtl/>
        </w:rPr>
        <w:t xml:space="preserve"> </w:t>
      </w:r>
      <w:r w:rsidRPr="00784C6F">
        <w:rPr>
          <w:rFonts w:hint="cs"/>
          <w:rtl/>
        </w:rPr>
        <w:t xml:space="preserve">או "סובייקטיבית" </w:t>
      </w:r>
      <w:r w:rsidRPr="00784C6F">
        <w:rPr>
          <w:rtl/>
        </w:rPr>
        <w:t>של המונח יהודי, אף אם אינו בא בגדרי ההגדרה המסורתית, לעלות לישראל מכוח חוק השבות  – וניתנות לו כלל הזכויות שניתנות ליהודי לפי חוק</w:t>
      </w:r>
      <w:r w:rsidRPr="00784C6F">
        <w:rPr>
          <w:rFonts w:hint="cs"/>
          <w:rtl/>
        </w:rPr>
        <w:t xml:space="preserve"> (וראו: עניין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גורודצקי</w:t>
      </w:r>
      <w:r w:rsidRPr="00784C6F">
        <w:rPr>
          <w:rFonts w:hint="cs"/>
          <w:rtl/>
        </w:rPr>
        <w:t>, פסקה 31)</w:t>
      </w:r>
      <w:r w:rsidRPr="00784C6F">
        <w:rPr>
          <w:rtl/>
        </w:rPr>
        <w:t>. כפי שצוין: "הוספתו של סעיף 4א, בנוסח שנתקבל, מקהה במידה רבה את עוקצו של סעיף 4ב, שכן השאלה אם אדם הנו יהודי כהגדרתו בחוק לא תשפיע על זכותו לעלות לישראל ולרכוש את אזרחותה, ובלבד שאחד מהוריו – או מהורי בן זוגו – עד דור שלישי הנו יהודי" (</w:t>
      </w:r>
      <w:r w:rsidRPr="00784C6F">
        <w:rPr>
          <w:rFonts w:ascii="Century" w:hAnsi="Century" w:cs="Miriam"/>
          <w:b/>
          <w:spacing w:val="0"/>
          <w:sz w:val="22"/>
          <w:szCs w:val="24"/>
          <w:rtl/>
        </w:rPr>
        <w:t>מעוז,</w:t>
      </w:r>
      <w:r w:rsidRPr="00784C6F">
        <w:rPr>
          <w:rtl/>
        </w:rPr>
        <w:t xml:space="preserve"> בעמ' 641; כן ראו: </w:t>
      </w:r>
      <w:r w:rsidRPr="00784C6F">
        <w:rPr>
          <w:rFonts w:ascii="Century" w:hAnsi="Century" w:cs="Miriam"/>
          <w:b/>
          <w:spacing w:val="0"/>
          <w:sz w:val="22"/>
          <w:szCs w:val="24"/>
          <w:rtl/>
        </w:rPr>
        <w:t>גביזון</w:t>
      </w:r>
      <w:r w:rsidRPr="00784C6F">
        <w:rPr>
          <w:rtl/>
        </w:rPr>
        <w:t xml:space="preserve">, בעמ' 66). </w:t>
      </w:r>
    </w:p>
    <w:p w:rsidR="00E1330B" w:rsidRPr="00784C6F" w:rsidRDefault="00E1330B" w:rsidP="00E1330B">
      <w:pPr>
        <w:pStyle w:val="Ruller41"/>
      </w:pPr>
    </w:p>
    <w:p w:rsidR="00E1330B" w:rsidRPr="00784C6F" w:rsidRDefault="00E1330B" w:rsidP="00E1330B">
      <w:pPr>
        <w:pStyle w:val="Ruller4"/>
        <w:rPr>
          <w:rtl/>
        </w:rPr>
      </w:pPr>
      <w:r w:rsidRPr="00784C6F">
        <w:rPr>
          <w:rtl/>
        </w:rPr>
        <w:t xml:space="preserve">בנוסף, הסעיף מאפשר לבני המשפחה להצטרף אל התרבות היהודית ולעם היהודי, ולהיטמע לתוכם (עניין </w:t>
      </w:r>
      <w:r w:rsidRPr="00784C6F">
        <w:rPr>
          <w:rFonts w:ascii="Century" w:hAnsi="Century" w:cs="Miriam"/>
          <w:b/>
          <w:spacing w:val="0"/>
          <w:szCs w:val="24"/>
          <w:rtl/>
        </w:rPr>
        <w:t>גורודצקי</w:t>
      </w:r>
      <w:r w:rsidRPr="00784C6F">
        <w:rPr>
          <w:rtl/>
        </w:rPr>
        <w:t xml:space="preserve">, פסקה </w:t>
      </w:r>
      <w:r w:rsidRPr="00784C6F">
        <w:rPr>
          <w:rFonts w:ascii="Century" w:hAnsi="Century"/>
          <w:rtl/>
        </w:rPr>
        <w:t>29; עניין</w:t>
      </w:r>
      <w:r w:rsidRPr="00784C6F">
        <w:rPr>
          <w:rFonts w:ascii="Times New Roman" w:hAnsi="Times New Roman" w:cs="Miriam"/>
          <w:spacing w:val="0"/>
          <w:sz w:val="28"/>
          <w:szCs w:val="24"/>
          <w:rtl/>
        </w:rPr>
        <w:t xml:space="preserve"> ברספורד</w:t>
      </w:r>
      <w:r w:rsidRPr="00784C6F">
        <w:rPr>
          <w:rtl/>
        </w:rPr>
        <w:t xml:space="preserve">, בעמ' 794). התפיסה העומדת ביסוד תכלית זו היא </w:t>
      </w:r>
      <w:r w:rsidRPr="00784C6F">
        <w:rPr>
          <w:rFonts w:hint="cs"/>
          <w:rtl/>
        </w:rPr>
        <w:t>שבעצם השתייכותם אל התא המשפחתי שבראשו עומד היהודי, בני המשפחה קשרו את גורלם</w:t>
      </w:r>
      <w:r w:rsidRPr="00784C6F">
        <w:rPr>
          <w:rtl/>
        </w:rPr>
        <w:t xml:space="preserve"> ל</w:t>
      </w:r>
      <w:r w:rsidRPr="00784C6F">
        <w:rPr>
          <w:rFonts w:hint="cs"/>
          <w:rtl/>
        </w:rPr>
        <w:t>גורל ה</w:t>
      </w:r>
      <w:r w:rsidRPr="00784C6F">
        <w:rPr>
          <w:rtl/>
        </w:rPr>
        <w:t>עם היהודי</w:t>
      </w:r>
      <w:r w:rsidRPr="00784C6F">
        <w:rPr>
          <w:rFonts w:hint="cs"/>
          <w:rtl/>
        </w:rPr>
        <w:t>. בהתאם נקבע כי</w:t>
      </w:r>
      <w:r w:rsidRPr="00784C6F">
        <w:rPr>
          <w:rtl/>
        </w:rPr>
        <w:t xml:space="preserve">: "רואים אותם, במובנים מסוימים, כמי שסיפחו עצמם לעם היהודי" (עניין </w:t>
      </w:r>
      <w:r w:rsidRPr="00784C6F">
        <w:rPr>
          <w:rFonts w:ascii="Century" w:hAnsi="Century" w:cs="Miriam"/>
          <w:b/>
          <w:spacing w:val="0"/>
          <w:sz w:val="22"/>
          <w:szCs w:val="24"/>
          <w:rtl/>
        </w:rPr>
        <w:t>סטמקה</w:t>
      </w:r>
      <w:r w:rsidRPr="00784C6F">
        <w:rPr>
          <w:rtl/>
        </w:rPr>
        <w:t>, בעמ' 756</w:t>
      </w:r>
      <w:r w:rsidRPr="00784C6F">
        <w:rPr>
          <w:rFonts w:hint="cs"/>
          <w:rtl/>
        </w:rPr>
        <w:t xml:space="preserve">; כן ראו: עניין </w:t>
      </w:r>
      <w:r w:rsidRPr="00784C6F">
        <w:rPr>
          <w:rFonts w:ascii="Century" w:hAnsi="Century" w:cs="Miriam" w:hint="eastAsia"/>
          <w:b/>
          <w:spacing w:val="0"/>
          <w:sz w:val="22"/>
          <w:szCs w:val="24"/>
          <w:rtl/>
        </w:rPr>
        <w:t>סמוילוב</w:t>
      </w:r>
      <w:r w:rsidRPr="00784C6F">
        <w:rPr>
          <w:rFonts w:hint="cs"/>
          <w:rtl/>
        </w:rPr>
        <w:t>, בעמ' 121</w:t>
      </w:r>
      <w:r w:rsidRPr="00784C6F">
        <w:rPr>
          <w:rtl/>
        </w:rPr>
        <w:t>)</w:t>
      </w:r>
      <w:r w:rsidRPr="00784C6F">
        <w:rPr>
          <w:rFonts w:hint="cs"/>
          <w:rtl/>
        </w:rPr>
        <w:t>, והדבר מתבטא גם בדבריו המצוטטים של יו"ר ועדת חוקה חוק ומשפט של הכנסת: "</w:t>
      </w:r>
      <w:r w:rsidRPr="00784C6F">
        <w:rPr>
          <w:rFonts w:hint="eastAsia"/>
          <w:rtl/>
        </w:rPr>
        <w:t>זכות</w:t>
      </w:r>
      <w:r w:rsidRPr="00784C6F">
        <w:rPr>
          <w:rtl/>
        </w:rPr>
        <w:t xml:space="preserve"> </w:t>
      </w:r>
      <w:r w:rsidRPr="00784C6F">
        <w:rPr>
          <w:rFonts w:hint="eastAsia"/>
          <w:rtl/>
        </w:rPr>
        <w:t>זו</w:t>
      </w:r>
      <w:r w:rsidRPr="00784C6F">
        <w:rPr>
          <w:rtl/>
        </w:rPr>
        <w:t xml:space="preserve"> </w:t>
      </w:r>
      <w:r w:rsidRPr="00784C6F">
        <w:rPr>
          <w:rFonts w:hint="eastAsia"/>
          <w:rtl/>
        </w:rPr>
        <w:t>ניתנת</w:t>
      </w:r>
      <w:r w:rsidRPr="00784C6F">
        <w:rPr>
          <w:rtl/>
        </w:rPr>
        <w:t xml:space="preserve"> </w:t>
      </w:r>
      <w:r w:rsidRPr="00784C6F">
        <w:rPr>
          <w:rFonts w:hint="eastAsia"/>
          <w:rtl/>
        </w:rPr>
        <w:t>לאנשים</w:t>
      </w:r>
      <w:r w:rsidRPr="00784C6F">
        <w:rPr>
          <w:rtl/>
        </w:rPr>
        <w:t xml:space="preserve"> </w:t>
      </w:r>
      <w:r w:rsidRPr="00784C6F">
        <w:rPr>
          <w:rFonts w:hint="eastAsia"/>
          <w:rtl/>
        </w:rPr>
        <w:t>בשל</w:t>
      </w:r>
      <w:r w:rsidRPr="00784C6F">
        <w:rPr>
          <w:rtl/>
        </w:rPr>
        <w:t xml:space="preserve"> </w:t>
      </w:r>
      <w:r w:rsidRPr="00784C6F">
        <w:rPr>
          <w:rFonts w:hint="eastAsia"/>
          <w:rtl/>
        </w:rPr>
        <w:t>קירבתם</w:t>
      </w:r>
      <w:r w:rsidRPr="00784C6F">
        <w:rPr>
          <w:rtl/>
        </w:rPr>
        <w:t xml:space="preserve"> </w:t>
      </w:r>
      <w:r w:rsidRPr="00784C6F">
        <w:rPr>
          <w:rFonts w:hint="eastAsia"/>
          <w:rtl/>
        </w:rPr>
        <w:t>לעמנו</w:t>
      </w:r>
      <w:r w:rsidRPr="00784C6F">
        <w:rPr>
          <w:rFonts w:hint="cs"/>
          <w:rtl/>
        </w:rPr>
        <w:t>" (ד"כ 10.3.1970,</w:t>
      </w:r>
      <w:r w:rsidR="00B25F06">
        <w:rPr>
          <w:rFonts w:hint="cs"/>
          <w:rtl/>
        </w:rPr>
        <w:t xml:space="preserve"> בעמ'</w:t>
      </w:r>
      <w:r w:rsidRPr="00784C6F">
        <w:rPr>
          <w:rFonts w:hint="cs"/>
          <w:rtl/>
        </w:rPr>
        <w:t xml:space="preserve"> 1119). תכלית נוספת של</w:t>
      </w:r>
      <w:r w:rsidRPr="00784C6F">
        <w:rPr>
          <w:rtl/>
        </w:rPr>
        <w:t xml:space="preserve"> הרחבת מעגל הזכאים </w:t>
      </w:r>
      <w:r w:rsidRPr="00784C6F">
        <w:rPr>
          <w:rFonts w:hint="cs"/>
          <w:rtl/>
        </w:rPr>
        <w:t>היא</w:t>
      </w:r>
      <w:r w:rsidRPr="00784C6F">
        <w:rPr>
          <w:rtl/>
        </w:rPr>
        <w:t xml:space="preserve"> יצירת שוויון במעמד האזרחי שניתן להם – כך שנמנע מצב שבו בני אותה המשפחה נושאים מעמד אזרחי שונה. קביעת מעמד שונה לבני המשפחה עשויה להכביד על תהליך הקליטה של בני המשפחה, לפגוע במימוש התא המשפחתי וליצור חוסר ודאות ביחס ליציבות המעמד שניתן להם. </w:t>
      </w:r>
    </w:p>
    <w:p w:rsidR="00E1330B" w:rsidRPr="00784C6F" w:rsidRDefault="00E1330B" w:rsidP="00E1330B">
      <w:pPr>
        <w:pStyle w:val="Ruller41"/>
      </w:pPr>
    </w:p>
    <w:p w:rsidR="0001536C" w:rsidRPr="00784C6F" w:rsidRDefault="00E1330B" w:rsidP="001D43A0">
      <w:pPr>
        <w:pStyle w:val="Ruller41"/>
        <w:rPr>
          <w:rtl/>
        </w:rPr>
      </w:pPr>
      <w:r w:rsidRPr="00784C6F">
        <w:rPr>
          <w:rtl/>
        </w:rPr>
        <w:tab/>
        <w:t xml:space="preserve">לפני שאפנה לבחון את יישומן של התכליות האמורות במקרה דנן, </w:t>
      </w:r>
      <w:r w:rsidRPr="00784C6F">
        <w:rPr>
          <w:rFonts w:hint="cs"/>
          <w:rtl/>
        </w:rPr>
        <w:t>אתייחס ל</w:t>
      </w:r>
      <w:r w:rsidRPr="00784C6F">
        <w:rPr>
          <w:rtl/>
        </w:rPr>
        <w:t>סוגיה נוספת</w:t>
      </w:r>
      <w:r w:rsidRPr="00784C6F">
        <w:rPr>
          <w:rFonts w:hint="cs"/>
          <w:rtl/>
        </w:rPr>
        <w:t xml:space="preserve"> שהתעוררה בפסק </w:t>
      </w:r>
      <w:r w:rsidR="00E5183F">
        <w:rPr>
          <w:rFonts w:hint="cs"/>
          <w:rtl/>
        </w:rPr>
        <w:t>ה</w:t>
      </w:r>
      <w:r w:rsidRPr="00784C6F">
        <w:rPr>
          <w:rFonts w:hint="cs"/>
          <w:rtl/>
        </w:rPr>
        <w:t xml:space="preserve">דין נושא הדיון הנוסף </w:t>
      </w:r>
      <w:r w:rsidRPr="00784C6F">
        <w:rPr>
          <w:rtl/>
        </w:rPr>
        <w:t xml:space="preserve">והיא </w:t>
      </w:r>
      <w:r w:rsidRPr="00784C6F">
        <w:rPr>
          <w:rFonts w:hint="cs"/>
          <w:rtl/>
        </w:rPr>
        <w:t>האם קיים מדרג בין זכויותיהם של בני המשפח</w:t>
      </w:r>
      <w:r w:rsidR="00452BF2">
        <w:rPr>
          <w:rFonts w:hint="cs"/>
          <w:rtl/>
        </w:rPr>
        <w:t>ה נוכח שוני קטגורי בין זכויות ב</w:t>
      </w:r>
      <w:r w:rsidRPr="00784C6F">
        <w:rPr>
          <w:rFonts w:hint="cs"/>
          <w:rtl/>
        </w:rPr>
        <w:t>ן הזוג לבין זכויות הצאצא</w:t>
      </w:r>
      <w:r w:rsidRPr="00784C6F">
        <w:rPr>
          <w:rtl/>
        </w:rPr>
        <w:t>.</w:t>
      </w:r>
      <w:r w:rsidRPr="00784C6F">
        <w:rPr>
          <w:rFonts w:hint="cs"/>
          <w:rtl/>
        </w:rPr>
        <w:t xml:space="preserve"> </w:t>
      </w:r>
      <w:r w:rsidRPr="00784C6F">
        <w:rPr>
          <w:rtl/>
        </w:rPr>
        <w:t>ברי כי לשאלה הזו</w:t>
      </w:r>
      <w:r w:rsidRPr="00784C6F">
        <w:rPr>
          <w:rFonts w:hint="cs"/>
          <w:rtl/>
        </w:rPr>
        <w:t xml:space="preserve"> עשויה להיות</w:t>
      </w:r>
      <w:r w:rsidRPr="00784C6F">
        <w:rPr>
          <w:rtl/>
        </w:rPr>
        <w:t xml:space="preserve"> השפעה על השאלה הפרשנית שלפנינו, ולפיכך </w:t>
      </w:r>
      <w:r w:rsidRPr="00784C6F">
        <w:rPr>
          <w:rFonts w:hint="cs"/>
          <w:rtl/>
        </w:rPr>
        <w:t>אדון בכך</w:t>
      </w:r>
      <w:r w:rsidRPr="00784C6F">
        <w:rPr>
          <w:rtl/>
        </w:rPr>
        <w:t xml:space="preserve"> כעת. </w:t>
      </w:r>
    </w:p>
    <w:p w:rsidR="00E1330B" w:rsidRPr="00784C6F" w:rsidRDefault="00E1330B" w:rsidP="00E1330B">
      <w:pPr>
        <w:pStyle w:val="Ruller41"/>
      </w:pPr>
    </w:p>
    <w:p w:rsidR="00E1330B" w:rsidRPr="00784C6F" w:rsidRDefault="00E1330B" w:rsidP="00E1330B">
      <w:pPr>
        <w:pStyle w:val="1"/>
        <w:rPr>
          <w:rtl/>
        </w:rPr>
      </w:pPr>
      <w:r w:rsidRPr="00784C6F">
        <w:rPr>
          <w:rtl/>
        </w:rPr>
        <w:t xml:space="preserve">קיומו של מדרג בין </w:t>
      </w:r>
      <w:r w:rsidRPr="00784C6F">
        <w:rPr>
          <w:rFonts w:hint="cs"/>
          <w:rtl/>
        </w:rPr>
        <w:t>בני</w:t>
      </w:r>
      <w:r w:rsidRPr="00784C6F">
        <w:rPr>
          <w:rtl/>
        </w:rPr>
        <w:t xml:space="preserve"> המשפחה לפי סעיף 4א(א)</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t xml:space="preserve">בפסק הדין נושא הדיון הנוסף דעות השופטים נחלקו בשאלה האם קיים מדרג נורמטיבי בין זכויותיהם של קרובי המשפחה – קרי, האם בני המשפחה </w:t>
      </w:r>
      <w:r w:rsidRPr="00784C6F">
        <w:rPr>
          <w:rFonts w:hint="cs"/>
          <w:rtl/>
        </w:rPr>
        <w:t xml:space="preserve">כולם </w:t>
      </w:r>
      <w:r w:rsidRPr="00784C6F">
        <w:rPr>
          <w:rtl/>
        </w:rPr>
        <w:t xml:space="preserve">זכאים לזכויות עצמאיות שנובעות מקרבה משפחתית ליהודי, או שמא יש מקום להבחין בהקשר זה בין זכותו של צאצא לבין זכותו של בן זוג. לשיטת השופט </w:t>
      </w:r>
      <w:r w:rsidRPr="00784C6F">
        <w:rPr>
          <w:rFonts w:ascii="Century" w:hAnsi="Century" w:cs="Miriam"/>
          <w:b/>
          <w:spacing w:val="0"/>
          <w:sz w:val="22"/>
          <w:szCs w:val="24"/>
          <w:rtl/>
        </w:rPr>
        <w:t>ד' מינץ</w:t>
      </w:r>
      <w:r w:rsidRPr="00784C6F">
        <w:rPr>
          <w:rtl/>
        </w:rPr>
        <w:t xml:space="preserve">, זכותו של צאצא ליהודי – </w:t>
      </w:r>
      <w:r w:rsidRPr="00784C6F">
        <w:rPr>
          <w:rFonts w:hint="cs"/>
          <w:rtl/>
        </w:rPr>
        <w:t>הוא</w:t>
      </w:r>
      <w:r w:rsidRPr="00784C6F">
        <w:rPr>
          <w:rtl/>
        </w:rPr>
        <w:t xml:space="preserve"> בן או נכד של יהודי – חזקה יותר מזכות השבות הנתונה לבן זוג. גם השופט </w:t>
      </w:r>
      <w:r w:rsidRPr="00784C6F">
        <w:rPr>
          <w:rFonts w:ascii="Century" w:hAnsi="Century" w:cs="Miriam"/>
          <w:b/>
          <w:spacing w:val="0"/>
          <w:sz w:val="22"/>
          <w:szCs w:val="24"/>
          <w:rtl/>
        </w:rPr>
        <w:t>י' עמית</w:t>
      </w:r>
      <w:r w:rsidRPr="00784C6F">
        <w:rPr>
          <w:rtl/>
        </w:rPr>
        <w:t xml:space="preserve"> היה נכון להניח כי זכויותיו של צאצא של יהודי חזקות יותר מזכויותיו של בן זוג. לעומת זאת, לעמדת השופטת </w:t>
      </w:r>
      <w:r w:rsidRPr="00784C6F">
        <w:rPr>
          <w:rFonts w:ascii="Century" w:hAnsi="Century" w:cs="Miriam"/>
          <w:b/>
          <w:spacing w:val="0"/>
          <w:sz w:val="22"/>
          <w:szCs w:val="24"/>
          <w:rtl/>
        </w:rPr>
        <w:t>ע' ברון</w:t>
      </w:r>
      <w:r w:rsidRPr="00784C6F">
        <w:rPr>
          <w:rtl/>
        </w:rPr>
        <w:t xml:space="preserve">, זכויותיהם של כלל בני המשפחה שמנויים בסעיף 4א(א) לחוק הן עצמאיות ושוות זו לזו. סוגיה דומה התעוררה גם </w:t>
      </w:r>
      <w:r w:rsidRPr="00784C6F">
        <w:rPr>
          <w:rFonts w:hint="cs"/>
          <w:rtl/>
        </w:rPr>
        <w:t>ב</w:t>
      </w:r>
      <w:r w:rsidRPr="00784C6F">
        <w:rPr>
          <w:rtl/>
        </w:rPr>
        <w:t xml:space="preserve">עניין </w:t>
      </w:r>
      <w:r w:rsidRPr="00784C6F">
        <w:rPr>
          <w:rFonts w:ascii="Century" w:hAnsi="Century" w:cs="Miriam"/>
          <w:b/>
          <w:spacing w:val="0"/>
          <w:szCs w:val="24"/>
          <w:rtl/>
        </w:rPr>
        <w:t xml:space="preserve">גורודצקי, </w:t>
      </w:r>
      <w:r w:rsidRPr="00784C6F">
        <w:rPr>
          <w:rtl/>
        </w:rPr>
        <w:t xml:space="preserve">ובהקשר זה הביעה השופטת </w:t>
      </w:r>
      <w:r w:rsidRPr="00784C6F">
        <w:rPr>
          <w:rFonts w:ascii="Century" w:hAnsi="Century" w:cs="Miriam"/>
          <w:b/>
          <w:spacing w:val="0"/>
          <w:sz w:val="22"/>
          <w:szCs w:val="24"/>
          <w:rtl/>
        </w:rPr>
        <w:t>ע' ארבל</w:t>
      </w:r>
      <w:r w:rsidRPr="00784C6F">
        <w:rPr>
          <w:rtl/>
        </w:rPr>
        <w:t xml:space="preserve"> אף היא את העמדה שלפיה </w:t>
      </w:r>
      <w:r w:rsidRPr="00784C6F">
        <w:rPr>
          <w:rFonts w:hint="cs"/>
          <w:rtl/>
        </w:rPr>
        <w:t>קיים שוני בין זכויות של בן זוג לבין זכויות של צאצא</w:t>
      </w:r>
      <w:r w:rsidRPr="00784C6F">
        <w:rPr>
          <w:rtl/>
        </w:rPr>
        <w:t>:</w:t>
      </w:r>
    </w:p>
    <w:p w:rsidR="00E1330B" w:rsidRPr="00784C6F" w:rsidRDefault="00E1330B" w:rsidP="00E1330B">
      <w:pPr>
        <w:pStyle w:val="Ruller41"/>
        <w:rPr>
          <w:rtl/>
        </w:rPr>
      </w:pPr>
    </w:p>
    <w:p w:rsidR="00E1330B" w:rsidRPr="00784C6F" w:rsidRDefault="00E1330B" w:rsidP="00E1330B">
      <w:pPr>
        <w:pStyle w:val="Ruller5"/>
      </w:pPr>
      <w:r w:rsidRPr="00784C6F">
        <w:rPr>
          <w:rtl/>
        </w:rPr>
        <w:lastRenderedPageBreak/>
        <w:t xml:space="preserve">"גם על-פי תפישה חילונית-לאומית הרואה את הגדרת היהודי באופן רחב יותר מהתפיסה המסורתית-דתית, הרי שבן הזוג הלא יהודי אינו עומד במרכזו של חוק השבות ותכליתו אינה מכוונת אליו (ראו גם עניין </w:t>
      </w:r>
      <w:r w:rsidRPr="00784C6F">
        <w:rPr>
          <w:rFonts w:ascii="Century" w:hAnsi="Century" w:cs="Miriam"/>
          <w:b/>
          <w:spacing w:val="0"/>
          <w:szCs w:val="24"/>
          <w:rtl/>
        </w:rPr>
        <w:t>טושביים</w:t>
      </w:r>
      <w:r w:rsidRPr="00784C6F">
        <w:rPr>
          <w:rtl/>
        </w:rPr>
        <w:t xml:space="preserve">, בעמ' 427, 446). יש לציין כי הדבר שונה אצל צאצא של יהודי, אשר גם אם אינו יהודי על-פי ההלכה זיקתו ליהדות נקבעת מרגע לידתו לאדם יהודי באמצעות קשר הדם. על הבחנה זו ניתן ללמוד מהוראות חוק השבות עצמו. יש לשים לב כי בני זוג שנפרדו כאשר אחד מהם יהודי, בן הזוג הזר אינו זכאי לשבות מכוח חוק השבות על אף שגם לגביו ניתן לטעון כי מתקיימות בחלקן תכליות חוק השבות (ראו בג"ץ 3287/05 </w:t>
      </w:r>
      <w:r w:rsidRPr="00784C6F">
        <w:rPr>
          <w:rFonts w:ascii="Century" w:hAnsi="Century" w:cs="Miriam"/>
          <w:b/>
          <w:spacing w:val="0"/>
          <w:szCs w:val="24"/>
          <w:rtl/>
        </w:rPr>
        <w:t>צ'יורני</w:t>
      </w:r>
      <w:r w:rsidRPr="00784C6F">
        <w:rPr>
          <w:rtl/>
        </w:rPr>
        <w:t xml:space="preserve"> נ' שר הפנים, 19.7.05); עניין </w:t>
      </w:r>
      <w:r w:rsidRPr="00784C6F">
        <w:rPr>
          <w:rFonts w:ascii="Century" w:hAnsi="Century" w:cs="Miriam"/>
          <w:b/>
          <w:spacing w:val="0"/>
          <w:szCs w:val="24"/>
          <w:rtl/>
        </w:rPr>
        <w:t>סמוילוב</w:t>
      </w:r>
      <w:r w:rsidRPr="00784C6F">
        <w:rPr>
          <w:rtl/>
        </w:rPr>
        <w:t xml:space="preserve">; מיכאל קורינאלדי </w:t>
      </w:r>
      <w:r w:rsidRPr="00784C6F">
        <w:rPr>
          <w:rFonts w:ascii="Century" w:hAnsi="Century" w:cs="Miriam"/>
          <w:b/>
          <w:spacing w:val="0"/>
          <w:szCs w:val="24"/>
          <w:rtl/>
        </w:rPr>
        <w:t>חידת הזהות היהודית – חוק השבות – הלכה למעשה</w:t>
      </w:r>
      <w:r w:rsidRPr="00784C6F">
        <w:rPr>
          <w:rtl/>
        </w:rPr>
        <w:t xml:space="preserve"> 97 (2001) (להלן: </w:t>
      </w:r>
      <w:r w:rsidRPr="00784C6F">
        <w:rPr>
          <w:rFonts w:ascii="Century" w:hAnsi="Century" w:cs="Miriam"/>
          <w:b/>
          <w:spacing w:val="0"/>
          <w:szCs w:val="24"/>
          <w:rtl/>
        </w:rPr>
        <w:t>קורינאלדי</w:t>
      </w:r>
      <w:r w:rsidRPr="00784C6F">
        <w:rPr>
          <w:rtl/>
        </w:rPr>
        <w:t xml:space="preserve">)). לעומת זאת, צאצאו של יהודי יהיה זכאי לשבות ללא קשר למצב הזוגי של הוריו או לחיים משותפים עימם. </w:t>
      </w:r>
      <w:r w:rsidRPr="00784C6F">
        <w:rPr>
          <w:rFonts w:ascii="Century" w:hAnsi="Century" w:cs="Miriam"/>
          <w:b/>
          <w:spacing w:val="0"/>
          <w:szCs w:val="24"/>
          <w:rtl/>
        </w:rPr>
        <w:t>נראה כי ניתן ללמוד מכך על רצונו של המחוקק להפריד בין מעמדו של בן זוגו של יהודי לבין מעמדו של צאצאו של יהודי</w:t>
      </w:r>
      <w:r w:rsidRPr="00784C6F">
        <w:rPr>
          <w:rtl/>
        </w:rPr>
        <w:t>. קשר הדם הוא שמסביר הבחנה זו" (שם, פסקה 36; ההדגשה הוספה – ע' פ')</w:t>
      </w:r>
      <w:r w:rsidRPr="00784C6F">
        <w:rPr>
          <w:rFonts w:hint="cs"/>
          <w:rtl/>
        </w:rPr>
        <w:t>.</w:t>
      </w:r>
    </w:p>
    <w:p w:rsidR="00E1330B" w:rsidRPr="00784C6F" w:rsidRDefault="00E1330B" w:rsidP="00E1330B">
      <w:pPr>
        <w:pStyle w:val="Ruller41"/>
      </w:pPr>
    </w:p>
    <w:p w:rsidR="00E1330B" w:rsidRPr="00784C6F" w:rsidRDefault="00E1330B" w:rsidP="00E1330B">
      <w:pPr>
        <w:pStyle w:val="Ruller4"/>
        <w:rPr>
          <w:rtl/>
        </w:rPr>
      </w:pPr>
      <w:r w:rsidRPr="00784C6F">
        <w:rPr>
          <w:rFonts w:hint="cs"/>
          <w:rtl/>
        </w:rPr>
        <w:t xml:space="preserve">כאמור, </w:t>
      </w:r>
      <w:r w:rsidRPr="00784C6F">
        <w:rPr>
          <w:rtl/>
        </w:rPr>
        <w:t>סעיף 4א(א) קובע כי: "זכויות של יהודי לפי חוק זה [...] מוקנות גם לילד ולנכד של יהודי, לבן זוג של יהודי ולבן זוג של ילד ושל נכד של יהודי". קשה אפוא לאתר בלשון סעיף זה</w:t>
      </w:r>
      <w:r w:rsidRPr="00784C6F">
        <w:rPr>
          <w:rFonts w:hint="cs"/>
          <w:rtl/>
        </w:rPr>
        <w:t>, או בהיסטוריה החקיקתית שעליה עמדנו לעיל,</w:t>
      </w:r>
      <w:r w:rsidRPr="00784C6F">
        <w:rPr>
          <w:rtl/>
        </w:rPr>
        <w:t xml:space="preserve"> </w:t>
      </w:r>
      <w:r w:rsidRPr="00784C6F">
        <w:rPr>
          <w:rFonts w:hint="cs"/>
          <w:rtl/>
        </w:rPr>
        <w:t xml:space="preserve">אחיזה </w:t>
      </w:r>
      <w:r w:rsidRPr="00784C6F">
        <w:rPr>
          <w:rtl/>
        </w:rPr>
        <w:t xml:space="preserve">להבחנה קטגורית בין מעמדו של בן זוג לבין מעמדו של צאצא. המדינה טענה כי ניתן למצוא </w:t>
      </w:r>
      <w:r w:rsidRPr="00784C6F">
        <w:rPr>
          <w:rFonts w:hint="cs"/>
          <w:rtl/>
        </w:rPr>
        <w:t xml:space="preserve">ביסוס למסקנה זו בהכרעת בית המשפט </w:t>
      </w:r>
      <w:r w:rsidRPr="00784C6F">
        <w:rPr>
          <w:rtl/>
        </w:rPr>
        <w:t>בעניין</w:t>
      </w:r>
      <w:r w:rsidRPr="00784C6F">
        <w:rPr>
          <w:rFonts w:ascii="Century" w:hAnsi="Century" w:cs="Miriam"/>
          <w:b/>
          <w:spacing w:val="0"/>
          <w:sz w:val="22"/>
          <w:szCs w:val="24"/>
          <w:rtl/>
        </w:rPr>
        <w:t xml:space="preserve"> סטמקה</w:t>
      </w:r>
      <w:r w:rsidRPr="00784C6F">
        <w:rPr>
          <w:rtl/>
        </w:rPr>
        <w:t xml:space="preserve">. </w:t>
      </w:r>
      <w:r w:rsidRPr="00784C6F">
        <w:rPr>
          <w:rFonts w:hint="cs"/>
          <w:rtl/>
        </w:rPr>
        <w:t>כפי שצוין לעיל,</w:t>
      </w:r>
      <w:r w:rsidRPr="00784C6F">
        <w:rPr>
          <w:rtl/>
        </w:rPr>
        <w:t xml:space="preserve"> </w:t>
      </w:r>
      <w:r w:rsidRPr="00784C6F">
        <w:rPr>
          <w:rFonts w:hint="cs"/>
          <w:rtl/>
        </w:rPr>
        <w:t>באותו עניין</w:t>
      </w:r>
      <w:r w:rsidRPr="00784C6F">
        <w:rPr>
          <w:rtl/>
        </w:rPr>
        <w:t xml:space="preserve"> </w:t>
      </w:r>
      <w:r w:rsidRPr="00784C6F">
        <w:rPr>
          <w:rFonts w:hint="cs"/>
          <w:rtl/>
        </w:rPr>
        <w:t>נקבע</w:t>
      </w:r>
      <w:r w:rsidRPr="00784C6F">
        <w:rPr>
          <w:rtl/>
        </w:rPr>
        <w:t xml:space="preserve"> </w:t>
      </w:r>
      <w:r w:rsidRPr="00784C6F">
        <w:rPr>
          <w:rFonts w:hint="cs"/>
          <w:rtl/>
        </w:rPr>
        <w:t xml:space="preserve">כי </w:t>
      </w:r>
      <w:r w:rsidRPr="00784C6F">
        <w:rPr>
          <w:rtl/>
        </w:rPr>
        <w:t>כ</w:t>
      </w:r>
      <w:r w:rsidRPr="00784C6F">
        <w:rPr>
          <w:rFonts w:hint="cs"/>
          <w:rtl/>
        </w:rPr>
        <w:t>אשר</w:t>
      </w:r>
      <w:r w:rsidRPr="00784C6F">
        <w:rPr>
          <w:rtl/>
        </w:rPr>
        <w:t xml:space="preserve"> </w:t>
      </w:r>
      <w:r w:rsidRPr="00784C6F">
        <w:rPr>
          <w:rFonts w:hint="cs"/>
          <w:rtl/>
        </w:rPr>
        <w:t>אזרח זר נישא לאזרח ישראלי שהוא יהודי</w:t>
      </w:r>
      <w:r w:rsidRPr="00784C6F">
        <w:rPr>
          <w:rtl/>
        </w:rPr>
        <w:t>, בן הזוג</w:t>
      </w:r>
      <w:r w:rsidRPr="00784C6F">
        <w:rPr>
          <w:rFonts w:hint="cs"/>
          <w:rtl/>
        </w:rPr>
        <w:t xml:space="preserve"> הזר</w:t>
      </w:r>
      <w:r w:rsidRPr="00784C6F">
        <w:rPr>
          <w:rtl/>
        </w:rPr>
        <w:t xml:space="preserve"> לא יהיה זכאי</w:t>
      </w:r>
      <w:r w:rsidRPr="00784C6F">
        <w:rPr>
          <w:rFonts w:hint="cs"/>
          <w:rtl/>
        </w:rPr>
        <w:t xml:space="preserve"> למעמד</w:t>
      </w:r>
      <w:r w:rsidRPr="00784C6F">
        <w:rPr>
          <w:rtl/>
        </w:rPr>
        <w:t xml:space="preserve"> מכוח חוק</w:t>
      </w:r>
      <w:r w:rsidRPr="00784C6F">
        <w:rPr>
          <w:rFonts w:hint="cs"/>
          <w:rtl/>
        </w:rPr>
        <w:t xml:space="preserve"> השבות. בניגוד לכך, כטענת המדינה לפנינו, צאצא של יהודי יהיה זכאי מכוח החוק גם אם היהודי </w:t>
      </w:r>
      <w:r w:rsidRPr="00784C6F">
        <w:rPr>
          <w:rtl/>
        </w:rPr>
        <w:t>מימש את זכאותו ועלה לישראל. מכך – כנטען – יש ללמוד שזכותו של בן הזוג לפי חוק השבות תלויה בזכותו של היהודי, וא</w:t>
      </w:r>
      <w:r w:rsidRPr="00784C6F">
        <w:rPr>
          <w:rFonts w:hint="cs"/>
          <w:rtl/>
        </w:rPr>
        <w:t>ילו זכותו של</w:t>
      </w:r>
      <w:r w:rsidRPr="00784C6F">
        <w:rPr>
          <w:rtl/>
        </w:rPr>
        <w:t xml:space="preserve"> ילדו או נכדו של היהודי</w:t>
      </w:r>
      <w:r w:rsidRPr="00784C6F">
        <w:rPr>
          <w:rFonts w:hint="cs"/>
          <w:rtl/>
        </w:rPr>
        <w:t xml:space="preserve"> אינה תלויה בו</w:t>
      </w:r>
      <w:r w:rsidRPr="00784C6F">
        <w:rPr>
          <w:rtl/>
        </w:rPr>
        <w:t xml:space="preserve"> (פסקה 54 לבקשת המדינה לדיון נוסף</w:t>
      </w:r>
      <w:r w:rsidRPr="00784C6F">
        <w:rPr>
          <w:rFonts w:hint="cs"/>
          <w:rtl/>
        </w:rPr>
        <w:t xml:space="preserve">; כן ראו והשוו: עניין </w:t>
      </w:r>
      <w:r w:rsidRPr="00784C6F">
        <w:rPr>
          <w:rFonts w:ascii="Century" w:hAnsi="Century" w:cs="Miriam" w:hint="eastAsia"/>
          <w:b/>
          <w:spacing w:val="0"/>
          <w:sz w:val="22"/>
          <w:szCs w:val="24"/>
          <w:rtl/>
        </w:rPr>
        <w:t>גורודצקי</w:t>
      </w:r>
      <w:r w:rsidRPr="00784C6F">
        <w:rPr>
          <w:rFonts w:hint="cs"/>
          <w:rtl/>
        </w:rPr>
        <w:t>, פסקה 36</w:t>
      </w:r>
      <w:r w:rsidRPr="00784C6F">
        <w:rPr>
          <w:rtl/>
        </w:rPr>
        <w:t xml:space="preserve">). אין בידי לקבל טענה זו של המדינה. בעניין </w:t>
      </w:r>
      <w:r w:rsidRPr="00784C6F">
        <w:rPr>
          <w:rFonts w:ascii="Century" w:hAnsi="Century" w:cs="Miriam"/>
          <w:b/>
          <w:spacing w:val="0"/>
          <w:sz w:val="22"/>
          <w:szCs w:val="24"/>
          <w:rtl/>
        </w:rPr>
        <w:t>סטמקה</w:t>
      </w:r>
      <w:r w:rsidRPr="00784C6F">
        <w:rPr>
          <w:rtl/>
        </w:rPr>
        <w:t xml:space="preserve"> נקבע שאין בידי מי שמיצה את זכות השבות שלו ולאחר מכן </w:t>
      </w:r>
      <w:r w:rsidRPr="00784C6F">
        <w:rPr>
          <w:rFonts w:hint="cs"/>
          <w:rtl/>
        </w:rPr>
        <w:t>נישא</w:t>
      </w:r>
      <w:r w:rsidRPr="00784C6F">
        <w:rPr>
          <w:rtl/>
        </w:rPr>
        <w:t xml:space="preserve"> לבן זוג</w:t>
      </w:r>
      <w:r w:rsidRPr="00784C6F">
        <w:rPr>
          <w:rFonts w:hint="cs"/>
          <w:rtl/>
        </w:rPr>
        <w:t>ו שהוא</w:t>
      </w:r>
      <w:r w:rsidRPr="00784C6F">
        <w:rPr>
          <w:rtl/>
        </w:rPr>
        <w:t xml:space="preserve"> אזרח זר להקנות לו זכויות מכוח חוק השבות. </w:t>
      </w:r>
      <w:r w:rsidRPr="00784C6F">
        <w:rPr>
          <w:rFonts w:hint="cs"/>
          <w:rtl/>
        </w:rPr>
        <w:t xml:space="preserve">ואולם, </w:t>
      </w:r>
      <w:r w:rsidRPr="00784C6F">
        <w:rPr>
          <w:rtl/>
        </w:rPr>
        <w:t xml:space="preserve">אין חולק כי כאשר מדובר במי שהיו </w:t>
      </w:r>
      <w:r w:rsidRPr="00784C6F">
        <w:rPr>
          <w:rFonts w:hint="cs"/>
          <w:rtl/>
        </w:rPr>
        <w:t>בני זוג</w:t>
      </w:r>
      <w:r w:rsidRPr="00784C6F">
        <w:rPr>
          <w:rtl/>
        </w:rPr>
        <w:t xml:space="preserve"> </w:t>
      </w:r>
      <w:r w:rsidRPr="00784C6F">
        <w:rPr>
          <w:rFonts w:ascii="Century" w:hAnsi="Century" w:cs="Miriam"/>
          <w:b/>
          <w:spacing w:val="0"/>
          <w:sz w:val="22"/>
          <w:szCs w:val="24"/>
          <w:rtl/>
        </w:rPr>
        <w:t xml:space="preserve">עובר </w:t>
      </w:r>
      <w:r w:rsidRPr="00784C6F">
        <w:rPr>
          <w:rFonts w:ascii="Century" w:hAnsi="Century"/>
          <w:sz w:val="22"/>
          <w:rtl/>
        </w:rPr>
        <w:t xml:space="preserve">לעליית </w:t>
      </w:r>
      <w:r w:rsidRPr="00784C6F">
        <w:rPr>
          <w:rtl/>
        </w:rPr>
        <w:t>היהודי, אין בעליית היהודי כשלעצמה כדי לפגוע בזכאות</w:t>
      </w:r>
      <w:r w:rsidRPr="00784C6F">
        <w:rPr>
          <w:rFonts w:hint="cs"/>
          <w:rtl/>
        </w:rPr>
        <w:t>ו</w:t>
      </w:r>
      <w:r w:rsidRPr="00784C6F">
        <w:rPr>
          <w:rtl/>
        </w:rPr>
        <w:t xml:space="preserve"> (בכפוף לבחינה האם יש בפרידה זו להעיד על פירוק התא המשפחתי</w:t>
      </w:r>
      <w:r w:rsidRPr="00784C6F">
        <w:rPr>
          <w:rFonts w:hint="cs"/>
          <w:rtl/>
        </w:rPr>
        <w:t xml:space="preserve">; </w:t>
      </w:r>
      <w:r w:rsidRPr="00784C6F">
        <w:rPr>
          <w:rtl/>
        </w:rPr>
        <w:t xml:space="preserve">וראו למשל: עניין </w:t>
      </w:r>
      <w:r w:rsidRPr="00784C6F">
        <w:rPr>
          <w:rFonts w:ascii="Century" w:hAnsi="Century" w:cs="Miriam"/>
          <w:b/>
          <w:spacing w:val="0"/>
          <w:sz w:val="22"/>
          <w:szCs w:val="24"/>
          <w:rtl/>
        </w:rPr>
        <w:t xml:space="preserve">פוזרסקי, </w:t>
      </w:r>
      <w:r w:rsidRPr="00784C6F">
        <w:rPr>
          <w:rFonts w:ascii="Century" w:hAnsi="Century"/>
          <w:sz w:val="22"/>
          <w:rtl/>
        </w:rPr>
        <w:t xml:space="preserve">פסקה </w:t>
      </w:r>
      <w:r w:rsidRPr="00784C6F">
        <w:rPr>
          <w:rtl/>
        </w:rPr>
        <w:t xml:space="preserve">25; עניין </w:t>
      </w:r>
      <w:r w:rsidRPr="00784C6F">
        <w:rPr>
          <w:rFonts w:ascii="Century" w:hAnsi="Century" w:cs="Miriam"/>
          <w:b/>
          <w:spacing w:val="0"/>
          <w:sz w:val="22"/>
          <w:szCs w:val="24"/>
          <w:rtl/>
        </w:rPr>
        <w:t>סמוילוב</w:t>
      </w:r>
      <w:r w:rsidRPr="00784C6F">
        <w:rPr>
          <w:rtl/>
        </w:rPr>
        <w:t xml:space="preserve">, בעמ' 124). </w:t>
      </w:r>
      <w:r w:rsidRPr="00784C6F">
        <w:rPr>
          <w:rFonts w:hint="cs"/>
          <w:rtl/>
        </w:rPr>
        <w:t xml:space="preserve">במובן זה, כאשר מדובר במי שהפכו למשפחה לפני עליית היהודי, אין שוני בין הצאצא לבין בן הזוג. </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lastRenderedPageBreak/>
        <w:t xml:space="preserve">כעולה מדבריה של השופטת </w:t>
      </w:r>
      <w:r w:rsidRPr="00784C6F">
        <w:rPr>
          <w:rFonts w:ascii="Century" w:hAnsi="Century" w:cs="Miriam"/>
          <w:b/>
          <w:spacing w:val="0"/>
          <w:sz w:val="22"/>
          <w:szCs w:val="24"/>
          <w:rtl/>
        </w:rPr>
        <w:t xml:space="preserve">ע' ארבל </w:t>
      </w:r>
      <w:r w:rsidRPr="00784C6F">
        <w:rPr>
          <w:rtl/>
        </w:rPr>
        <w:t xml:space="preserve">ומפסק הדין נושא הדיון הנוסף, </w:t>
      </w:r>
      <w:r w:rsidRPr="00784C6F">
        <w:rPr>
          <w:rFonts w:hint="cs"/>
          <w:rtl/>
        </w:rPr>
        <w:t xml:space="preserve">נימוק נוסף להבחנה בין בן הזוג לבין הצאצא </w:t>
      </w:r>
      <w:r w:rsidRPr="00784C6F">
        <w:rPr>
          <w:rtl/>
        </w:rPr>
        <w:t>מתבסס</w:t>
      </w:r>
      <w:r w:rsidRPr="00784C6F">
        <w:rPr>
          <w:rFonts w:hint="cs"/>
          <w:rtl/>
        </w:rPr>
        <w:t xml:space="preserve"> על</w:t>
      </w:r>
      <w:r w:rsidRPr="00784C6F">
        <w:rPr>
          <w:rtl/>
        </w:rPr>
        <w:t xml:space="preserve"> </w:t>
      </w:r>
      <w:r w:rsidRPr="00784C6F">
        <w:rPr>
          <w:rFonts w:hint="cs"/>
          <w:rtl/>
        </w:rPr>
        <w:t>כך</w:t>
      </w:r>
      <w:r w:rsidRPr="00784C6F">
        <w:rPr>
          <w:rtl/>
        </w:rPr>
        <w:t xml:space="preserve"> </w:t>
      </w:r>
      <w:r w:rsidRPr="00784C6F">
        <w:rPr>
          <w:rFonts w:hint="cs"/>
          <w:rtl/>
        </w:rPr>
        <w:t>ש</w:t>
      </w:r>
      <w:r w:rsidRPr="00784C6F">
        <w:rPr>
          <w:rtl/>
        </w:rPr>
        <w:t xml:space="preserve">קשר הזוגיות הוא קשר שניתן לניתוק ותלוי בקיומם של חיים משותפים, </w:t>
      </w:r>
      <w:r w:rsidRPr="00784C6F">
        <w:rPr>
          <w:rFonts w:hint="cs"/>
          <w:rtl/>
        </w:rPr>
        <w:t>בשונה מ</w:t>
      </w:r>
      <w:r w:rsidRPr="00784C6F">
        <w:rPr>
          <w:rtl/>
        </w:rPr>
        <w:t xml:space="preserve">קשר עם צאצאים. </w:t>
      </w:r>
      <w:r w:rsidRPr="00784C6F">
        <w:rPr>
          <w:rFonts w:hint="cs"/>
          <w:rtl/>
        </w:rPr>
        <w:t xml:space="preserve">ברם, </w:t>
      </w:r>
      <w:r w:rsidRPr="00784C6F">
        <w:rPr>
          <w:rtl/>
        </w:rPr>
        <w:t xml:space="preserve">איני סבור כי </w:t>
      </w:r>
      <w:r w:rsidRPr="00784C6F">
        <w:rPr>
          <w:rFonts w:hint="cs"/>
          <w:rtl/>
        </w:rPr>
        <w:t xml:space="preserve">אף </w:t>
      </w:r>
      <w:r w:rsidRPr="00784C6F">
        <w:rPr>
          <w:rtl/>
        </w:rPr>
        <w:t xml:space="preserve">בנימוק זה יש כדי לבסס </w:t>
      </w:r>
      <w:r w:rsidRPr="00784C6F">
        <w:rPr>
          <w:rFonts w:hint="cs"/>
          <w:rtl/>
        </w:rPr>
        <w:t>התייחסות שונה לבן הזוג</w:t>
      </w:r>
      <w:r w:rsidRPr="00784C6F">
        <w:rPr>
          <w:rtl/>
        </w:rPr>
        <w:t xml:space="preserve">. כאמור, בשורה של פסקי דין קבע בית משפט זה כי אמת המידה העקרונית לקביעת זכאותו של </w:t>
      </w:r>
      <w:r w:rsidRPr="00784C6F">
        <w:rPr>
          <w:rFonts w:hint="cs"/>
          <w:rtl/>
        </w:rPr>
        <w:t>בן</w:t>
      </w:r>
      <w:r w:rsidRPr="00784C6F">
        <w:rPr>
          <w:rtl/>
        </w:rPr>
        <w:t xml:space="preserve"> </w:t>
      </w:r>
      <w:r w:rsidRPr="00784C6F">
        <w:rPr>
          <w:rFonts w:hint="cs"/>
          <w:rtl/>
        </w:rPr>
        <w:t>ה</w:t>
      </w:r>
      <w:r w:rsidRPr="00784C6F">
        <w:rPr>
          <w:rtl/>
        </w:rPr>
        <w:t xml:space="preserve">משפחה היא קיומו של קשר משפחתי מהותי, שאינו פורמלי בלבד. קביעה זו הוחלה הן כאשר עסקינן בקשרי זוגיות, הן כאשר מדובר בקשרי הורות (ראו: עניין </w:t>
      </w:r>
      <w:r w:rsidRPr="00784C6F">
        <w:rPr>
          <w:rFonts w:ascii="Century" w:hAnsi="Century" w:cs="Miriam"/>
          <w:b/>
          <w:spacing w:val="0"/>
          <w:sz w:val="22"/>
          <w:szCs w:val="24"/>
          <w:rtl/>
        </w:rPr>
        <w:t>סמוילוב,</w:t>
      </w:r>
      <w:r w:rsidRPr="00784C6F">
        <w:rPr>
          <w:rtl/>
        </w:rPr>
        <w:t xml:space="preserve"> בעמ' 121). מטבע הדברים, המאפיינים העובדתיים של קשרי משפחה שונים נבדלים זה מזה: קשר זוגי מושתת על בחירה רצונית ומוסכמת לקיים חיים משותפים, כאשר </w:t>
      </w:r>
      <w:r w:rsidR="00FE043D">
        <w:rPr>
          <w:rFonts w:hint="cs"/>
          <w:rtl/>
        </w:rPr>
        <w:t>הקשר הזוגי יכול שיבוא</w:t>
      </w:r>
      <w:r w:rsidRPr="00784C6F">
        <w:rPr>
          <w:rtl/>
        </w:rPr>
        <w:t xml:space="preserve"> לס</w:t>
      </w:r>
      <w:r w:rsidRPr="00784C6F">
        <w:rPr>
          <w:rFonts w:hint="cs"/>
          <w:rtl/>
        </w:rPr>
        <w:t>יומו</w:t>
      </w:r>
      <w:r w:rsidRPr="00784C6F">
        <w:rPr>
          <w:rtl/>
        </w:rPr>
        <w:t xml:space="preserve">; לעומת זאת, ככלל, קשר </w:t>
      </w:r>
      <w:r w:rsidRPr="00784C6F">
        <w:rPr>
          <w:rFonts w:hint="cs"/>
          <w:rtl/>
        </w:rPr>
        <w:t>עם צאצא</w:t>
      </w:r>
      <w:r w:rsidRPr="00784C6F">
        <w:rPr>
          <w:rtl/>
        </w:rPr>
        <w:t xml:space="preserve"> מבטא עובדה מוגמרת </w:t>
      </w:r>
      <w:r w:rsidRPr="00784C6F">
        <w:rPr>
          <w:rFonts w:hint="cs"/>
          <w:rtl/>
        </w:rPr>
        <w:t>וקיומו אינו תלוי</w:t>
      </w:r>
      <w:r w:rsidRPr="00784C6F">
        <w:rPr>
          <w:rtl/>
        </w:rPr>
        <w:t xml:space="preserve"> בחיים משותפים</w:t>
      </w:r>
      <w:r w:rsidRPr="00784C6F">
        <w:rPr>
          <w:rFonts w:hint="cs"/>
          <w:rtl/>
        </w:rPr>
        <w:t>, בפרט כאשר מדובר בצאצאים בגירים</w:t>
      </w:r>
      <w:r w:rsidR="00FE043D">
        <w:rPr>
          <w:rtl/>
        </w:rPr>
        <w:t>. במובן זה,</w:t>
      </w:r>
      <w:r w:rsidR="00AF0620">
        <w:rPr>
          <w:rFonts w:hint="cs"/>
          <w:rtl/>
        </w:rPr>
        <w:t xml:space="preserve"> </w:t>
      </w:r>
      <w:r w:rsidRPr="00784C6F">
        <w:rPr>
          <w:rtl/>
        </w:rPr>
        <w:t xml:space="preserve">קשר עם צאצא </w:t>
      </w:r>
      <w:r w:rsidRPr="00784C6F">
        <w:rPr>
          <w:rFonts w:hint="cs"/>
          <w:rtl/>
        </w:rPr>
        <w:t xml:space="preserve">עשוי להיות </w:t>
      </w:r>
      <w:r w:rsidRPr="00784C6F">
        <w:rPr>
          <w:rtl/>
        </w:rPr>
        <w:t xml:space="preserve">"חזק" יותר מבחינה עובדתית </w:t>
      </w:r>
      <w:r w:rsidRPr="00784C6F">
        <w:rPr>
          <w:rFonts w:hint="cs"/>
          <w:rtl/>
        </w:rPr>
        <w:t xml:space="preserve">שכן הוא יתנתק לעיתים רחוקות יותר </w:t>
      </w:r>
      <w:r w:rsidRPr="00784C6F">
        <w:rPr>
          <w:rtl/>
        </w:rPr>
        <w:t>(</w:t>
      </w:r>
      <w:r w:rsidRPr="00784C6F">
        <w:rPr>
          <w:rFonts w:hint="eastAsia"/>
          <w:rtl/>
        </w:rPr>
        <w:t>יוער</w:t>
      </w:r>
      <w:r w:rsidRPr="00784C6F">
        <w:rPr>
          <w:rtl/>
        </w:rPr>
        <w:t xml:space="preserve"> </w:t>
      </w:r>
      <w:r w:rsidRPr="00784C6F">
        <w:rPr>
          <w:rFonts w:hint="eastAsia"/>
          <w:rtl/>
        </w:rPr>
        <w:t>כי</w:t>
      </w:r>
      <w:r w:rsidRPr="00784C6F">
        <w:rPr>
          <w:rtl/>
        </w:rPr>
        <w:t xml:space="preserve"> </w:t>
      </w:r>
      <w:r w:rsidRPr="00784C6F">
        <w:rPr>
          <w:rFonts w:hint="eastAsia"/>
          <w:rtl/>
        </w:rPr>
        <w:t>לעיתים</w:t>
      </w:r>
      <w:r w:rsidRPr="00784C6F">
        <w:rPr>
          <w:rtl/>
        </w:rPr>
        <w:t xml:space="preserve">, </w:t>
      </w:r>
      <w:r w:rsidRPr="00784C6F">
        <w:rPr>
          <w:rFonts w:hint="eastAsia"/>
          <w:rtl/>
        </w:rPr>
        <w:t>גם</w:t>
      </w:r>
      <w:r w:rsidRPr="00784C6F">
        <w:rPr>
          <w:rtl/>
        </w:rPr>
        <w:t xml:space="preserve"> </w:t>
      </w:r>
      <w:r w:rsidRPr="00784C6F">
        <w:rPr>
          <w:rFonts w:hint="eastAsia"/>
          <w:rtl/>
        </w:rPr>
        <w:t>קשר</w:t>
      </w:r>
      <w:r w:rsidRPr="00784C6F">
        <w:rPr>
          <w:rtl/>
        </w:rPr>
        <w:t xml:space="preserve"> </w:t>
      </w:r>
      <w:r w:rsidRPr="00784C6F">
        <w:rPr>
          <w:rFonts w:hint="eastAsia"/>
          <w:rtl/>
        </w:rPr>
        <w:t>בין</w:t>
      </w:r>
      <w:r w:rsidRPr="00784C6F">
        <w:rPr>
          <w:rtl/>
        </w:rPr>
        <w:t xml:space="preserve"> </w:t>
      </w:r>
      <w:r w:rsidRPr="00784C6F">
        <w:rPr>
          <w:rFonts w:hint="eastAsia"/>
          <w:rtl/>
        </w:rPr>
        <w:t>צאצא</w:t>
      </w:r>
      <w:r w:rsidRPr="00784C6F">
        <w:rPr>
          <w:rtl/>
        </w:rPr>
        <w:t xml:space="preserve"> </w:t>
      </w:r>
      <w:r w:rsidRPr="00784C6F">
        <w:rPr>
          <w:rFonts w:hint="eastAsia"/>
          <w:rtl/>
        </w:rPr>
        <w:t>לבין</w:t>
      </w:r>
      <w:r w:rsidRPr="00784C6F">
        <w:rPr>
          <w:rtl/>
        </w:rPr>
        <w:t xml:space="preserve"> </w:t>
      </w:r>
      <w:r w:rsidRPr="00784C6F">
        <w:rPr>
          <w:rFonts w:hint="eastAsia"/>
          <w:rtl/>
        </w:rPr>
        <w:t>הורה</w:t>
      </w:r>
      <w:r w:rsidRPr="00784C6F">
        <w:rPr>
          <w:rtl/>
        </w:rPr>
        <w:t xml:space="preserve"> </w:t>
      </w:r>
      <w:r w:rsidRPr="00784C6F">
        <w:rPr>
          <w:rFonts w:hint="eastAsia"/>
          <w:rtl/>
        </w:rPr>
        <w:t>יכול</w:t>
      </w:r>
      <w:r w:rsidRPr="00784C6F">
        <w:rPr>
          <w:rtl/>
        </w:rPr>
        <w:t xml:space="preserve"> </w:t>
      </w:r>
      <w:r w:rsidRPr="00784C6F">
        <w:rPr>
          <w:rFonts w:hint="eastAsia"/>
          <w:rtl/>
        </w:rPr>
        <w:t>להינתק</w:t>
      </w:r>
      <w:r w:rsidRPr="00784C6F">
        <w:rPr>
          <w:rtl/>
        </w:rPr>
        <w:t xml:space="preserve">; </w:t>
      </w:r>
      <w:r w:rsidRPr="00784C6F">
        <w:rPr>
          <w:rFonts w:hint="eastAsia"/>
          <w:rtl/>
        </w:rPr>
        <w:t>כך</w:t>
      </w:r>
      <w:r w:rsidRPr="00784C6F">
        <w:rPr>
          <w:rtl/>
        </w:rPr>
        <w:t xml:space="preserve"> </w:t>
      </w:r>
      <w:r w:rsidRPr="00784C6F">
        <w:rPr>
          <w:rFonts w:hint="eastAsia"/>
          <w:rtl/>
        </w:rPr>
        <w:t>כאשר</w:t>
      </w:r>
      <w:r w:rsidRPr="00784C6F">
        <w:rPr>
          <w:rtl/>
        </w:rPr>
        <w:t xml:space="preserve"> </w:t>
      </w:r>
      <w:r w:rsidRPr="00784C6F">
        <w:rPr>
          <w:rFonts w:hint="eastAsia"/>
          <w:rtl/>
        </w:rPr>
        <w:t>הוגשה</w:t>
      </w:r>
      <w:r w:rsidRPr="00784C6F">
        <w:rPr>
          <w:rtl/>
        </w:rPr>
        <w:t xml:space="preserve"> </w:t>
      </w:r>
      <w:r w:rsidRPr="00784C6F">
        <w:rPr>
          <w:rFonts w:hint="eastAsia"/>
          <w:rtl/>
        </w:rPr>
        <w:t>בקשה</w:t>
      </w:r>
      <w:r w:rsidRPr="00784C6F">
        <w:rPr>
          <w:rtl/>
        </w:rPr>
        <w:t xml:space="preserve"> </w:t>
      </w:r>
      <w:r w:rsidRPr="00784C6F">
        <w:rPr>
          <w:rFonts w:hint="eastAsia"/>
          <w:rtl/>
        </w:rPr>
        <w:t>לביטול</w:t>
      </w:r>
      <w:r w:rsidRPr="00784C6F">
        <w:rPr>
          <w:rtl/>
        </w:rPr>
        <w:t xml:space="preserve"> </w:t>
      </w:r>
      <w:r w:rsidRPr="00784C6F">
        <w:rPr>
          <w:rFonts w:hint="eastAsia"/>
          <w:rtl/>
        </w:rPr>
        <w:t>אימוץ</w:t>
      </w:r>
      <w:r w:rsidRPr="00784C6F">
        <w:rPr>
          <w:rtl/>
        </w:rPr>
        <w:t xml:space="preserve"> </w:t>
      </w:r>
      <w:r w:rsidRPr="00784C6F">
        <w:rPr>
          <w:rFonts w:hint="eastAsia"/>
          <w:rtl/>
        </w:rPr>
        <w:t>הקשר</w:t>
      </w:r>
      <w:r w:rsidRPr="00784C6F">
        <w:rPr>
          <w:rtl/>
        </w:rPr>
        <w:t xml:space="preserve"> </w:t>
      </w:r>
      <w:r w:rsidRPr="00784C6F">
        <w:rPr>
          <w:rFonts w:hint="eastAsia"/>
          <w:rtl/>
        </w:rPr>
        <w:t>לא</w:t>
      </w:r>
      <w:r w:rsidRPr="00784C6F">
        <w:rPr>
          <w:rtl/>
        </w:rPr>
        <w:t xml:space="preserve"> </w:t>
      </w:r>
      <w:r w:rsidRPr="00784C6F">
        <w:rPr>
          <w:rFonts w:hint="eastAsia"/>
          <w:rtl/>
        </w:rPr>
        <w:t>יקנה</w:t>
      </w:r>
      <w:r w:rsidRPr="00784C6F">
        <w:rPr>
          <w:rtl/>
        </w:rPr>
        <w:t xml:space="preserve"> </w:t>
      </w:r>
      <w:r w:rsidRPr="00784C6F">
        <w:rPr>
          <w:rFonts w:hint="eastAsia"/>
          <w:rtl/>
        </w:rPr>
        <w:t>לצאצא</w:t>
      </w:r>
      <w:r w:rsidRPr="00784C6F">
        <w:rPr>
          <w:rtl/>
        </w:rPr>
        <w:t xml:space="preserve"> </w:t>
      </w:r>
      <w:r w:rsidRPr="00784C6F">
        <w:rPr>
          <w:rFonts w:hint="eastAsia"/>
          <w:rtl/>
        </w:rPr>
        <w:t>זכאות</w:t>
      </w:r>
      <w:r w:rsidRPr="00784C6F">
        <w:rPr>
          <w:rtl/>
        </w:rPr>
        <w:t xml:space="preserve"> </w:t>
      </w:r>
      <w:r w:rsidRPr="00784C6F">
        <w:rPr>
          <w:rFonts w:hint="eastAsia"/>
          <w:rtl/>
        </w:rPr>
        <w:t>לפי</w:t>
      </w:r>
      <w:r w:rsidRPr="00784C6F">
        <w:rPr>
          <w:rtl/>
        </w:rPr>
        <w:t xml:space="preserve"> </w:t>
      </w:r>
      <w:r w:rsidRPr="00784C6F">
        <w:rPr>
          <w:rFonts w:hint="eastAsia"/>
          <w:rtl/>
        </w:rPr>
        <w:t>החוק</w:t>
      </w:r>
      <w:r w:rsidRPr="00784C6F">
        <w:rPr>
          <w:rtl/>
        </w:rPr>
        <w:t xml:space="preserve"> (</w:t>
      </w:r>
      <w:r w:rsidRPr="00784C6F">
        <w:rPr>
          <w:rFonts w:hint="eastAsia"/>
          <w:rtl/>
        </w:rPr>
        <w:t>וראו</w:t>
      </w:r>
      <w:r w:rsidRPr="00784C6F">
        <w:rPr>
          <w:rtl/>
        </w:rPr>
        <w:t xml:space="preserve">: </w:t>
      </w:r>
      <w:r w:rsidRPr="00784C6F">
        <w:rPr>
          <w:rFonts w:hint="eastAsia"/>
          <w:rtl/>
        </w:rPr>
        <w:t>עניין</w:t>
      </w:r>
      <w:r w:rsidRPr="00784C6F">
        <w:rPr>
          <w:rtl/>
        </w:rPr>
        <w:t xml:space="preserve"> </w:t>
      </w:r>
      <w:r w:rsidRPr="00784C6F">
        <w:rPr>
          <w:rFonts w:ascii="Century" w:hAnsi="Century" w:cs="Miriam" w:hint="eastAsia"/>
          <w:b/>
          <w:spacing w:val="0"/>
          <w:sz w:val="22"/>
          <w:szCs w:val="24"/>
          <w:rtl/>
        </w:rPr>
        <w:t>סמיולוב</w:t>
      </w:r>
      <w:r w:rsidRPr="00784C6F">
        <w:rPr>
          <w:rFonts w:hint="cs"/>
          <w:rtl/>
        </w:rPr>
        <w:t xml:space="preserve">)). </w:t>
      </w:r>
      <w:r w:rsidRPr="00784C6F">
        <w:rPr>
          <w:rFonts w:hint="eastAsia"/>
          <w:rtl/>
        </w:rPr>
        <w:t>ואולם</w:t>
      </w:r>
      <w:r w:rsidRPr="00784C6F">
        <w:rPr>
          <w:rtl/>
        </w:rPr>
        <w:t xml:space="preserve">, </w:t>
      </w:r>
      <w:r w:rsidRPr="00784C6F">
        <w:rPr>
          <w:rFonts w:hint="eastAsia"/>
          <w:rtl/>
        </w:rPr>
        <w:t>משעה</w:t>
      </w:r>
      <w:r w:rsidRPr="00784C6F">
        <w:rPr>
          <w:rtl/>
        </w:rPr>
        <w:t xml:space="preserve"> </w:t>
      </w:r>
      <w:r w:rsidRPr="00784C6F">
        <w:rPr>
          <w:rFonts w:hint="eastAsia"/>
          <w:rtl/>
        </w:rPr>
        <w:t>שהגענו</w:t>
      </w:r>
      <w:r w:rsidRPr="00784C6F">
        <w:rPr>
          <w:rtl/>
        </w:rPr>
        <w:t xml:space="preserve"> </w:t>
      </w:r>
      <w:r w:rsidRPr="00784C6F">
        <w:rPr>
          <w:rFonts w:hint="eastAsia"/>
          <w:rtl/>
        </w:rPr>
        <w:t>למסקנה</w:t>
      </w:r>
      <w:r w:rsidRPr="00784C6F">
        <w:rPr>
          <w:rtl/>
        </w:rPr>
        <w:t xml:space="preserve"> </w:t>
      </w:r>
      <w:r w:rsidRPr="00784C6F">
        <w:rPr>
          <w:rFonts w:hint="eastAsia"/>
          <w:rtl/>
        </w:rPr>
        <w:t>העובדתית</w:t>
      </w:r>
      <w:r w:rsidRPr="00784C6F">
        <w:rPr>
          <w:rtl/>
        </w:rPr>
        <w:t xml:space="preserve"> </w:t>
      </w:r>
      <w:r w:rsidRPr="00784C6F">
        <w:rPr>
          <w:rFonts w:hint="eastAsia"/>
          <w:rtl/>
        </w:rPr>
        <w:t>כי</w:t>
      </w:r>
      <w:r w:rsidRPr="00784C6F">
        <w:rPr>
          <w:rtl/>
        </w:rPr>
        <w:t xml:space="preserve"> </w:t>
      </w:r>
      <w:r w:rsidRPr="00784C6F">
        <w:rPr>
          <w:rFonts w:hint="eastAsia"/>
          <w:rtl/>
        </w:rPr>
        <w:t>הקשרים</w:t>
      </w:r>
      <w:r w:rsidRPr="00784C6F">
        <w:rPr>
          <w:rtl/>
        </w:rPr>
        <w:t xml:space="preserve"> </w:t>
      </w:r>
      <w:r w:rsidRPr="00784C6F">
        <w:rPr>
          <w:rFonts w:hint="eastAsia"/>
          <w:rtl/>
        </w:rPr>
        <w:t>המשפחתיים</w:t>
      </w:r>
      <w:r w:rsidRPr="00784C6F">
        <w:rPr>
          <w:rtl/>
        </w:rPr>
        <w:t xml:space="preserve"> </w:t>
      </w:r>
      <w:r w:rsidRPr="00784C6F">
        <w:rPr>
          <w:rFonts w:hint="eastAsia"/>
          <w:rtl/>
        </w:rPr>
        <w:t>המהותיים</w:t>
      </w:r>
      <w:r w:rsidRPr="00784C6F">
        <w:rPr>
          <w:rtl/>
        </w:rPr>
        <w:t xml:space="preserve"> </w:t>
      </w:r>
      <w:r w:rsidRPr="00784C6F">
        <w:rPr>
          <w:rFonts w:hint="eastAsia"/>
          <w:rtl/>
        </w:rPr>
        <w:t>מתקיימים</w:t>
      </w:r>
      <w:r w:rsidRPr="00784C6F">
        <w:rPr>
          <w:rtl/>
        </w:rPr>
        <w:t xml:space="preserve">, איני סבור כי יש בשוני העובדתי האמור כדי להוליך למסקנה כי מבחינה </w:t>
      </w:r>
      <w:r w:rsidRPr="00784C6F">
        <w:rPr>
          <w:rFonts w:ascii="Century" w:hAnsi="Century" w:cs="Miriam" w:hint="eastAsia"/>
          <w:b/>
          <w:spacing w:val="0"/>
          <w:sz w:val="22"/>
          <w:szCs w:val="24"/>
          <w:rtl/>
        </w:rPr>
        <w:t>נורמטיבית</w:t>
      </w:r>
      <w:r w:rsidRPr="00784C6F">
        <w:rPr>
          <w:rFonts w:ascii="Century" w:hAnsi="Century" w:cs="Miriam"/>
          <w:b/>
          <w:spacing w:val="0"/>
          <w:sz w:val="22"/>
          <w:rtl/>
        </w:rPr>
        <w:t xml:space="preserve"> </w:t>
      </w:r>
      <w:r w:rsidRPr="00784C6F">
        <w:rPr>
          <w:rFonts w:hint="cs"/>
          <w:rtl/>
        </w:rPr>
        <w:t xml:space="preserve">הזכויות שנובעות מקשרים אלה שונות בטיבן. </w:t>
      </w:r>
      <w:r w:rsidRPr="00784C6F">
        <w:rPr>
          <w:rtl/>
        </w:rPr>
        <w:t>אף איני סבור כי יש מקום לקבוע כי די בבחינת מקור הזכות – קרי, אם מדובר ב</w:t>
      </w:r>
      <w:r w:rsidRPr="00784C6F">
        <w:rPr>
          <w:rFonts w:hint="cs"/>
          <w:rtl/>
        </w:rPr>
        <w:t>"</w:t>
      </w:r>
      <w:r w:rsidRPr="00784C6F">
        <w:rPr>
          <w:rtl/>
        </w:rPr>
        <w:t>קשר דם</w:t>
      </w:r>
      <w:r w:rsidRPr="00784C6F">
        <w:rPr>
          <w:rFonts w:hint="cs"/>
          <w:rtl/>
        </w:rPr>
        <w:t>"</w:t>
      </w:r>
      <w:r w:rsidRPr="00784C6F">
        <w:rPr>
          <w:rtl/>
        </w:rPr>
        <w:t xml:space="preserve"> שמעניק את הזכות או בקשר שמקור</w:t>
      </w:r>
      <w:r w:rsidRPr="00784C6F">
        <w:rPr>
          <w:rFonts w:hint="cs"/>
          <w:rtl/>
        </w:rPr>
        <w:t>ו</w:t>
      </w:r>
      <w:r w:rsidRPr="00784C6F">
        <w:rPr>
          <w:rtl/>
        </w:rPr>
        <w:t xml:space="preserve"> בחיתון</w:t>
      </w:r>
      <w:r w:rsidRPr="00784C6F">
        <w:rPr>
          <w:rFonts w:hint="cs"/>
          <w:rtl/>
        </w:rPr>
        <w:t xml:space="preserve"> </w:t>
      </w:r>
      <w:r w:rsidRPr="00784C6F">
        <w:rPr>
          <w:rtl/>
        </w:rPr>
        <w:t xml:space="preserve">– כדי להכריע הכרעה עקרונית לעניין </w:t>
      </w:r>
      <w:r w:rsidRPr="00784C6F">
        <w:rPr>
          <w:rFonts w:hint="cs"/>
          <w:rtl/>
        </w:rPr>
        <w:t xml:space="preserve">מעמדה הנורמטיבי של </w:t>
      </w:r>
      <w:r w:rsidRPr="00784C6F">
        <w:rPr>
          <w:rtl/>
        </w:rPr>
        <w:t>הזכות שמוענקת ל</w:t>
      </w:r>
      <w:r w:rsidRPr="00784C6F">
        <w:rPr>
          <w:rFonts w:hint="cs"/>
          <w:rtl/>
        </w:rPr>
        <w:t xml:space="preserve">בני </w:t>
      </w:r>
      <w:r w:rsidRPr="00784C6F">
        <w:rPr>
          <w:rtl/>
        </w:rPr>
        <w:t xml:space="preserve">המשפחה. לשיטתי, על מנת להכריע בשאלה זו, יש לבחון את האופן שבו קשרים אלה מגשימים את המטרות אשר עומדות ביסוד מתן הזכאות לקרובי המשפחה – קרי, התכליות האובייקטיבית עליהן </w:t>
      </w:r>
      <w:r w:rsidRPr="00784C6F">
        <w:rPr>
          <w:rFonts w:hint="cs"/>
          <w:rtl/>
        </w:rPr>
        <w:t>עמדתי</w:t>
      </w:r>
      <w:r w:rsidRPr="00784C6F">
        <w:rPr>
          <w:rtl/>
        </w:rPr>
        <w:t xml:space="preserve"> לעיל.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Fonts w:hint="cs"/>
          <w:rtl/>
        </w:rPr>
        <w:t xml:space="preserve">בחינת תכליות החוק מעלה כי לא ניתן להצביע על שוני בין בן זוג לבין הצאצא אשר יש בו להצדיק הבחנה קטגורית בין השניים </w:t>
      </w:r>
      <w:r w:rsidRPr="00784C6F">
        <w:rPr>
          <w:rtl/>
        </w:rPr>
        <w:t>–</w:t>
      </w:r>
      <w:r w:rsidRPr="00784C6F">
        <w:rPr>
          <w:rFonts w:hint="cs"/>
          <w:rtl/>
        </w:rPr>
        <w:t xml:space="preserve"> </w:t>
      </w:r>
      <w:r w:rsidRPr="00784C6F">
        <w:rPr>
          <w:rtl/>
        </w:rPr>
        <w:t>באופן שמבכר את זכותו של הצאצא על פני זכותו של בן הזוג</w:t>
      </w:r>
      <w:r w:rsidRPr="00784C6F">
        <w:rPr>
          <w:rFonts w:hint="cs"/>
          <w:rtl/>
        </w:rPr>
        <w:t xml:space="preserve">. באופן עקרוני, תכליות החוק מתקיימות בשתי הקטגוריות, ואולם עוצמת הגשמתן עשויה להשתנות </w:t>
      </w:r>
      <w:r w:rsidRPr="00784C6F">
        <w:rPr>
          <w:rtl/>
        </w:rPr>
        <w:t>בהתאם ל</w:t>
      </w:r>
      <w:r w:rsidRPr="00784C6F">
        <w:rPr>
          <w:rFonts w:hint="cs"/>
          <w:rtl/>
        </w:rPr>
        <w:t xml:space="preserve">זהותו </w:t>
      </w:r>
      <w:r w:rsidRPr="00784C6F">
        <w:rPr>
          <w:rtl/>
        </w:rPr>
        <w:t>הפרטיקולרי</w:t>
      </w:r>
      <w:r w:rsidRPr="00784C6F">
        <w:rPr>
          <w:rFonts w:hint="cs"/>
          <w:rtl/>
        </w:rPr>
        <w:t>ת</w:t>
      </w:r>
      <w:r w:rsidRPr="00784C6F">
        <w:rPr>
          <w:rtl/>
        </w:rPr>
        <w:t xml:space="preserve"> של </w:t>
      </w:r>
      <w:r w:rsidRPr="00784C6F">
        <w:rPr>
          <w:rFonts w:hint="cs"/>
          <w:rtl/>
        </w:rPr>
        <w:t>בן</w:t>
      </w:r>
      <w:r w:rsidRPr="00784C6F">
        <w:rPr>
          <w:rtl/>
        </w:rPr>
        <w:t xml:space="preserve"> המשפחה</w:t>
      </w:r>
      <w:r w:rsidRPr="00784C6F">
        <w:rPr>
          <w:rFonts w:hint="cs"/>
          <w:rtl/>
        </w:rPr>
        <w:t xml:space="preserve"> בתוך מארג הקשרים המשפחתיים</w:t>
      </w:r>
      <w:r w:rsidRPr="00784C6F">
        <w:rPr>
          <w:rtl/>
        </w:rPr>
        <w:t>. כך למשל, בת זוגו של היהודי – אשר מעצם טיבו הקשר ביניהם כולל חיים משותפים – עשויה להגשים במידה רבה יותר את התכלית שעניינה עידוד יהודי לעלות לישראל בהשוואה לנכדו,</w:t>
      </w:r>
      <w:r w:rsidRPr="00784C6F">
        <w:rPr>
          <w:rFonts w:hint="cs"/>
          <w:rtl/>
        </w:rPr>
        <w:t xml:space="preserve"> שכן</w:t>
      </w:r>
      <w:r w:rsidRPr="00784C6F">
        <w:rPr>
          <w:rtl/>
        </w:rPr>
        <w:t xml:space="preserve"> </w:t>
      </w:r>
      <w:r w:rsidRPr="00784C6F">
        <w:rPr>
          <w:rFonts w:hint="cs"/>
          <w:rtl/>
        </w:rPr>
        <w:t xml:space="preserve">קשר זה </w:t>
      </w:r>
      <w:r w:rsidRPr="00784C6F">
        <w:rPr>
          <w:rtl/>
        </w:rPr>
        <w:t xml:space="preserve">אינו </w:t>
      </w:r>
      <w:r w:rsidRPr="00784C6F">
        <w:rPr>
          <w:rFonts w:hint="cs"/>
          <w:rtl/>
        </w:rPr>
        <w:t>מתאפיין ככלל בחיים משותפים</w:t>
      </w:r>
      <w:r w:rsidRPr="00784C6F">
        <w:rPr>
          <w:rtl/>
        </w:rPr>
        <w:t>. בהתאם לכך, איני רואה מקום לקבוע הבחנה קטגורית בין מעמדו של בן הזוג לבין מעמדו של הצאצא. סבורני, שככל שמתעוררות שאלות</w:t>
      </w:r>
      <w:r w:rsidRPr="00784C6F">
        <w:rPr>
          <w:rFonts w:hint="cs"/>
          <w:rtl/>
        </w:rPr>
        <w:t xml:space="preserve"> פרשניות</w:t>
      </w:r>
      <w:r w:rsidRPr="00784C6F">
        <w:rPr>
          <w:rtl/>
        </w:rPr>
        <w:t xml:space="preserve"> בהקשר לתחולתו של סעיף 4א(א), יש להכריע בהן בזהירות, בשים לב ליישומן של תכליות הסעיף בנסיבות העניין. </w:t>
      </w:r>
    </w:p>
    <w:p w:rsidR="00E1330B" w:rsidRPr="00784C6F" w:rsidRDefault="00E1330B" w:rsidP="00E1330B">
      <w:pPr>
        <w:pStyle w:val="Ruller4"/>
        <w:numPr>
          <w:ilvl w:val="0"/>
          <w:numId w:val="0"/>
        </w:numPr>
      </w:pPr>
    </w:p>
    <w:p w:rsidR="00E1330B" w:rsidRPr="00784C6F" w:rsidRDefault="00E1330B" w:rsidP="00E1330B">
      <w:pPr>
        <w:pStyle w:val="Ruller41"/>
        <w:rPr>
          <w:rtl/>
        </w:rPr>
      </w:pPr>
      <w:r w:rsidRPr="00784C6F">
        <w:rPr>
          <w:rtl/>
        </w:rPr>
        <w:tab/>
        <w:t xml:space="preserve">לסיכום חלק זה, לשיטתי, </w:t>
      </w:r>
      <w:r w:rsidRPr="00784C6F">
        <w:rPr>
          <w:rFonts w:hint="cs"/>
          <w:rtl/>
        </w:rPr>
        <w:t xml:space="preserve">נקודת המוצא היא שככלל, זכויותיהם של בני המשפחה הן זכויות שוות, וזאת כעולה מלשון החוק ומההיסטוריה החקיקתית אשר אין בה אחיזה להבחנה בין קטגוריות הזכאים האמורות. כפי שהובהר לעיל, להבחנה גורפת כאמור אף אין יסוד בבחינת תכליות החוק. לצד זאת, אין בכך כדי לשלול הבחנה בין מעמדם של בני המשפחה בהתקיים מקרה מתאים, ככל שהדבר יעלה בקנה אחד עם תכליות </w:t>
      </w:r>
      <w:r w:rsidRPr="00784C6F">
        <w:rPr>
          <w:rtl/>
        </w:rPr>
        <w:t>החוק</w:t>
      </w:r>
      <w:r w:rsidRPr="00784C6F">
        <w:rPr>
          <w:rFonts w:hint="cs"/>
          <w:rtl/>
        </w:rPr>
        <w:t>. אפנה כעת</w:t>
      </w:r>
      <w:r w:rsidRPr="00784C6F">
        <w:rPr>
          <w:rtl/>
        </w:rPr>
        <w:t xml:space="preserve"> </w:t>
      </w:r>
      <w:r w:rsidRPr="00784C6F">
        <w:rPr>
          <w:rFonts w:hint="cs"/>
          <w:rtl/>
        </w:rPr>
        <w:t xml:space="preserve">לבחינת </w:t>
      </w:r>
      <w:r w:rsidRPr="00784C6F">
        <w:rPr>
          <w:rtl/>
        </w:rPr>
        <w:t xml:space="preserve">יישומן של </w:t>
      </w:r>
      <w:r w:rsidRPr="00784C6F">
        <w:rPr>
          <w:rFonts w:hint="cs"/>
          <w:rtl/>
        </w:rPr>
        <w:t>תכליות אלה</w:t>
      </w:r>
      <w:r w:rsidRPr="00784C6F">
        <w:rPr>
          <w:rtl/>
        </w:rPr>
        <w:t xml:space="preserve"> בנסיבות העניין שלפנינו.</w:t>
      </w:r>
    </w:p>
    <w:p w:rsidR="00E1330B" w:rsidRPr="00784C6F" w:rsidRDefault="00E1330B" w:rsidP="00E1330B">
      <w:pPr>
        <w:pStyle w:val="Ruller41"/>
        <w:rPr>
          <w:rtl/>
        </w:rPr>
      </w:pPr>
    </w:p>
    <w:p w:rsidR="00E1330B" w:rsidRPr="00784C6F" w:rsidRDefault="00E1330B" w:rsidP="00E1330B">
      <w:pPr>
        <w:pStyle w:val="1"/>
        <w:rPr>
          <w:rtl/>
        </w:rPr>
      </w:pPr>
      <w:r w:rsidRPr="00784C6F">
        <w:rPr>
          <w:rtl/>
        </w:rPr>
        <w:t>יישום התכלית האובייקטיבית</w:t>
      </w:r>
    </w:p>
    <w:p w:rsidR="00E1330B" w:rsidRPr="00784C6F" w:rsidRDefault="00E1330B" w:rsidP="00E1330B"/>
    <w:p w:rsidR="00E1330B" w:rsidRPr="00784C6F" w:rsidRDefault="00E1330B" w:rsidP="00650241">
      <w:pPr>
        <w:pStyle w:val="Ruller4"/>
        <w:numPr>
          <w:ilvl w:val="0"/>
          <w:numId w:val="13"/>
        </w:numPr>
      </w:pPr>
      <w:r w:rsidRPr="00784C6F">
        <w:rPr>
          <w:rtl/>
        </w:rPr>
        <w:t xml:space="preserve">אשר ליישום התכלית שעניינה </w:t>
      </w:r>
      <w:r w:rsidR="00650241">
        <w:rPr>
          <w:rFonts w:hint="cs"/>
          <w:rtl/>
        </w:rPr>
        <w:t>שמירה על אחדות המשפחה</w:t>
      </w:r>
      <w:r w:rsidRPr="00784C6F">
        <w:rPr>
          <w:rtl/>
        </w:rPr>
        <w:t xml:space="preserve"> וקיום חיי משפחה משותפים, </w:t>
      </w:r>
      <w:r w:rsidRPr="00784C6F">
        <w:rPr>
          <w:rFonts w:hint="cs"/>
          <w:rtl/>
        </w:rPr>
        <w:t>דומני</w:t>
      </w:r>
      <w:r w:rsidRPr="00784C6F">
        <w:rPr>
          <w:rtl/>
        </w:rPr>
        <w:t xml:space="preserve"> כי פרשנות המשיבים מיטיבה להגשימה. בת זוגו של זכאי השבות מנויה בגדרו של התא המשפחתי הקבוע בסעיף 4א(א). התפיסה ביסוד הכללתה בקרב </w:t>
      </w:r>
      <w:r w:rsidRPr="00784C6F">
        <w:rPr>
          <w:rFonts w:hint="cs"/>
          <w:rtl/>
        </w:rPr>
        <w:t xml:space="preserve">מעגל </w:t>
      </w:r>
      <w:r w:rsidRPr="00784C6F">
        <w:rPr>
          <w:rtl/>
        </w:rPr>
        <w:t>הזכאים היא שבני הזוג קשרו את גורלם</w:t>
      </w:r>
      <w:r w:rsidRPr="00784C6F">
        <w:rPr>
          <w:rFonts w:hint="cs"/>
          <w:rtl/>
        </w:rPr>
        <w:t xml:space="preserve"> זה לזה</w:t>
      </w:r>
      <w:r w:rsidRPr="00784C6F">
        <w:rPr>
          <w:rtl/>
        </w:rPr>
        <w:t>, בחירה הכורכת בתוכה גם היט</w:t>
      </w:r>
      <w:r w:rsidRPr="00784C6F">
        <w:rPr>
          <w:rFonts w:hint="cs"/>
          <w:rtl/>
        </w:rPr>
        <w:t>מע</w:t>
      </w:r>
      <w:r w:rsidRPr="00784C6F">
        <w:rPr>
          <w:rtl/>
        </w:rPr>
        <w:t>ות זה במשפחתו של זה והפיכה למשפחה אחת. אכן, הקשר המכונן את זיקתה של בת הזוג ל</w:t>
      </w:r>
      <w:r w:rsidRPr="00784C6F">
        <w:rPr>
          <w:rFonts w:hint="cs"/>
          <w:rtl/>
        </w:rPr>
        <w:t>תא ה</w:t>
      </w:r>
      <w:r w:rsidRPr="00784C6F">
        <w:rPr>
          <w:rtl/>
        </w:rPr>
        <w:t>משפח</w:t>
      </w:r>
      <w:r w:rsidRPr="00784C6F">
        <w:rPr>
          <w:rFonts w:hint="cs"/>
          <w:rtl/>
        </w:rPr>
        <w:t>תי</w:t>
      </w:r>
      <w:r w:rsidRPr="00784C6F">
        <w:rPr>
          <w:rtl/>
        </w:rPr>
        <w:t xml:space="preserve"> הוא </w:t>
      </w:r>
      <w:r w:rsidRPr="00784C6F">
        <w:rPr>
          <w:rFonts w:hint="cs"/>
          <w:rtl/>
        </w:rPr>
        <w:t>ה</w:t>
      </w:r>
      <w:r w:rsidRPr="00784C6F">
        <w:rPr>
          <w:rtl/>
        </w:rPr>
        <w:t>קשר בינה לבין בן זוגה; כאשר קשר זה ניתק, זכאותה תישלל ממנה. כך, במקרה שבו בני הזוג החליטו לה</w:t>
      </w:r>
      <w:r w:rsidRPr="00784C6F">
        <w:rPr>
          <w:rFonts w:hint="cs"/>
          <w:rtl/>
        </w:rPr>
        <w:t>יפרד;</w:t>
      </w:r>
      <w:r w:rsidRPr="00784C6F">
        <w:rPr>
          <w:rtl/>
        </w:rPr>
        <w:t xml:space="preserve"> התפיסה היא שבמעשה הפרידה בת הזוג הוציאה את עצמה מהתא המשפחתי והיא אינה זכאית עוד לפי החוק. האם עצם פטירתו של זכאי השבות מנתקת את </w:t>
      </w:r>
      <w:r w:rsidRPr="00784C6F">
        <w:rPr>
          <w:rFonts w:hint="cs"/>
          <w:rtl/>
        </w:rPr>
        <w:t>הקשר באופן שמוציא את האלמנה מהתא המשפחתי</w:t>
      </w:r>
      <w:r w:rsidRPr="00784C6F">
        <w:rPr>
          <w:rtl/>
        </w:rPr>
        <w:t>? סבורני כי התשובה לכך היא שלילית</w:t>
      </w:r>
      <w:r w:rsidRPr="00F67EC0">
        <w:rPr>
          <w:rFonts w:ascii="Century" w:hAnsi="Century"/>
          <w:sz w:val="22"/>
          <w:rtl/>
        </w:rPr>
        <w:t xml:space="preserve">. </w:t>
      </w:r>
      <w:r w:rsidRPr="00784C6F">
        <w:rPr>
          <w:rFonts w:hint="cs"/>
          <w:rtl/>
        </w:rPr>
        <w:t xml:space="preserve">לשיטתי, קיים שוני ניכר בין מצב דברים שבו בני הזוג החליטו במודע לנתק את הקשר הזוגי ביניהם </w:t>
      </w:r>
      <w:r w:rsidRPr="00784C6F">
        <w:rPr>
          <w:rtl/>
        </w:rPr>
        <w:t>–</w:t>
      </w:r>
      <w:r w:rsidRPr="00784C6F">
        <w:rPr>
          <w:rFonts w:hint="cs"/>
          <w:rtl/>
        </w:rPr>
        <w:t xml:space="preserve"> בחירה המגלמת בתוכה גם רצון לפצל את התא המשפחתי לשתי מערכות משפחתיות נפרדות </w:t>
      </w:r>
      <w:r w:rsidRPr="00784C6F">
        <w:rPr>
          <w:rtl/>
        </w:rPr>
        <w:t>–</w:t>
      </w:r>
      <w:r w:rsidRPr="00784C6F">
        <w:rPr>
          <w:rFonts w:hint="cs"/>
          <w:rtl/>
        </w:rPr>
        <w:t xml:space="preserve"> לבין מצב דברים שבו אחד מבני הזוג נפטר, והפירוד נכפה על בני הזוג. פטירתו של אחד מבני הזוג אינה משפיעה בהכרח על המחויבות שחש האלמן כלפי התא המשפחתי המשותף שיצרו בני הזוג לאורך שנים ארוכות של חייהם יחד, ובהתאם אף אין בה כשלעצמה לשלול את השתייכותו לתא המשפחתי האמור. לשיטתי, מסקנה זו נתמכת גם בהסדר הקבוע בחוק ביחס לאלמנת היהודי. </w:t>
      </w:r>
      <w:r w:rsidRPr="00784C6F">
        <w:rPr>
          <w:rtl/>
        </w:rPr>
        <w:t xml:space="preserve">כמו בת הזוג של זכאי השבות, גם זכאותה של בת זוגו של היהודי תלויה בקיומו </w:t>
      </w:r>
      <w:r w:rsidRPr="00784C6F">
        <w:rPr>
          <w:rFonts w:hint="cs"/>
          <w:rtl/>
        </w:rPr>
        <w:t>של קשר</w:t>
      </w:r>
      <w:r w:rsidRPr="00784C6F">
        <w:rPr>
          <w:rtl/>
        </w:rPr>
        <w:t xml:space="preserve"> בינה לבין בן זוגה</w:t>
      </w:r>
      <w:r w:rsidRPr="00784C6F">
        <w:rPr>
          <w:rFonts w:hint="cs"/>
          <w:rtl/>
        </w:rPr>
        <w:t>,</w:t>
      </w:r>
      <w:r w:rsidRPr="00784C6F">
        <w:rPr>
          <w:rtl/>
        </w:rPr>
        <w:t xml:space="preserve"> </w:t>
      </w:r>
      <w:r w:rsidRPr="00784C6F">
        <w:rPr>
          <w:rFonts w:hint="cs"/>
          <w:rtl/>
        </w:rPr>
        <w:t>קשר אשר מבסס את השתייכותה לתא המשפחתי הקבוע בסעיף 4א(א). כך, בנסיבות שבהן היהודי ובת זוגו נפרדו, זכאותה נשללת ממנה.</w:t>
      </w:r>
      <w:r w:rsidRPr="00784C6F">
        <w:rPr>
          <w:rtl/>
        </w:rPr>
        <w:t xml:space="preserve"> </w:t>
      </w:r>
      <w:r w:rsidRPr="00784C6F">
        <w:rPr>
          <w:rFonts w:hint="cs"/>
          <w:rtl/>
        </w:rPr>
        <w:t xml:space="preserve">ואולם, </w:t>
      </w:r>
      <w:r w:rsidRPr="00784C6F">
        <w:rPr>
          <w:rtl/>
        </w:rPr>
        <w:t>החוק אינו שולל את זכאותה</w:t>
      </w:r>
      <w:r w:rsidRPr="00784C6F">
        <w:rPr>
          <w:rFonts w:hint="cs"/>
          <w:rtl/>
        </w:rPr>
        <w:t xml:space="preserve"> אך בשל פטירתו; זאת</w:t>
      </w:r>
      <w:r w:rsidRPr="00784C6F">
        <w:rPr>
          <w:rtl/>
        </w:rPr>
        <w:t xml:space="preserve"> מתוך הנחה כי היא עודה קשורה ל</w:t>
      </w:r>
      <w:r w:rsidRPr="00784C6F">
        <w:rPr>
          <w:rFonts w:hint="cs"/>
          <w:rtl/>
        </w:rPr>
        <w:t>תא ה</w:t>
      </w:r>
      <w:r w:rsidRPr="00784C6F">
        <w:rPr>
          <w:rtl/>
        </w:rPr>
        <w:t>משפח</w:t>
      </w:r>
      <w:r w:rsidRPr="00784C6F">
        <w:rPr>
          <w:rFonts w:hint="cs"/>
          <w:rtl/>
        </w:rPr>
        <w:t>תי</w:t>
      </w:r>
      <w:r w:rsidRPr="00784C6F">
        <w:rPr>
          <w:rtl/>
        </w:rPr>
        <w:t xml:space="preserve"> שבראש</w:t>
      </w:r>
      <w:r w:rsidRPr="00784C6F">
        <w:rPr>
          <w:rFonts w:hint="cs"/>
          <w:rtl/>
        </w:rPr>
        <w:t>ו</w:t>
      </w:r>
      <w:r w:rsidRPr="00784C6F">
        <w:rPr>
          <w:rtl/>
        </w:rPr>
        <w:t xml:space="preserve"> עומד היהודי (ראו: עניין </w:t>
      </w:r>
      <w:r w:rsidRPr="00784C6F">
        <w:rPr>
          <w:rFonts w:ascii="Century" w:hAnsi="Century" w:cs="Miriam" w:hint="eastAsia"/>
          <w:b/>
          <w:spacing w:val="0"/>
          <w:szCs w:val="24"/>
          <w:rtl/>
        </w:rPr>
        <w:t>גורודצקי</w:t>
      </w:r>
      <w:r w:rsidRPr="00784C6F">
        <w:rPr>
          <w:rtl/>
        </w:rPr>
        <w:t xml:space="preserve">, פסקה 37). </w:t>
      </w:r>
      <w:r w:rsidRPr="00784C6F">
        <w:rPr>
          <w:rFonts w:hint="cs"/>
          <w:rtl/>
        </w:rPr>
        <w:t xml:space="preserve">הנחה זו מקורה לשיטתי במהותו ובטיבו של הקשר הזוגי בו עסקינן כאמור, והיא מלמדת כי חלק ממאפייניו של הקשר הזוגי </w:t>
      </w:r>
      <w:r w:rsidRPr="00784C6F">
        <w:rPr>
          <w:rtl/>
        </w:rPr>
        <w:t>–</w:t>
      </w:r>
      <w:r w:rsidRPr="00784C6F">
        <w:rPr>
          <w:rFonts w:hint="cs"/>
          <w:rtl/>
        </w:rPr>
        <w:t xml:space="preserve"> ובהם ההיטמעות של בת הזוג במשפחתו ובקהילתו של בן הזוג </w:t>
      </w:r>
      <w:r w:rsidRPr="00784C6F">
        <w:rPr>
          <w:rtl/>
        </w:rPr>
        <w:t>–</w:t>
      </w:r>
      <w:r w:rsidRPr="00784C6F">
        <w:rPr>
          <w:rFonts w:hint="cs"/>
          <w:rtl/>
        </w:rPr>
        <w:t xml:space="preserve"> מוסיפים להתקיים בו גם כאשר בת הזוג הפכה אלמנה, ולפיכך </w:t>
      </w:r>
      <w:r w:rsidRPr="00784C6F">
        <w:rPr>
          <w:rFonts w:hint="cs"/>
          <w:rtl/>
        </w:rPr>
        <w:lastRenderedPageBreak/>
        <w:t>איני סבור כי יש מקום לקבוע כי בשונה מפטירתו של היהודי, פטירתו של זכאי השבות מנתקת את אלמנתו מהמשפחה.</w:t>
      </w:r>
    </w:p>
    <w:p w:rsidR="00E1330B" w:rsidRPr="00784C6F" w:rsidRDefault="00E1330B" w:rsidP="00E1330B">
      <w:pPr>
        <w:pStyle w:val="Ruller4"/>
        <w:numPr>
          <w:ilvl w:val="0"/>
          <w:numId w:val="0"/>
        </w:numPr>
      </w:pPr>
    </w:p>
    <w:p w:rsidR="00E1330B" w:rsidRPr="00784C6F" w:rsidRDefault="00E1330B" w:rsidP="00E1330B">
      <w:pPr>
        <w:pStyle w:val="Ruller4"/>
      </w:pPr>
      <w:r w:rsidRPr="00784C6F">
        <w:rPr>
          <w:rtl/>
        </w:rPr>
        <w:t xml:space="preserve">סבורני כי פרשנות המוציאה את האלמנה ממעגל הזכאים פוגעת בהגשמתה של התכלית האמורה, שכן היא </w:t>
      </w:r>
      <w:r w:rsidRPr="00784C6F">
        <w:rPr>
          <w:rFonts w:hint="cs"/>
          <w:rtl/>
        </w:rPr>
        <w:t>מביאה ל</w:t>
      </w:r>
      <w:r w:rsidRPr="00784C6F">
        <w:rPr>
          <w:rtl/>
        </w:rPr>
        <w:t>פ</w:t>
      </w:r>
      <w:r w:rsidRPr="00784C6F">
        <w:rPr>
          <w:rFonts w:hint="cs"/>
          <w:rtl/>
        </w:rPr>
        <w:t>י</w:t>
      </w:r>
      <w:r w:rsidRPr="00784C6F">
        <w:rPr>
          <w:rtl/>
        </w:rPr>
        <w:t>צ</w:t>
      </w:r>
      <w:r w:rsidRPr="00784C6F">
        <w:rPr>
          <w:rFonts w:hint="cs"/>
          <w:rtl/>
        </w:rPr>
        <w:t>ו</w:t>
      </w:r>
      <w:r w:rsidRPr="00784C6F">
        <w:rPr>
          <w:rtl/>
        </w:rPr>
        <w:t xml:space="preserve">ל המשפחה אף כאשר הקשר בין האלמנה למשפחה לא ניתק. בפרט, יש ליתן משקל לכך שבמקרים רבים, בת זוגו של הילד היא גם אמו של הנכד (כפי שעולה גם מעניינם של המשיבים שלפנינו). </w:t>
      </w:r>
      <w:r w:rsidRPr="00784C6F">
        <w:rPr>
          <w:rFonts w:hint="eastAsia"/>
          <w:rtl/>
        </w:rPr>
        <w:t>אמנם</w:t>
      </w:r>
      <w:r w:rsidRPr="00784C6F">
        <w:rPr>
          <w:rtl/>
        </w:rPr>
        <w:t xml:space="preserve">, </w:t>
      </w:r>
      <w:r w:rsidRPr="00784C6F">
        <w:rPr>
          <w:rFonts w:hint="eastAsia"/>
          <w:rtl/>
        </w:rPr>
        <w:t>בעניין</w:t>
      </w:r>
      <w:r w:rsidRPr="00784C6F">
        <w:rPr>
          <w:rtl/>
        </w:rPr>
        <w:t xml:space="preserve"> </w:t>
      </w:r>
      <w:r w:rsidRPr="00784C6F">
        <w:rPr>
          <w:rFonts w:ascii="Century" w:hAnsi="Century" w:cs="Miriam" w:hint="eastAsia"/>
          <w:b/>
          <w:spacing w:val="0"/>
          <w:szCs w:val="24"/>
          <w:rtl/>
        </w:rPr>
        <w:t>גורודצקי</w:t>
      </w:r>
      <w:r w:rsidRPr="00784C6F">
        <w:rPr>
          <w:rtl/>
        </w:rPr>
        <w:t xml:space="preserve"> </w:t>
      </w:r>
      <w:r w:rsidRPr="00784C6F">
        <w:rPr>
          <w:rFonts w:hint="eastAsia"/>
          <w:rtl/>
        </w:rPr>
        <w:t>נקבע</w:t>
      </w:r>
      <w:r w:rsidRPr="00784C6F">
        <w:rPr>
          <w:rtl/>
        </w:rPr>
        <w:t xml:space="preserve"> </w:t>
      </w:r>
      <w:r w:rsidRPr="00784C6F">
        <w:rPr>
          <w:rFonts w:hint="eastAsia"/>
          <w:rtl/>
        </w:rPr>
        <w:t>כי</w:t>
      </w:r>
      <w:r w:rsidRPr="00784C6F">
        <w:rPr>
          <w:rtl/>
        </w:rPr>
        <w:t xml:space="preserve"> </w:t>
      </w:r>
      <w:r w:rsidRPr="00784C6F">
        <w:rPr>
          <w:rFonts w:hint="eastAsia"/>
          <w:rtl/>
        </w:rPr>
        <w:t>יש</w:t>
      </w:r>
      <w:r w:rsidRPr="00784C6F">
        <w:rPr>
          <w:rtl/>
        </w:rPr>
        <w:t xml:space="preserve"> </w:t>
      </w:r>
      <w:r w:rsidRPr="00784C6F">
        <w:rPr>
          <w:rFonts w:hint="eastAsia"/>
          <w:rtl/>
        </w:rPr>
        <w:t>ליתן</w:t>
      </w:r>
      <w:r w:rsidRPr="00784C6F">
        <w:rPr>
          <w:rtl/>
        </w:rPr>
        <w:t xml:space="preserve"> </w:t>
      </w:r>
      <w:r w:rsidRPr="00784C6F">
        <w:rPr>
          <w:rFonts w:hint="eastAsia"/>
          <w:rtl/>
        </w:rPr>
        <w:t>משקל</w:t>
      </w:r>
      <w:r w:rsidRPr="00784C6F">
        <w:rPr>
          <w:rtl/>
        </w:rPr>
        <w:t xml:space="preserve"> </w:t>
      </w:r>
      <w:r w:rsidRPr="00784C6F">
        <w:rPr>
          <w:rFonts w:hint="eastAsia"/>
          <w:rtl/>
        </w:rPr>
        <w:t>נמוך</w:t>
      </w:r>
      <w:r w:rsidRPr="00784C6F">
        <w:rPr>
          <w:rtl/>
        </w:rPr>
        <w:t xml:space="preserve"> </w:t>
      </w:r>
      <w:r w:rsidRPr="00784C6F">
        <w:rPr>
          <w:rFonts w:hint="eastAsia"/>
          <w:rtl/>
        </w:rPr>
        <w:t>לתכלית</w:t>
      </w:r>
      <w:r w:rsidRPr="00784C6F">
        <w:rPr>
          <w:rtl/>
        </w:rPr>
        <w:t xml:space="preserve"> </w:t>
      </w:r>
      <w:r w:rsidRPr="00784C6F">
        <w:rPr>
          <w:rFonts w:hint="eastAsia"/>
          <w:rtl/>
        </w:rPr>
        <w:t>של</w:t>
      </w:r>
      <w:r w:rsidRPr="00784C6F">
        <w:rPr>
          <w:rtl/>
        </w:rPr>
        <w:t xml:space="preserve"> </w:t>
      </w:r>
      <w:r w:rsidRPr="00784C6F">
        <w:rPr>
          <w:rFonts w:hint="eastAsia"/>
          <w:rtl/>
        </w:rPr>
        <w:t>איחוד</w:t>
      </w:r>
      <w:r w:rsidRPr="00784C6F">
        <w:rPr>
          <w:rtl/>
        </w:rPr>
        <w:t xml:space="preserve"> </w:t>
      </w:r>
      <w:r w:rsidRPr="00784C6F">
        <w:rPr>
          <w:rFonts w:hint="eastAsia"/>
          <w:rtl/>
        </w:rPr>
        <w:t>משפחות</w:t>
      </w:r>
      <w:r w:rsidRPr="00784C6F">
        <w:rPr>
          <w:rtl/>
        </w:rPr>
        <w:t xml:space="preserve"> </w:t>
      </w:r>
      <w:r w:rsidRPr="00784C6F">
        <w:rPr>
          <w:rFonts w:hint="eastAsia"/>
          <w:rtl/>
        </w:rPr>
        <w:t>כאשר</w:t>
      </w:r>
      <w:r w:rsidRPr="00784C6F">
        <w:rPr>
          <w:rtl/>
        </w:rPr>
        <w:t xml:space="preserve"> </w:t>
      </w:r>
      <w:r w:rsidRPr="00784C6F">
        <w:rPr>
          <w:rFonts w:hint="eastAsia"/>
          <w:rtl/>
        </w:rPr>
        <w:t>מדובר</w:t>
      </w:r>
      <w:r w:rsidRPr="00784C6F">
        <w:rPr>
          <w:rtl/>
        </w:rPr>
        <w:t xml:space="preserve"> </w:t>
      </w:r>
      <w:r w:rsidRPr="00784C6F">
        <w:rPr>
          <w:rFonts w:hint="eastAsia"/>
          <w:rtl/>
        </w:rPr>
        <w:t>באיחוד</w:t>
      </w:r>
      <w:r w:rsidRPr="00784C6F">
        <w:rPr>
          <w:rtl/>
        </w:rPr>
        <w:t xml:space="preserve"> </w:t>
      </w:r>
      <w:r w:rsidRPr="00784C6F">
        <w:rPr>
          <w:rFonts w:hint="eastAsia"/>
          <w:rtl/>
        </w:rPr>
        <w:t>המשפחה</w:t>
      </w:r>
      <w:r w:rsidRPr="00784C6F">
        <w:rPr>
          <w:rtl/>
        </w:rPr>
        <w:t xml:space="preserve"> </w:t>
      </w:r>
      <w:r w:rsidRPr="00784C6F">
        <w:rPr>
          <w:rFonts w:hint="eastAsia"/>
          <w:rtl/>
        </w:rPr>
        <w:t>עם</w:t>
      </w:r>
      <w:r w:rsidRPr="00784C6F">
        <w:rPr>
          <w:rtl/>
        </w:rPr>
        <w:t xml:space="preserve"> </w:t>
      </w:r>
      <w:r w:rsidRPr="00784C6F">
        <w:rPr>
          <w:rFonts w:hint="eastAsia"/>
          <w:rtl/>
        </w:rPr>
        <w:t>הורה</w:t>
      </w:r>
      <w:r w:rsidRPr="00784C6F">
        <w:rPr>
          <w:rtl/>
        </w:rPr>
        <w:t xml:space="preserve"> </w:t>
      </w:r>
      <w:r w:rsidRPr="00784C6F">
        <w:rPr>
          <w:rFonts w:hint="eastAsia"/>
          <w:rtl/>
        </w:rPr>
        <w:t>לא</w:t>
      </w:r>
      <w:r w:rsidRPr="00784C6F">
        <w:rPr>
          <w:rtl/>
        </w:rPr>
        <w:t xml:space="preserve"> </w:t>
      </w:r>
      <w:r w:rsidRPr="00784C6F">
        <w:rPr>
          <w:rFonts w:hint="eastAsia"/>
          <w:rtl/>
        </w:rPr>
        <w:t>יהודי</w:t>
      </w:r>
      <w:r w:rsidRPr="00784C6F">
        <w:rPr>
          <w:rtl/>
        </w:rPr>
        <w:t xml:space="preserve">. </w:t>
      </w:r>
      <w:r w:rsidRPr="00784C6F">
        <w:rPr>
          <w:rFonts w:hint="eastAsia"/>
          <w:rtl/>
        </w:rPr>
        <w:t>עמדה</w:t>
      </w:r>
      <w:r w:rsidRPr="00784C6F">
        <w:rPr>
          <w:rtl/>
        </w:rPr>
        <w:t xml:space="preserve"> </w:t>
      </w:r>
      <w:r w:rsidRPr="00784C6F">
        <w:rPr>
          <w:rFonts w:hint="eastAsia"/>
          <w:rtl/>
        </w:rPr>
        <w:t>זו</w:t>
      </w:r>
      <w:r w:rsidRPr="00784C6F">
        <w:rPr>
          <w:rtl/>
        </w:rPr>
        <w:t xml:space="preserve"> </w:t>
      </w:r>
      <w:r w:rsidRPr="00784C6F">
        <w:rPr>
          <w:rFonts w:hint="eastAsia"/>
          <w:rtl/>
        </w:rPr>
        <w:t>התבססה</w:t>
      </w:r>
      <w:r w:rsidRPr="00784C6F">
        <w:rPr>
          <w:rtl/>
        </w:rPr>
        <w:t xml:space="preserve"> </w:t>
      </w:r>
      <w:r w:rsidRPr="00784C6F">
        <w:rPr>
          <w:rFonts w:hint="eastAsia"/>
          <w:rtl/>
        </w:rPr>
        <w:t>על</w:t>
      </w:r>
      <w:r w:rsidRPr="00784C6F">
        <w:rPr>
          <w:rtl/>
        </w:rPr>
        <w:t xml:space="preserve"> </w:t>
      </w:r>
      <w:r w:rsidRPr="00784C6F">
        <w:rPr>
          <w:rFonts w:hint="eastAsia"/>
          <w:rtl/>
        </w:rPr>
        <w:t>כך</w:t>
      </w:r>
      <w:r w:rsidRPr="00784C6F">
        <w:rPr>
          <w:rtl/>
        </w:rPr>
        <w:t xml:space="preserve"> </w:t>
      </w:r>
      <w:r w:rsidRPr="00784C6F">
        <w:rPr>
          <w:rFonts w:hint="eastAsia"/>
          <w:rtl/>
        </w:rPr>
        <w:t>שחוק</w:t>
      </w:r>
      <w:r w:rsidRPr="00784C6F">
        <w:rPr>
          <w:rtl/>
        </w:rPr>
        <w:t xml:space="preserve"> </w:t>
      </w:r>
      <w:r w:rsidRPr="00784C6F">
        <w:rPr>
          <w:rFonts w:hint="eastAsia"/>
          <w:rtl/>
        </w:rPr>
        <w:t>השבות</w:t>
      </w:r>
      <w:r w:rsidRPr="00784C6F">
        <w:rPr>
          <w:rtl/>
        </w:rPr>
        <w:t xml:space="preserve"> </w:t>
      </w:r>
      <w:r w:rsidRPr="00784C6F">
        <w:rPr>
          <w:rFonts w:hint="eastAsia"/>
          <w:rtl/>
        </w:rPr>
        <w:t>לא</w:t>
      </w:r>
      <w:r w:rsidRPr="00784C6F">
        <w:rPr>
          <w:rtl/>
        </w:rPr>
        <w:t xml:space="preserve"> </w:t>
      </w:r>
      <w:r w:rsidRPr="00784C6F">
        <w:rPr>
          <w:rFonts w:hint="eastAsia"/>
          <w:rtl/>
        </w:rPr>
        <w:t>חל</w:t>
      </w:r>
      <w:r w:rsidRPr="00784C6F">
        <w:rPr>
          <w:rtl/>
        </w:rPr>
        <w:t xml:space="preserve"> </w:t>
      </w:r>
      <w:r w:rsidRPr="00784C6F">
        <w:rPr>
          <w:rFonts w:hint="eastAsia"/>
          <w:rtl/>
        </w:rPr>
        <w:t>על</w:t>
      </w:r>
      <w:r w:rsidRPr="00784C6F">
        <w:rPr>
          <w:rtl/>
        </w:rPr>
        <w:t xml:space="preserve"> </w:t>
      </w:r>
      <w:r w:rsidRPr="00784C6F">
        <w:rPr>
          <w:rFonts w:hint="eastAsia"/>
          <w:rtl/>
        </w:rPr>
        <w:t>ההורה</w:t>
      </w:r>
      <w:r w:rsidRPr="00784C6F">
        <w:rPr>
          <w:rtl/>
        </w:rPr>
        <w:t xml:space="preserve"> </w:t>
      </w:r>
      <w:r w:rsidRPr="00784C6F">
        <w:rPr>
          <w:rFonts w:hint="eastAsia"/>
          <w:rtl/>
        </w:rPr>
        <w:t>של</w:t>
      </w:r>
      <w:r w:rsidRPr="00784C6F">
        <w:rPr>
          <w:rtl/>
        </w:rPr>
        <w:t xml:space="preserve"> </w:t>
      </w:r>
      <w:r w:rsidRPr="00784C6F">
        <w:rPr>
          <w:rFonts w:hint="eastAsia"/>
          <w:rtl/>
        </w:rPr>
        <w:t>הלא</w:t>
      </w:r>
      <w:r w:rsidRPr="00784C6F">
        <w:rPr>
          <w:rtl/>
        </w:rPr>
        <w:t xml:space="preserve"> </w:t>
      </w:r>
      <w:r w:rsidRPr="00784C6F">
        <w:rPr>
          <w:rFonts w:hint="eastAsia"/>
          <w:rtl/>
        </w:rPr>
        <w:t>יהודי</w:t>
      </w:r>
      <w:r w:rsidRPr="00784C6F">
        <w:rPr>
          <w:rtl/>
        </w:rPr>
        <w:t xml:space="preserve"> </w:t>
      </w:r>
      <w:r w:rsidRPr="00784C6F">
        <w:rPr>
          <w:rFonts w:hint="eastAsia"/>
          <w:rtl/>
        </w:rPr>
        <w:t>אלא</w:t>
      </w:r>
      <w:r w:rsidRPr="00784C6F">
        <w:rPr>
          <w:rtl/>
        </w:rPr>
        <w:t xml:space="preserve"> </w:t>
      </w:r>
      <w:r w:rsidRPr="00784C6F">
        <w:rPr>
          <w:rFonts w:hint="eastAsia"/>
          <w:rtl/>
        </w:rPr>
        <w:t>רק</w:t>
      </w:r>
      <w:r w:rsidRPr="00784C6F">
        <w:rPr>
          <w:rtl/>
        </w:rPr>
        <w:t xml:space="preserve"> </w:t>
      </w:r>
      <w:r w:rsidRPr="00784C6F">
        <w:rPr>
          <w:rFonts w:hint="eastAsia"/>
          <w:rtl/>
        </w:rPr>
        <w:t>על</w:t>
      </w:r>
      <w:r w:rsidRPr="00784C6F">
        <w:rPr>
          <w:rtl/>
        </w:rPr>
        <w:t xml:space="preserve"> </w:t>
      </w:r>
      <w:r w:rsidRPr="00784C6F">
        <w:rPr>
          <w:rFonts w:hint="eastAsia"/>
          <w:rtl/>
        </w:rPr>
        <w:t>צאצאיו</w:t>
      </w:r>
      <w:r w:rsidRPr="00784C6F">
        <w:rPr>
          <w:rtl/>
        </w:rPr>
        <w:t xml:space="preserve">, </w:t>
      </w:r>
      <w:r w:rsidRPr="00784C6F">
        <w:rPr>
          <w:rFonts w:hint="eastAsia"/>
          <w:rtl/>
        </w:rPr>
        <w:t>ובכך</w:t>
      </w:r>
      <w:r w:rsidRPr="00784C6F">
        <w:rPr>
          <w:rtl/>
        </w:rPr>
        <w:t xml:space="preserve">, </w:t>
      </w:r>
      <w:r w:rsidRPr="00784C6F">
        <w:rPr>
          <w:rFonts w:hint="eastAsia"/>
          <w:rtl/>
        </w:rPr>
        <w:t>כנטען</w:t>
      </w:r>
      <w:r w:rsidRPr="00784C6F">
        <w:rPr>
          <w:rtl/>
        </w:rPr>
        <w:t xml:space="preserve">, </w:t>
      </w:r>
      <w:r w:rsidRPr="00784C6F">
        <w:rPr>
          <w:rFonts w:hint="eastAsia"/>
          <w:rtl/>
        </w:rPr>
        <w:t>הוא</w:t>
      </w:r>
      <w:r w:rsidRPr="00784C6F">
        <w:rPr>
          <w:rtl/>
        </w:rPr>
        <w:t xml:space="preserve"> </w:t>
      </w:r>
      <w:r w:rsidRPr="00784C6F">
        <w:rPr>
          <w:rFonts w:hint="eastAsia"/>
          <w:rtl/>
        </w:rPr>
        <w:t>מבטא</w:t>
      </w:r>
      <w:r w:rsidRPr="00784C6F">
        <w:rPr>
          <w:rtl/>
        </w:rPr>
        <w:t xml:space="preserve"> </w:t>
      </w:r>
      <w:r w:rsidRPr="00784C6F">
        <w:rPr>
          <w:rFonts w:hint="eastAsia"/>
          <w:rtl/>
        </w:rPr>
        <w:t>את</w:t>
      </w:r>
      <w:r w:rsidRPr="00784C6F">
        <w:rPr>
          <w:rtl/>
        </w:rPr>
        <w:t xml:space="preserve"> </w:t>
      </w:r>
      <w:r w:rsidRPr="00784C6F">
        <w:rPr>
          <w:rFonts w:hint="eastAsia"/>
          <w:rtl/>
        </w:rPr>
        <w:t>ההשקפה</w:t>
      </w:r>
      <w:r w:rsidRPr="00784C6F">
        <w:rPr>
          <w:rtl/>
        </w:rPr>
        <w:t xml:space="preserve"> </w:t>
      </w:r>
      <w:r w:rsidRPr="00784C6F">
        <w:rPr>
          <w:rFonts w:hint="eastAsia"/>
          <w:rtl/>
        </w:rPr>
        <w:t>כי</w:t>
      </w:r>
      <w:r w:rsidRPr="00784C6F">
        <w:rPr>
          <w:rtl/>
        </w:rPr>
        <w:t xml:space="preserve"> "</w:t>
      </w:r>
      <w:r w:rsidRPr="00784C6F">
        <w:rPr>
          <w:rFonts w:hint="eastAsia"/>
          <w:rtl/>
        </w:rPr>
        <w:t>איחוד</w:t>
      </w:r>
      <w:r w:rsidRPr="00784C6F">
        <w:rPr>
          <w:rtl/>
        </w:rPr>
        <w:t xml:space="preserve"> </w:t>
      </w:r>
      <w:r w:rsidRPr="00784C6F">
        <w:rPr>
          <w:rFonts w:hint="eastAsia"/>
          <w:rtl/>
        </w:rPr>
        <w:t>המשפחות</w:t>
      </w:r>
      <w:r w:rsidRPr="00784C6F">
        <w:rPr>
          <w:rtl/>
        </w:rPr>
        <w:t xml:space="preserve"> </w:t>
      </w:r>
      <w:r w:rsidRPr="00784C6F">
        <w:rPr>
          <w:rFonts w:hint="eastAsia"/>
          <w:rtl/>
        </w:rPr>
        <w:t>יחול</w:t>
      </w:r>
      <w:r w:rsidRPr="00784C6F">
        <w:rPr>
          <w:rtl/>
        </w:rPr>
        <w:t xml:space="preserve"> </w:t>
      </w:r>
      <w:r w:rsidRPr="00784C6F">
        <w:rPr>
          <w:rFonts w:hint="eastAsia"/>
          <w:rtl/>
        </w:rPr>
        <w:t>בעיקרו</w:t>
      </w:r>
      <w:r w:rsidRPr="00784C6F">
        <w:rPr>
          <w:rtl/>
        </w:rPr>
        <w:t xml:space="preserve"> </w:t>
      </w:r>
      <w:r w:rsidRPr="00784C6F">
        <w:rPr>
          <w:rFonts w:hint="eastAsia"/>
          <w:rtl/>
        </w:rPr>
        <w:t>כלפי</w:t>
      </w:r>
      <w:r w:rsidRPr="00784C6F">
        <w:rPr>
          <w:rtl/>
        </w:rPr>
        <w:t xml:space="preserve"> </w:t>
      </w:r>
      <w:r w:rsidRPr="00784C6F">
        <w:rPr>
          <w:rFonts w:hint="eastAsia"/>
          <w:rtl/>
        </w:rPr>
        <w:t>מטה</w:t>
      </w:r>
      <w:r w:rsidRPr="00784C6F">
        <w:rPr>
          <w:rtl/>
        </w:rPr>
        <w:t xml:space="preserve">, </w:t>
      </w:r>
      <w:r w:rsidRPr="00784C6F">
        <w:rPr>
          <w:rFonts w:hint="eastAsia"/>
          <w:rtl/>
        </w:rPr>
        <w:t>לעבר</w:t>
      </w:r>
      <w:r w:rsidRPr="00784C6F">
        <w:rPr>
          <w:rtl/>
        </w:rPr>
        <w:t xml:space="preserve"> </w:t>
      </w:r>
      <w:r w:rsidRPr="00784C6F">
        <w:rPr>
          <w:rFonts w:hint="eastAsia"/>
          <w:rtl/>
        </w:rPr>
        <w:t>הצאצאים</w:t>
      </w:r>
      <w:r w:rsidRPr="00784C6F">
        <w:rPr>
          <w:rtl/>
        </w:rPr>
        <w:t xml:space="preserve">, </w:t>
      </w:r>
      <w:r w:rsidRPr="00784C6F">
        <w:rPr>
          <w:rFonts w:hint="eastAsia"/>
          <w:rtl/>
        </w:rPr>
        <w:t>ולא</w:t>
      </w:r>
      <w:r w:rsidRPr="00784C6F">
        <w:rPr>
          <w:rtl/>
        </w:rPr>
        <w:t xml:space="preserve"> </w:t>
      </w:r>
      <w:r w:rsidRPr="00784C6F">
        <w:rPr>
          <w:rFonts w:hint="eastAsia"/>
          <w:rtl/>
        </w:rPr>
        <w:t>כלפי</w:t>
      </w:r>
      <w:r w:rsidRPr="00784C6F">
        <w:rPr>
          <w:rtl/>
        </w:rPr>
        <w:t xml:space="preserve"> </w:t>
      </w:r>
      <w:r w:rsidRPr="00784C6F">
        <w:rPr>
          <w:rFonts w:hint="eastAsia"/>
          <w:rtl/>
        </w:rPr>
        <w:t>מעלה</w:t>
      </w:r>
      <w:r w:rsidRPr="00784C6F">
        <w:rPr>
          <w:rtl/>
        </w:rPr>
        <w:t xml:space="preserve">, </w:t>
      </w:r>
      <w:r w:rsidRPr="00784C6F">
        <w:rPr>
          <w:rFonts w:hint="eastAsia"/>
          <w:rtl/>
        </w:rPr>
        <w:t>לעבר</w:t>
      </w:r>
      <w:r w:rsidRPr="00784C6F">
        <w:rPr>
          <w:rtl/>
        </w:rPr>
        <w:t xml:space="preserve"> </w:t>
      </w:r>
      <w:r w:rsidRPr="00784C6F">
        <w:rPr>
          <w:rFonts w:hint="eastAsia"/>
          <w:rtl/>
        </w:rPr>
        <w:t>ההורים</w:t>
      </w:r>
      <w:r w:rsidRPr="00784C6F">
        <w:rPr>
          <w:rtl/>
        </w:rPr>
        <w:t>" (</w:t>
      </w:r>
      <w:r w:rsidRPr="00784C6F">
        <w:rPr>
          <w:rFonts w:hint="eastAsia"/>
          <w:rtl/>
        </w:rPr>
        <w:t>שם</w:t>
      </w:r>
      <w:r w:rsidRPr="00784C6F">
        <w:rPr>
          <w:rtl/>
        </w:rPr>
        <w:t xml:space="preserve">, </w:t>
      </w:r>
      <w:r w:rsidRPr="00784C6F">
        <w:rPr>
          <w:rFonts w:hint="eastAsia"/>
          <w:rtl/>
        </w:rPr>
        <w:t>פסקה</w:t>
      </w:r>
      <w:r w:rsidRPr="00784C6F">
        <w:rPr>
          <w:rtl/>
        </w:rPr>
        <w:t xml:space="preserve"> 39). </w:t>
      </w:r>
      <w:r w:rsidRPr="00784C6F">
        <w:rPr>
          <w:rFonts w:hint="eastAsia"/>
          <w:rtl/>
        </w:rPr>
        <w:t>אולם</w:t>
      </w:r>
      <w:r w:rsidRPr="00784C6F">
        <w:rPr>
          <w:rFonts w:hint="cs"/>
          <w:rtl/>
        </w:rPr>
        <w:t>,</w:t>
      </w:r>
      <w:r w:rsidRPr="00784C6F">
        <w:rPr>
          <w:rtl/>
        </w:rPr>
        <w:t xml:space="preserve"> </w:t>
      </w:r>
      <w:r w:rsidRPr="00784C6F">
        <w:rPr>
          <w:rFonts w:hint="eastAsia"/>
          <w:rtl/>
        </w:rPr>
        <w:t>לשיטתי</w:t>
      </w:r>
      <w:r w:rsidRPr="00784C6F">
        <w:rPr>
          <w:rtl/>
        </w:rPr>
        <w:t xml:space="preserve">, </w:t>
      </w:r>
      <w:r w:rsidRPr="00784C6F">
        <w:rPr>
          <w:rFonts w:hint="eastAsia"/>
          <w:rtl/>
        </w:rPr>
        <w:t>אין</w:t>
      </w:r>
      <w:r w:rsidRPr="00784C6F">
        <w:rPr>
          <w:rtl/>
        </w:rPr>
        <w:t xml:space="preserve"> </w:t>
      </w:r>
      <w:r w:rsidRPr="00784C6F">
        <w:rPr>
          <w:rFonts w:hint="eastAsia"/>
          <w:rtl/>
        </w:rPr>
        <w:t>להסיק</w:t>
      </w:r>
      <w:r w:rsidRPr="00784C6F">
        <w:rPr>
          <w:rtl/>
        </w:rPr>
        <w:t xml:space="preserve"> </w:t>
      </w:r>
      <w:r w:rsidRPr="00784C6F">
        <w:rPr>
          <w:rFonts w:hint="eastAsia"/>
          <w:rtl/>
        </w:rPr>
        <w:t>ממעמדו</w:t>
      </w:r>
      <w:r w:rsidRPr="00784C6F">
        <w:rPr>
          <w:rtl/>
        </w:rPr>
        <w:t xml:space="preserve"> </w:t>
      </w:r>
      <w:r w:rsidRPr="00784C6F">
        <w:rPr>
          <w:rFonts w:hint="eastAsia"/>
          <w:rtl/>
        </w:rPr>
        <w:t>של</w:t>
      </w:r>
      <w:r w:rsidRPr="00784C6F">
        <w:rPr>
          <w:rtl/>
        </w:rPr>
        <w:t xml:space="preserve"> </w:t>
      </w:r>
      <w:r w:rsidRPr="00784C6F">
        <w:rPr>
          <w:rFonts w:hint="eastAsia"/>
          <w:rtl/>
        </w:rPr>
        <w:t>בן</w:t>
      </w:r>
      <w:r w:rsidRPr="00784C6F">
        <w:rPr>
          <w:rtl/>
        </w:rPr>
        <w:t xml:space="preserve"> </w:t>
      </w:r>
      <w:r w:rsidRPr="00784C6F">
        <w:rPr>
          <w:rFonts w:hint="eastAsia"/>
          <w:rtl/>
        </w:rPr>
        <w:t>משפחה</w:t>
      </w:r>
      <w:r w:rsidRPr="00784C6F">
        <w:rPr>
          <w:rtl/>
        </w:rPr>
        <w:t xml:space="preserve"> </w:t>
      </w:r>
      <w:r w:rsidRPr="00784C6F">
        <w:rPr>
          <w:rFonts w:ascii="Century" w:hAnsi="Century" w:cs="Miriam" w:hint="eastAsia"/>
          <w:b/>
          <w:spacing w:val="0"/>
          <w:sz w:val="22"/>
          <w:szCs w:val="24"/>
          <w:rtl/>
        </w:rPr>
        <w:t>שמלכתחילה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לא</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נכלל</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בגדרי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התא</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המשפחתי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שעוגן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בסעיף</w:t>
      </w:r>
      <w:r w:rsidRPr="00784C6F">
        <w:rPr>
          <w:rFonts w:ascii="Century" w:hAnsi="Century" w:cs="Miriam"/>
          <w:b/>
          <w:spacing w:val="0"/>
          <w:sz w:val="22"/>
          <w:szCs w:val="24"/>
          <w:rtl/>
        </w:rPr>
        <w:t xml:space="preserve"> 4</w:t>
      </w:r>
      <w:r w:rsidRPr="00784C6F">
        <w:rPr>
          <w:rFonts w:ascii="Century" w:hAnsi="Century" w:cs="Miriam" w:hint="eastAsia"/>
          <w:b/>
          <w:spacing w:val="0"/>
          <w:sz w:val="22"/>
          <w:szCs w:val="24"/>
          <w:rtl/>
        </w:rPr>
        <w:t>א</w:t>
      </w:r>
      <w:r w:rsidRPr="00784C6F">
        <w:rPr>
          <w:rFonts w:ascii="Century" w:hAnsi="Century" w:cs="Miriam"/>
          <w:b/>
          <w:spacing w:val="0"/>
          <w:sz w:val="22"/>
          <w:szCs w:val="24"/>
          <w:rtl/>
        </w:rPr>
        <w:t>(</w:t>
      </w:r>
      <w:r w:rsidRPr="00784C6F">
        <w:rPr>
          <w:rFonts w:ascii="Century" w:hAnsi="Century" w:cs="Miriam" w:hint="eastAsia"/>
          <w:b/>
          <w:spacing w:val="0"/>
          <w:sz w:val="22"/>
          <w:szCs w:val="24"/>
          <w:rtl/>
        </w:rPr>
        <w:t>א</w:t>
      </w:r>
      <w:r w:rsidRPr="00784C6F">
        <w:rPr>
          <w:rFonts w:ascii="Century" w:hAnsi="Century" w:cs="Miriam"/>
          <w:b/>
          <w:spacing w:val="0"/>
          <w:sz w:val="22"/>
          <w:szCs w:val="24"/>
          <w:rtl/>
        </w:rPr>
        <w:t>)</w:t>
      </w:r>
      <w:r w:rsidRPr="00784C6F">
        <w:rPr>
          <w:b/>
          <w:bCs/>
          <w:rtl/>
        </w:rPr>
        <w:t xml:space="preserve"> </w:t>
      </w:r>
      <w:r w:rsidRPr="00784C6F">
        <w:rPr>
          <w:rtl/>
        </w:rPr>
        <w:t xml:space="preserve">– </w:t>
      </w:r>
      <w:r w:rsidRPr="00784C6F">
        <w:rPr>
          <w:rFonts w:hint="eastAsia"/>
          <w:rtl/>
        </w:rPr>
        <w:t>כגון</w:t>
      </w:r>
      <w:r w:rsidRPr="00784C6F">
        <w:rPr>
          <w:rtl/>
        </w:rPr>
        <w:t xml:space="preserve"> </w:t>
      </w:r>
      <w:r w:rsidRPr="00784C6F">
        <w:rPr>
          <w:rFonts w:hint="eastAsia"/>
          <w:rtl/>
        </w:rPr>
        <w:t>הורהו</w:t>
      </w:r>
      <w:r w:rsidRPr="00784C6F">
        <w:rPr>
          <w:rtl/>
        </w:rPr>
        <w:t xml:space="preserve"> </w:t>
      </w:r>
      <w:r w:rsidRPr="00784C6F">
        <w:rPr>
          <w:rFonts w:hint="eastAsia"/>
          <w:rtl/>
        </w:rPr>
        <w:t>של</w:t>
      </w:r>
      <w:r w:rsidRPr="00784C6F">
        <w:rPr>
          <w:rtl/>
        </w:rPr>
        <w:t xml:space="preserve"> </w:t>
      </w:r>
      <w:r w:rsidRPr="00784C6F">
        <w:rPr>
          <w:rFonts w:hint="eastAsia"/>
          <w:rtl/>
        </w:rPr>
        <w:t>היהודי</w:t>
      </w:r>
      <w:r w:rsidRPr="00784C6F">
        <w:rPr>
          <w:rtl/>
        </w:rPr>
        <w:t xml:space="preserve"> – </w:t>
      </w:r>
      <w:r w:rsidRPr="00784C6F">
        <w:rPr>
          <w:rFonts w:ascii="Century" w:hAnsi="Century" w:cs="Miriam" w:hint="eastAsia"/>
          <w:b/>
          <w:spacing w:val="0"/>
          <w:sz w:val="22"/>
          <w:szCs w:val="24"/>
          <w:rtl/>
        </w:rPr>
        <w:t>לגבי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מעמדם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של</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קשרים</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בין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חברי</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המשפחה</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שכן</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נכללו</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במסגרת</w:t>
      </w:r>
      <w:r w:rsidRPr="00784C6F">
        <w:rPr>
          <w:rFonts w:ascii="Century" w:hAnsi="Century" w:cs="Miriam"/>
          <w:b/>
          <w:spacing w:val="0"/>
          <w:sz w:val="22"/>
          <w:szCs w:val="24"/>
          <w:rtl/>
        </w:rPr>
        <w:t xml:space="preserve"> </w:t>
      </w:r>
      <w:r w:rsidRPr="00784C6F">
        <w:rPr>
          <w:rFonts w:ascii="Century" w:hAnsi="Century" w:cs="Miriam" w:hint="eastAsia"/>
          <w:b/>
          <w:spacing w:val="0"/>
          <w:sz w:val="22"/>
          <w:szCs w:val="24"/>
          <w:rtl/>
        </w:rPr>
        <w:t>החוק</w:t>
      </w:r>
      <w:r w:rsidRPr="00784C6F">
        <w:rPr>
          <w:rtl/>
        </w:rPr>
        <w:t xml:space="preserve">.  </w:t>
      </w:r>
    </w:p>
    <w:p w:rsidR="00E1330B" w:rsidRPr="00784C6F" w:rsidRDefault="00E1330B" w:rsidP="0001536C">
      <w:pPr>
        <w:pStyle w:val="Ruller4"/>
        <w:numPr>
          <w:ilvl w:val="0"/>
          <w:numId w:val="0"/>
        </w:numPr>
      </w:pPr>
    </w:p>
    <w:p w:rsidR="00E1330B" w:rsidRPr="00784C6F" w:rsidRDefault="00E1330B" w:rsidP="0001536C">
      <w:pPr>
        <w:pStyle w:val="Ruller4"/>
        <w:rPr>
          <w:rtl/>
        </w:rPr>
      </w:pPr>
      <w:r w:rsidRPr="00784C6F">
        <w:rPr>
          <w:rFonts w:hint="cs"/>
          <w:rtl/>
        </w:rPr>
        <w:t>בנוסף</w:t>
      </w:r>
      <w:r w:rsidRPr="00784C6F">
        <w:rPr>
          <w:rtl/>
        </w:rPr>
        <w:t xml:space="preserve">, סבורני כי הענקת זכות לאלמנת זכאי השבות </w:t>
      </w:r>
      <w:r w:rsidRPr="00784C6F">
        <w:rPr>
          <w:rFonts w:hint="cs"/>
          <w:rtl/>
        </w:rPr>
        <w:t xml:space="preserve">תקדם את התכלית שעניינה </w:t>
      </w:r>
      <w:r w:rsidRPr="00784C6F">
        <w:rPr>
          <w:rtl/>
        </w:rPr>
        <w:t>מתן אפשרות למי שיש לו</w:t>
      </w:r>
      <w:r w:rsidRPr="00784C6F">
        <w:rPr>
          <w:rFonts w:hint="cs"/>
          <w:rtl/>
        </w:rPr>
        <w:t xml:space="preserve"> קרבה</w:t>
      </w:r>
      <w:r w:rsidRPr="00784C6F">
        <w:rPr>
          <w:rtl/>
        </w:rPr>
        <w:t xml:space="preserve"> לעם היהודי להצטרף אליו. </w:t>
      </w:r>
      <w:r w:rsidRPr="00784C6F">
        <w:rPr>
          <w:rFonts w:hint="cs"/>
          <w:rtl/>
        </w:rPr>
        <w:t>כפי שציינתי לעיל,</w:t>
      </w:r>
      <w:r w:rsidRPr="00784C6F">
        <w:rPr>
          <w:rtl/>
        </w:rPr>
        <w:t xml:space="preserve"> </w:t>
      </w:r>
      <w:r w:rsidRPr="00784C6F">
        <w:rPr>
          <w:rFonts w:hint="cs"/>
          <w:rtl/>
        </w:rPr>
        <w:t xml:space="preserve">הקרבה המשפחתית ליהודי </w:t>
      </w:r>
      <w:r w:rsidRPr="00784C6F">
        <w:rPr>
          <w:rtl/>
        </w:rPr>
        <w:t>ה</w:t>
      </w:r>
      <w:r w:rsidRPr="00784C6F">
        <w:rPr>
          <w:rFonts w:hint="cs"/>
          <w:rtl/>
        </w:rPr>
        <w:t>יא</w:t>
      </w:r>
      <w:r w:rsidRPr="00784C6F">
        <w:rPr>
          <w:rtl/>
        </w:rPr>
        <w:t xml:space="preserve"> </w:t>
      </w:r>
      <w:r w:rsidRPr="00784C6F">
        <w:rPr>
          <w:rFonts w:hint="cs"/>
          <w:rtl/>
        </w:rPr>
        <w:t xml:space="preserve">שיוצרת </w:t>
      </w:r>
      <w:r w:rsidRPr="00784C6F">
        <w:rPr>
          <w:rtl/>
        </w:rPr>
        <w:t xml:space="preserve">את </w:t>
      </w:r>
      <w:r w:rsidRPr="00784C6F">
        <w:rPr>
          <w:rFonts w:hint="cs"/>
          <w:rtl/>
        </w:rPr>
        <w:t>ה</w:t>
      </w:r>
      <w:r w:rsidRPr="00784C6F">
        <w:rPr>
          <w:rtl/>
        </w:rPr>
        <w:t>קרב</w:t>
      </w:r>
      <w:r w:rsidRPr="00784C6F">
        <w:rPr>
          <w:rFonts w:hint="cs"/>
          <w:rtl/>
        </w:rPr>
        <w:t>ה ל</w:t>
      </w:r>
      <w:r w:rsidRPr="00784C6F">
        <w:rPr>
          <w:rtl/>
        </w:rPr>
        <w:t>עם היהודי.</w:t>
      </w:r>
      <w:r w:rsidRPr="00784C6F">
        <w:rPr>
          <w:rFonts w:hint="cs"/>
          <w:rtl/>
        </w:rPr>
        <w:t xml:space="preserve"> נוכח מסקנתי שלפיה אין בעצם פטירתו של זכאי השבות לנתק את הקשר המשפחתי עם האלמנה כאמור, איני סבור כי הפטירה מנתקת את</w:t>
      </w:r>
      <w:r w:rsidRPr="00784C6F">
        <w:rPr>
          <w:rtl/>
        </w:rPr>
        <w:t xml:space="preserve"> הקשר שבינה לבין העם היהודי. </w:t>
      </w:r>
      <w:r w:rsidRPr="00784C6F">
        <w:rPr>
          <w:rFonts w:hint="cs"/>
          <w:rtl/>
        </w:rPr>
        <w:t>בפסק הדין נושא הדיון הנוסף צוין כי</w:t>
      </w:r>
      <w:r w:rsidRPr="00784C6F">
        <w:rPr>
          <w:rtl/>
        </w:rPr>
        <w:t xml:space="preserve"> </w:t>
      </w:r>
      <w:r w:rsidRPr="00784C6F">
        <w:rPr>
          <w:rFonts w:hint="cs"/>
          <w:rtl/>
        </w:rPr>
        <w:t xml:space="preserve">זיקתה של אלמנת זכאי השבות לעם היהודי לכאורה חלשה יותר בהשוואה לבני משפחה אחרים.  זאת מאחר שהקשר הפרטיקולרי ליהודי הוא שמשפיע על מידת הקרבה של זכאי השבות לעם היהודי; </w:t>
      </w:r>
      <w:r w:rsidRPr="00784C6F">
        <w:rPr>
          <w:rtl/>
        </w:rPr>
        <w:t xml:space="preserve">ככל שיחסיו של </w:t>
      </w:r>
      <w:r w:rsidRPr="00784C6F">
        <w:rPr>
          <w:rFonts w:hint="cs"/>
          <w:rtl/>
        </w:rPr>
        <w:t>בן</w:t>
      </w:r>
      <w:r w:rsidRPr="00784C6F">
        <w:rPr>
          <w:rtl/>
        </w:rPr>
        <w:t xml:space="preserve"> המשפחה </w:t>
      </w:r>
      <w:r w:rsidRPr="00784C6F">
        <w:rPr>
          <w:rFonts w:hint="cs"/>
          <w:rtl/>
        </w:rPr>
        <w:t>ל</w:t>
      </w:r>
      <w:r w:rsidRPr="00784C6F">
        <w:rPr>
          <w:rtl/>
        </w:rPr>
        <w:t>יהודי רחוקים יותר, כך</w:t>
      </w:r>
      <w:r w:rsidRPr="00784C6F">
        <w:rPr>
          <w:rFonts w:hint="cs"/>
          <w:rtl/>
        </w:rPr>
        <w:t xml:space="preserve"> גם הקשר שלו לעם היהודי רחוק יותר </w:t>
      </w:r>
      <w:r w:rsidRPr="00784C6F">
        <w:rPr>
          <w:rtl/>
        </w:rPr>
        <w:t>(שם, פסקה 40</w:t>
      </w:r>
      <w:r w:rsidRPr="00784C6F">
        <w:rPr>
          <w:rFonts w:hint="cs"/>
          <w:rtl/>
        </w:rPr>
        <w:t xml:space="preserve"> לפסק דינו של השופט </w:t>
      </w:r>
      <w:r w:rsidRPr="00784C6F">
        <w:rPr>
          <w:rFonts w:ascii="Century" w:hAnsi="Century" w:cs="Miriam" w:hint="cs"/>
          <w:b/>
          <w:spacing w:val="0"/>
          <w:sz w:val="22"/>
          <w:szCs w:val="24"/>
          <w:rtl/>
        </w:rPr>
        <w:t>י' עמית</w:t>
      </w:r>
      <w:r w:rsidRPr="00784C6F">
        <w:rPr>
          <w:rtl/>
        </w:rPr>
        <w:t xml:space="preserve">). </w:t>
      </w:r>
      <w:r w:rsidRPr="00784C6F">
        <w:rPr>
          <w:rFonts w:hint="cs"/>
          <w:rtl/>
        </w:rPr>
        <w:t xml:space="preserve">מן העבר השני, המשיבים טענו כי </w:t>
      </w:r>
      <w:r w:rsidRPr="00784C6F">
        <w:rPr>
          <w:rtl/>
        </w:rPr>
        <w:t xml:space="preserve">בקרב </w:t>
      </w:r>
      <w:r w:rsidRPr="00784C6F">
        <w:rPr>
          <w:rFonts w:hint="cs"/>
          <w:rtl/>
        </w:rPr>
        <w:t>קהילות יהודי ה</w:t>
      </w:r>
      <w:r w:rsidRPr="00784C6F">
        <w:rPr>
          <w:rtl/>
        </w:rPr>
        <w:t xml:space="preserve">תפוצות, </w:t>
      </w:r>
      <w:r w:rsidRPr="00784C6F">
        <w:rPr>
          <w:rFonts w:hint="cs"/>
          <w:rtl/>
        </w:rPr>
        <w:t xml:space="preserve">השתייכות לקהילה היהודית מתבססת על עצם קיומו של הורה יהודי, ללא הבחנה האם מדובר באם או באב. בהתאם, כנטען, בנות הזוג של זכאי השבות מרגישות אף הן חלק שווה מהקהילה היהודית בתפוצות, והן בעלות זיקה מהותית וחזקה לעם היהודי. כשלעצמי, איני סבור כי עלינו להכריע במקרה דנן בשאלה האם אלמנת זכאי השבות מקיימת במידה פחותה תכלית זו, בהשוואה לבני משפחה אחרים שקרבתם ליהודי גדולה יותר. זאת מאחר שגם אם הייתי מניח לצורך הדיון כי הקרבה הפרטיקולרית ליהודי עשויה להשליך על מידת הקרבה של בן המשפחה לעם היהודי, קשה לטעמי לחלוק כי תכלית זו מתקיימת גם </w:t>
      </w:r>
      <w:r w:rsidRPr="00784C6F">
        <w:rPr>
          <w:rFonts w:hint="cs"/>
          <w:rtl/>
        </w:rPr>
        <w:lastRenderedPageBreak/>
        <w:t xml:space="preserve">במקרה של אלמנת זכאי השבות. משכך, ברי כי פרשנות המשיבים תיטיב להגשים תכלית זו, לעומת פרשנות המדינה. </w:t>
      </w:r>
    </w:p>
    <w:p w:rsidR="00E1330B" w:rsidRPr="00784C6F" w:rsidRDefault="00E1330B" w:rsidP="00E1330B">
      <w:pPr>
        <w:pStyle w:val="Ruller41"/>
      </w:pPr>
    </w:p>
    <w:p w:rsidR="00E1330B" w:rsidRPr="00784C6F" w:rsidRDefault="00E1330B" w:rsidP="00E1330B">
      <w:pPr>
        <w:pStyle w:val="Ruller4"/>
        <w:numPr>
          <w:ilvl w:val="0"/>
          <w:numId w:val="13"/>
        </w:numPr>
        <w:rPr>
          <w:rtl/>
        </w:rPr>
      </w:pPr>
      <w:r w:rsidRPr="00784C6F">
        <w:rPr>
          <w:rtl/>
        </w:rPr>
        <w:t xml:space="preserve">בנוסף, פרשנות שלפיה אלמנתו של זכאי שבות באה בגדרי סעיף 4א(א) מקדמת גם את התכלית שעניינה מניעת פיצול הסטטוס האזרחי בין בני המשפחה; כאמור, אף במקרים שבהם יתאפשר לאלמנה לשהות בישראל מכוח אחד מנהלי רשות האוכלוסין וההגירה (וראו: ההנחיה; נוהל רשות האוכלוסין וההגירה 5.2.0033 "נוהל הטיפול במתן מעמד להורה קשיש ובודד של אזרח ישראלי" (20.8.2009); נוהל רשות האוכלוסין וההגירה 5.2.0036 "נוהל מתן מעמד להורים לחייל/ים" (22.5.2022)), אין מדובר במתן אזרחות, ולפיכך לחברי אותה המשפחה לא יינתן מעמד זהה. בכך תיפגע התכלית האמורה. </w:t>
      </w:r>
      <w:r w:rsidRPr="00784C6F">
        <w:rPr>
          <w:rFonts w:hint="cs"/>
          <w:rtl/>
        </w:rPr>
        <w:t xml:space="preserve">לכך יש להוסיף כי פרשנות זו תקדם במידה מסוימת גם את התכלית שעניינה מתן מענה </w:t>
      </w:r>
      <w:r w:rsidRPr="00784C6F">
        <w:rPr>
          <w:rFonts w:hint="eastAsia"/>
          <w:rtl/>
        </w:rPr>
        <w:t>למתח</w:t>
      </w:r>
      <w:r w:rsidRPr="00784C6F">
        <w:rPr>
          <w:rtl/>
        </w:rPr>
        <w:t xml:space="preserve"> </w:t>
      </w:r>
      <w:r w:rsidRPr="00784C6F">
        <w:rPr>
          <w:rFonts w:hint="eastAsia"/>
          <w:rtl/>
        </w:rPr>
        <w:t>הקיים</w:t>
      </w:r>
      <w:r w:rsidRPr="00784C6F">
        <w:rPr>
          <w:rtl/>
        </w:rPr>
        <w:t xml:space="preserve"> </w:t>
      </w:r>
      <w:r w:rsidRPr="00784C6F">
        <w:rPr>
          <w:rFonts w:hint="eastAsia"/>
          <w:rtl/>
        </w:rPr>
        <w:t>בין</w:t>
      </w:r>
      <w:r w:rsidRPr="00784C6F">
        <w:rPr>
          <w:rtl/>
        </w:rPr>
        <w:t xml:space="preserve"> </w:t>
      </w:r>
      <w:r w:rsidRPr="00784C6F">
        <w:rPr>
          <w:rFonts w:hint="eastAsia"/>
          <w:rtl/>
        </w:rPr>
        <w:t>ההגדרה</w:t>
      </w:r>
      <w:r w:rsidRPr="00784C6F">
        <w:rPr>
          <w:rtl/>
        </w:rPr>
        <w:t xml:space="preserve"> </w:t>
      </w:r>
      <w:r w:rsidRPr="00784C6F">
        <w:rPr>
          <w:rFonts w:hint="eastAsia"/>
          <w:rtl/>
        </w:rPr>
        <w:t>המסורתית</w:t>
      </w:r>
      <w:r w:rsidRPr="00784C6F">
        <w:rPr>
          <w:rtl/>
        </w:rPr>
        <w:t xml:space="preserve"> </w:t>
      </w:r>
      <w:r w:rsidRPr="00784C6F">
        <w:rPr>
          <w:rFonts w:hint="eastAsia"/>
          <w:rtl/>
        </w:rPr>
        <w:t>לבין</w:t>
      </w:r>
      <w:r w:rsidRPr="00784C6F">
        <w:rPr>
          <w:rtl/>
        </w:rPr>
        <w:t xml:space="preserve"> </w:t>
      </w:r>
      <w:r w:rsidRPr="00784C6F">
        <w:rPr>
          <w:rFonts w:hint="eastAsia"/>
          <w:rtl/>
        </w:rPr>
        <w:t>ההגדרה</w:t>
      </w:r>
      <w:r w:rsidRPr="00784C6F">
        <w:rPr>
          <w:rtl/>
        </w:rPr>
        <w:t xml:space="preserve"> </w:t>
      </w:r>
      <w:r w:rsidRPr="00784C6F">
        <w:rPr>
          <w:rFonts w:hint="eastAsia"/>
          <w:rtl/>
        </w:rPr>
        <w:t>הלאומית</w:t>
      </w:r>
      <w:r w:rsidRPr="00784C6F">
        <w:rPr>
          <w:rtl/>
        </w:rPr>
        <w:t xml:space="preserve"> </w:t>
      </w:r>
      <w:r w:rsidRPr="00784C6F">
        <w:rPr>
          <w:rFonts w:hint="eastAsia"/>
          <w:rtl/>
        </w:rPr>
        <w:t>של</w:t>
      </w:r>
      <w:r w:rsidRPr="00784C6F">
        <w:rPr>
          <w:rtl/>
        </w:rPr>
        <w:t xml:space="preserve"> </w:t>
      </w:r>
      <w:r w:rsidRPr="00784C6F">
        <w:rPr>
          <w:rFonts w:hint="eastAsia"/>
          <w:rtl/>
        </w:rPr>
        <w:t>המונח</w:t>
      </w:r>
      <w:r w:rsidRPr="00784C6F">
        <w:rPr>
          <w:rtl/>
        </w:rPr>
        <w:t xml:space="preserve"> "</w:t>
      </w:r>
      <w:r w:rsidRPr="00784C6F">
        <w:rPr>
          <w:rFonts w:hint="eastAsia"/>
          <w:rtl/>
        </w:rPr>
        <w:t>יהודי</w:t>
      </w:r>
      <w:r w:rsidRPr="00784C6F">
        <w:rPr>
          <w:rtl/>
        </w:rPr>
        <w:t>"</w:t>
      </w:r>
      <w:r w:rsidRPr="00784C6F">
        <w:rPr>
          <w:rFonts w:hint="cs"/>
          <w:rtl/>
        </w:rPr>
        <w:t>, שכן לא תהיה הבחנה במישור מתן הזכויות בין בן זוגו של יהודי לפי ההלכה לבין זכותו של יהודי לפי הגדרה לאומית או סובייקטיבית.</w:t>
      </w:r>
    </w:p>
    <w:p w:rsidR="00E1330B" w:rsidRPr="00784C6F" w:rsidRDefault="00E1330B" w:rsidP="00E1330B">
      <w:pPr>
        <w:pStyle w:val="Ruller41"/>
        <w:rPr>
          <w:rtl/>
        </w:rPr>
      </w:pPr>
    </w:p>
    <w:p w:rsidR="00E1330B" w:rsidRPr="00784C6F" w:rsidRDefault="00E1330B" w:rsidP="00650241">
      <w:pPr>
        <w:pStyle w:val="Ruller4"/>
        <w:rPr>
          <w:rtl/>
        </w:rPr>
      </w:pPr>
      <w:r w:rsidRPr="00784C6F">
        <w:rPr>
          <w:rFonts w:hint="cs"/>
          <w:rtl/>
        </w:rPr>
        <w:t xml:space="preserve">אשר לתכלית שעניינה </w:t>
      </w:r>
      <w:r w:rsidRPr="00784C6F">
        <w:rPr>
          <w:rtl/>
        </w:rPr>
        <w:t>עידוד עלייתם של יהודים</w:t>
      </w:r>
      <w:r w:rsidRPr="00784C6F">
        <w:rPr>
          <w:rFonts w:hint="cs"/>
          <w:rtl/>
        </w:rPr>
        <w:t xml:space="preserve"> לישראל. </w:t>
      </w:r>
      <w:r w:rsidR="00650241">
        <w:rPr>
          <w:rFonts w:hint="cs"/>
          <w:rtl/>
        </w:rPr>
        <w:t>אכן,</w:t>
      </w:r>
      <w:r w:rsidRPr="00784C6F">
        <w:rPr>
          <w:rFonts w:hint="cs"/>
          <w:rtl/>
        </w:rPr>
        <w:t xml:space="preserve"> </w:t>
      </w:r>
      <w:r w:rsidRPr="00784C6F">
        <w:rPr>
          <w:rtl/>
        </w:rPr>
        <w:t xml:space="preserve">במצב הדברים הטיפוסי שבו אלמנת בנו או נכדו של יהודי מבקשת לעלות לישראל, תכלית </w:t>
      </w:r>
      <w:r w:rsidRPr="00784C6F">
        <w:rPr>
          <w:rFonts w:hint="cs"/>
          <w:rtl/>
        </w:rPr>
        <w:t>זו</w:t>
      </w:r>
      <w:r w:rsidRPr="00784C6F">
        <w:rPr>
          <w:rtl/>
        </w:rPr>
        <w:t xml:space="preserve"> לא תהא רלוונטית. </w:t>
      </w:r>
      <w:r w:rsidRPr="00784C6F">
        <w:rPr>
          <w:rFonts w:hint="cs"/>
          <w:rtl/>
        </w:rPr>
        <w:t>ואולם, כפי שהובהר לעיל, איני סבור כי יש בכך כדי למנוע פרשנות שלפיה אלמנת זכאי השבות באה בגדרי החוק, בשים לב לכך שפרשנות זו מקדמת את יתר התכליות ולקיומו של "קשר גורל" של האלמנה למשפחה שבראשה עומד היהודי, עליו עמדתי לעיל. כמו כן,</w:t>
      </w:r>
      <w:r w:rsidRPr="00784C6F">
        <w:rPr>
          <w:rtl/>
        </w:rPr>
        <w:t xml:space="preserve"> </w:t>
      </w:r>
      <w:r w:rsidRPr="00784C6F">
        <w:rPr>
          <w:rFonts w:hint="cs"/>
          <w:rtl/>
        </w:rPr>
        <w:t xml:space="preserve">אף אם אין מדובר במקרה נפוץ, </w:t>
      </w:r>
      <w:r w:rsidRPr="00784C6F">
        <w:rPr>
          <w:rtl/>
        </w:rPr>
        <w:t xml:space="preserve">ניתן להעלות על הדעת כי יהיו מקרים שבהם </w:t>
      </w:r>
      <w:r w:rsidRPr="00784C6F">
        <w:rPr>
          <w:rFonts w:hint="cs"/>
          <w:rtl/>
        </w:rPr>
        <w:t>פרשנות זו</w:t>
      </w:r>
      <w:r w:rsidRPr="00784C6F">
        <w:rPr>
          <w:rtl/>
        </w:rPr>
        <w:t xml:space="preserve"> </w:t>
      </w:r>
      <w:r w:rsidRPr="00784C6F">
        <w:rPr>
          <w:rFonts w:hint="cs"/>
          <w:rtl/>
        </w:rPr>
        <w:t>תקדם את עידוד עליית יהודים לישראל</w:t>
      </w:r>
      <w:r w:rsidRPr="00784C6F">
        <w:rPr>
          <w:rtl/>
        </w:rPr>
        <w:t xml:space="preserve">, למשל כאשר בנו של היהודי נפטר והיהודי מבקש לעלות לישראל יחד עם משפחתו הכוללת את נכדיו </w:t>
      </w:r>
      <w:r w:rsidRPr="00784C6F">
        <w:rPr>
          <w:rFonts w:hint="cs"/>
          <w:rtl/>
        </w:rPr>
        <w:t>ואת אם נכדיו,</w:t>
      </w:r>
      <w:r w:rsidRPr="00784C6F">
        <w:rPr>
          <w:rtl/>
        </w:rPr>
        <w:t xml:space="preserve"> </w:t>
      </w:r>
      <w:r w:rsidRPr="00784C6F">
        <w:rPr>
          <w:rFonts w:hint="cs"/>
          <w:rtl/>
        </w:rPr>
        <w:t>היא בת</w:t>
      </w:r>
      <w:r w:rsidRPr="00784C6F">
        <w:rPr>
          <w:rtl/>
        </w:rPr>
        <w:t xml:space="preserve"> </w:t>
      </w:r>
      <w:r w:rsidRPr="00784C6F">
        <w:rPr>
          <w:rFonts w:hint="cs"/>
          <w:rtl/>
        </w:rPr>
        <w:t>הזוג</w:t>
      </w:r>
      <w:r w:rsidRPr="00784C6F">
        <w:rPr>
          <w:rtl/>
        </w:rPr>
        <w:t xml:space="preserve"> של </w:t>
      </w:r>
      <w:r w:rsidRPr="00784C6F">
        <w:rPr>
          <w:rFonts w:hint="cs"/>
          <w:rtl/>
        </w:rPr>
        <w:t>בנו זכאי השבות</w:t>
      </w:r>
      <w:r w:rsidRPr="00784C6F">
        <w:rPr>
          <w:rtl/>
        </w:rPr>
        <w:t>. במקרים אלו, מניעת עלייתה של האלמנה לישראל עשויה להרתיע את היהודי מלממש את זכותו שלו – ככל שמשמעותה של בחירה זו היא לה</w:t>
      </w:r>
      <w:r w:rsidRPr="00784C6F">
        <w:rPr>
          <w:rFonts w:hint="cs"/>
          <w:rtl/>
        </w:rPr>
        <w:t>ותיר</w:t>
      </w:r>
      <w:r w:rsidRPr="00784C6F">
        <w:rPr>
          <w:rtl/>
        </w:rPr>
        <w:t xml:space="preserve"> את משפחתו מאחור (וראו: פסקה 43 לעיקרי טיעון מיום 25.10.2020 בבג"ץ 1775/19). המדינה לא שללה אפשרות זו, אך טענה כי למקרים אלה ניתן מענה </w:t>
      </w:r>
      <w:r w:rsidRPr="00784C6F">
        <w:rPr>
          <w:rFonts w:hint="cs"/>
          <w:rtl/>
        </w:rPr>
        <w:t xml:space="preserve">פרטני </w:t>
      </w:r>
      <w:r w:rsidRPr="00784C6F">
        <w:rPr>
          <w:rtl/>
        </w:rPr>
        <w:t xml:space="preserve">בגדרי הנחיית רשות האוכלוסין וההגירה. כאמור, איני סבור כי יש בהנחיה זו </w:t>
      </w:r>
      <w:r w:rsidRPr="00784C6F">
        <w:rPr>
          <w:rFonts w:hint="cs"/>
          <w:rtl/>
        </w:rPr>
        <w:t xml:space="preserve">כדי </w:t>
      </w:r>
      <w:r w:rsidRPr="00784C6F">
        <w:rPr>
          <w:rtl/>
        </w:rPr>
        <w:t>להשפיע על השאלה הפרשנית שלפנינו; ואף לגופם של דברים, ברי כי אין ב</w:t>
      </w:r>
      <w:r w:rsidRPr="00784C6F">
        <w:rPr>
          <w:rFonts w:hint="cs"/>
          <w:rtl/>
        </w:rPr>
        <w:t xml:space="preserve">אפשרות לקבלת </w:t>
      </w:r>
      <w:r w:rsidRPr="00784C6F">
        <w:rPr>
          <w:rtl/>
        </w:rPr>
        <w:t>מעמד</w:t>
      </w:r>
      <w:r w:rsidRPr="00784C6F">
        <w:rPr>
          <w:rFonts w:hint="cs"/>
          <w:rtl/>
        </w:rPr>
        <w:t xml:space="preserve">, שנתונה </w:t>
      </w:r>
      <w:r w:rsidRPr="00784C6F">
        <w:rPr>
          <w:rtl/>
        </w:rPr>
        <w:t>לשיקול דעת</w:t>
      </w:r>
      <w:r w:rsidRPr="00784C6F">
        <w:rPr>
          <w:rFonts w:hint="cs"/>
          <w:rtl/>
        </w:rPr>
        <w:t>ן של הרשויות,</w:t>
      </w:r>
      <w:r w:rsidRPr="00784C6F">
        <w:rPr>
          <w:rtl/>
        </w:rPr>
        <w:t xml:space="preserve"> כמפורט לעיל</w:t>
      </w:r>
      <w:r w:rsidRPr="00784C6F">
        <w:rPr>
          <w:rFonts w:hint="cs"/>
          <w:rtl/>
        </w:rPr>
        <w:t>,</w:t>
      </w:r>
      <w:r w:rsidRPr="00784C6F">
        <w:rPr>
          <w:rtl/>
        </w:rPr>
        <w:t xml:space="preserve"> כדי להסיר את חשש</w:t>
      </w:r>
      <w:r w:rsidRPr="00784C6F">
        <w:rPr>
          <w:rFonts w:hint="cs"/>
          <w:rtl/>
        </w:rPr>
        <w:t>ו</w:t>
      </w:r>
      <w:r w:rsidRPr="00784C6F">
        <w:rPr>
          <w:rtl/>
        </w:rPr>
        <w:t xml:space="preserve"> של היהודי לגורל</w:t>
      </w:r>
      <w:r w:rsidRPr="00784C6F">
        <w:rPr>
          <w:rFonts w:hint="cs"/>
          <w:rtl/>
        </w:rPr>
        <w:t>ה</w:t>
      </w:r>
      <w:r w:rsidRPr="00784C6F">
        <w:rPr>
          <w:rtl/>
        </w:rPr>
        <w:t xml:space="preserve"> של אלמנת זכאי השבות (ראו</w:t>
      </w:r>
      <w:r w:rsidRPr="00784C6F">
        <w:rPr>
          <w:rFonts w:hint="cs"/>
          <w:rtl/>
        </w:rPr>
        <w:t xml:space="preserve"> והשוו</w:t>
      </w:r>
      <w:r w:rsidRPr="00784C6F">
        <w:rPr>
          <w:rtl/>
        </w:rPr>
        <w:t xml:space="preserve">: עניין </w:t>
      </w:r>
      <w:r w:rsidRPr="00784C6F">
        <w:rPr>
          <w:rFonts w:ascii="Century" w:hAnsi="Century" w:cs="Miriam" w:hint="eastAsia"/>
          <w:b/>
          <w:spacing w:val="0"/>
          <w:sz w:val="22"/>
          <w:szCs w:val="24"/>
          <w:rtl/>
        </w:rPr>
        <w:t>פוזרסקי</w:t>
      </w:r>
      <w:r w:rsidRPr="00784C6F">
        <w:rPr>
          <w:rtl/>
        </w:rPr>
        <w:t xml:space="preserve">, פסקה 25). משכך, </w:t>
      </w:r>
      <w:r w:rsidRPr="00784C6F">
        <w:rPr>
          <w:rFonts w:hint="cs"/>
          <w:rtl/>
        </w:rPr>
        <w:t xml:space="preserve">סבורני </w:t>
      </w:r>
      <w:r w:rsidRPr="00784C6F">
        <w:rPr>
          <w:rtl/>
        </w:rPr>
        <w:t>כי</w:t>
      </w:r>
      <w:r w:rsidRPr="00784C6F">
        <w:rPr>
          <w:rFonts w:hint="cs"/>
          <w:rtl/>
        </w:rPr>
        <w:t xml:space="preserve"> אין</w:t>
      </w:r>
      <w:r w:rsidRPr="00784C6F">
        <w:rPr>
          <w:rtl/>
        </w:rPr>
        <w:t xml:space="preserve"> </w:t>
      </w:r>
      <w:r w:rsidRPr="00784C6F">
        <w:rPr>
          <w:rFonts w:hint="cs"/>
          <w:rtl/>
        </w:rPr>
        <w:t>ב</w:t>
      </w:r>
      <w:r w:rsidRPr="00784C6F">
        <w:rPr>
          <w:rtl/>
        </w:rPr>
        <w:t xml:space="preserve">תכלית זו </w:t>
      </w:r>
      <w:r w:rsidRPr="00784C6F">
        <w:rPr>
          <w:rFonts w:hint="cs"/>
          <w:rtl/>
        </w:rPr>
        <w:t>לתמוך</w:t>
      </w:r>
      <w:r w:rsidRPr="00784C6F">
        <w:rPr>
          <w:rtl/>
        </w:rPr>
        <w:t xml:space="preserve"> בפרשנות לה טוענת המדינה.</w:t>
      </w:r>
      <w:r w:rsidRPr="00784C6F">
        <w:rPr>
          <w:rFonts w:hint="cs"/>
          <w:rtl/>
        </w:rPr>
        <w:t xml:space="preserve"> </w:t>
      </w:r>
    </w:p>
    <w:p w:rsidR="00E1330B" w:rsidRPr="00784C6F" w:rsidRDefault="00E1330B" w:rsidP="00E1330B">
      <w:pPr>
        <w:pStyle w:val="Ruller41"/>
        <w:rPr>
          <w:rtl/>
        </w:rPr>
      </w:pPr>
    </w:p>
    <w:p w:rsidR="00E1330B" w:rsidRPr="00784C6F" w:rsidRDefault="00E1330B" w:rsidP="00E1330B">
      <w:pPr>
        <w:pStyle w:val="Ruller4"/>
        <w:numPr>
          <w:ilvl w:val="0"/>
          <w:numId w:val="13"/>
        </w:numPr>
        <w:rPr>
          <w:rtl/>
        </w:rPr>
      </w:pPr>
      <w:r w:rsidRPr="00784C6F">
        <w:rPr>
          <w:rtl/>
        </w:rPr>
        <w:lastRenderedPageBreak/>
        <w:t>בהינתן כל האמור לעיל, אני סבור כי הפרשנות שלפיה יש לראות באלמנתו של זכאי השבות כבאה בגדר מעגל הזכאים מכוח החוק, בהיותה "בת זוג" של הילד או הנכד, היא זו המיטיבה להגשים את תכלי</w:t>
      </w:r>
      <w:r w:rsidRPr="00784C6F">
        <w:rPr>
          <w:rFonts w:hint="cs"/>
          <w:rtl/>
        </w:rPr>
        <w:t>ותיו האובייקטיביות</w:t>
      </w:r>
      <w:r w:rsidRPr="00784C6F">
        <w:rPr>
          <w:rtl/>
        </w:rPr>
        <w:t xml:space="preserve"> של סעיף 4א(א). פרשנות זו עולה בקנה אחד עם תכליתו של הסעיף לאיחוד משפחות וקיום חיי משפחה; מתן אפשרות למי שיש לו זיקה לעם היהודי להצטרף אליו; והשוואת המעמד האזרחי של בני המשפחה. זאת ועוד, אימוצה של הפרשנות האמורה עשוי לקדם לעיתים גם את התכלית של עידוד יהודים לעלות לישראל, אף אם אין מדובר במקרה הטיפוסי</w:t>
      </w:r>
      <w:r w:rsidRPr="00784C6F">
        <w:rPr>
          <w:rFonts w:hint="cs"/>
          <w:rtl/>
        </w:rPr>
        <w:t xml:space="preserve">; ואף במידת מה גם את התכלית שעניינה מתן מענה </w:t>
      </w:r>
      <w:r w:rsidRPr="00784C6F">
        <w:rPr>
          <w:rFonts w:hint="eastAsia"/>
          <w:rtl/>
        </w:rPr>
        <w:t>למתח</w:t>
      </w:r>
      <w:r w:rsidRPr="00784C6F">
        <w:rPr>
          <w:rtl/>
        </w:rPr>
        <w:t xml:space="preserve"> </w:t>
      </w:r>
      <w:r w:rsidRPr="00784C6F">
        <w:rPr>
          <w:rFonts w:hint="eastAsia"/>
          <w:rtl/>
        </w:rPr>
        <w:t>הקיים</w:t>
      </w:r>
      <w:r w:rsidRPr="00784C6F">
        <w:rPr>
          <w:rtl/>
        </w:rPr>
        <w:t xml:space="preserve"> </w:t>
      </w:r>
      <w:r w:rsidRPr="00784C6F">
        <w:rPr>
          <w:rFonts w:hint="eastAsia"/>
          <w:rtl/>
        </w:rPr>
        <w:t>בין</w:t>
      </w:r>
      <w:r w:rsidRPr="00784C6F">
        <w:rPr>
          <w:rtl/>
        </w:rPr>
        <w:t xml:space="preserve"> </w:t>
      </w:r>
      <w:r w:rsidRPr="00784C6F">
        <w:rPr>
          <w:rFonts w:hint="eastAsia"/>
          <w:rtl/>
        </w:rPr>
        <w:t>ההגדרה</w:t>
      </w:r>
      <w:r w:rsidRPr="00784C6F">
        <w:rPr>
          <w:rtl/>
        </w:rPr>
        <w:t xml:space="preserve"> </w:t>
      </w:r>
      <w:r w:rsidRPr="00784C6F">
        <w:rPr>
          <w:rFonts w:hint="eastAsia"/>
          <w:rtl/>
        </w:rPr>
        <w:t>המסורתית</w:t>
      </w:r>
      <w:r w:rsidRPr="00784C6F">
        <w:rPr>
          <w:rtl/>
        </w:rPr>
        <w:t xml:space="preserve"> </w:t>
      </w:r>
      <w:r w:rsidRPr="00784C6F">
        <w:rPr>
          <w:rFonts w:hint="eastAsia"/>
          <w:rtl/>
        </w:rPr>
        <w:t>לבין</w:t>
      </w:r>
      <w:r w:rsidRPr="00784C6F">
        <w:rPr>
          <w:rtl/>
        </w:rPr>
        <w:t xml:space="preserve"> </w:t>
      </w:r>
      <w:r w:rsidRPr="00784C6F">
        <w:rPr>
          <w:rFonts w:hint="eastAsia"/>
          <w:rtl/>
        </w:rPr>
        <w:t>ההגדרה</w:t>
      </w:r>
      <w:r w:rsidRPr="00784C6F">
        <w:rPr>
          <w:rtl/>
        </w:rPr>
        <w:t xml:space="preserve"> </w:t>
      </w:r>
      <w:r w:rsidRPr="00784C6F">
        <w:rPr>
          <w:rFonts w:hint="eastAsia"/>
          <w:rtl/>
        </w:rPr>
        <w:t>הלאומית</w:t>
      </w:r>
      <w:r w:rsidRPr="00784C6F">
        <w:rPr>
          <w:rtl/>
        </w:rPr>
        <w:t xml:space="preserve"> </w:t>
      </w:r>
      <w:r w:rsidRPr="00784C6F">
        <w:rPr>
          <w:rFonts w:hint="eastAsia"/>
          <w:rtl/>
        </w:rPr>
        <w:t>של</w:t>
      </w:r>
      <w:r w:rsidRPr="00784C6F">
        <w:rPr>
          <w:rtl/>
        </w:rPr>
        <w:t xml:space="preserve"> </w:t>
      </w:r>
      <w:r w:rsidRPr="00784C6F">
        <w:rPr>
          <w:rFonts w:hint="eastAsia"/>
          <w:rtl/>
        </w:rPr>
        <w:t>המונח</w:t>
      </w:r>
      <w:r w:rsidRPr="00784C6F">
        <w:rPr>
          <w:rtl/>
        </w:rPr>
        <w:t xml:space="preserve"> "</w:t>
      </w:r>
      <w:r w:rsidRPr="00784C6F">
        <w:rPr>
          <w:rFonts w:hint="eastAsia"/>
          <w:rtl/>
        </w:rPr>
        <w:t>יהודי</w:t>
      </w:r>
      <w:r w:rsidRPr="00784C6F">
        <w:rPr>
          <w:rtl/>
        </w:rPr>
        <w:t xml:space="preserve">".  </w:t>
      </w:r>
    </w:p>
    <w:p w:rsidR="00E1330B" w:rsidRPr="00784C6F" w:rsidRDefault="00E1330B" w:rsidP="00E1330B">
      <w:pPr>
        <w:pStyle w:val="Ruller41"/>
        <w:rPr>
          <w:rtl/>
        </w:rPr>
      </w:pPr>
    </w:p>
    <w:p w:rsidR="00E1330B" w:rsidRPr="00784C6F" w:rsidRDefault="00E1330B" w:rsidP="00E1330B">
      <w:pPr>
        <w:pStyle w:val="1"/>
        <w:rPr>
          <w:rtl/>
        </w:rPr>
      </w:pPr>
      <w:r w:rsidRPr="00784C6F">
        <w:rPr>
          <w:rtl/>
        </w:rPr>
        <w:t>שלב המסקנות: פרשנות הסעיף בראי התכלית</w:t>
      </w:r>
    </w:p>
    <w:p w:rsidR="00E1330B" w:rsidRPr="00784C6F" w:rsidRDefault="00E1330B" w:rsidP="00E1330B">
      <w:pPr>
        <w:rPr>
          <w:rtl/>
        </w:rPr>
      </w:pPr>
    </w:p>
    <w:p w:rsidR="00E1330B" w:rsidRPr="00784C6F" w:rsidRDefault="00E1330B" w:rsidP="00E1330B">
      <w:pPr>
        <w:pStyle w:val="Ruller4"/>
        <w:rPr>
          <w:rtl/>
        </w:rPr>
      </w:pPr>
      <w:r w:rsidRPr="00784C6F">
        <w:rPr>
          <w:rtl/>
        </w:rPr>
        <w:t>הגענו לסוף מסענו הפרשני. בתחילת הדיון ראינו כי שתי התזות הפרשניות המתחרות שהוצגו על ידי הצדדים מוצאות עיגון בלשון החוק. בהמשך, פנינו להתחקות אחר תכליתו הסובייקטיבית של הסעיף, שלא סיפקה בידנו תשובה חד משמעית באשר לשאלה שבמחלוקת</w:t>
      </w:r>
      <w:r w:rsidRPr="00784C6F">
        <w:rPr>
          <w:rFonts w:hint="cs"/>
          <w:rtl/>
        </w:rPr>
        <w:t xml:space="preserve">. לצד זאת, </w:t>
      </w:r>
      <w:r w:rsidRPr="00784C6F">
        <w:rPr>
          <w:rtl/>
        </w:rPr>
        <w:t>אמ</w:t>
      </w:r>
      <w:r w:rsidRPr="00784C6F">
        <w:rPr>
          <w:rFonts w:hint="cs"/>
          <w:rtl/>
        </w:rPr>
        <w:t>י</w:t>
      </w:r>
      <w:r w:rsidRPr="00784C6F">
        <w:rPr>
          <w:rtl/>
        </w:rPr>
        <w:t>ר</w:t>
      </w:r>
      <w:r w:rsidRPr="00784C6F">
        <w:rPr>
          <w:rFonts w:hint="cs"/>
          <w:rtl/>
        </w:rPr>
        <w:t>ה</w:t>
      </w:r>
      <w:r w:rsidRPr="00784C6F">
        <w:rPr>
          <w:rtl/>
        </w:rPr>
        <w:t xml:space="preserve"> של היועץ המשפטי לממשלה </w:t>
      </w:r>
      <w:r w:rsidRPr="00784C6F">
        <w:rPr>
          <w:rFonts w:hint="cs"/>
          <w:rtl/>
        </w:rPr>
        <w:t>במהלך הדיונים בוועדה מחזקת במידת מה את הסברה</w:t>
      </w:r>
      <w:r w:rsidRPr="00784C6F">
        <w:rPr>
          <w:rtl/>
        </w:rPr>
        <w:t xml:space="preserve"> כי </w:t>
      </w:r>
      <w:r w:rsidRPr="00784C6F">
        <w:rPr>
          <w:rFonts w:hint="cs"/>
          <w:rtl/>
        </w:rPr>
        <w:t xml:space="preserve">התפיסה שלפיה </w:t>
      </w:r>
      <w:r w:rsidRPr="00784C6F">
        <w:rPr>
          <w:rtl/>
        </w:rPr>
        <w:t>אלמנת זכאי השבות באה בגדרי החוק</w:t>
      </w:r>
      <w:r w:rsidRPr="00784C6F">
        <w:rPr>
          <w:rFonts w:hint="cs"/>
          <w:rtl/>
        </w:rPr>
        <w:t xml:space="preserve"> הייתה מונחת על השולחן</w:t>
      </w:r>
      <w:r w:rsidRPr="00784C6F">
        <w:rPr>
          <w:rtl/>
        </w:rPr>
        <w:t xml:space="preserve">, אף אם אין ליתן </w:t>
      </w:r>
      <w:r w:rsidRPr="00784C6F">
        <w:rPr>
          <w:rFonts w:hint="cs"/>
          <w:rtl/>
        </w:rPr>
        <w:t>לכך</w:t>
      </w:r>
      <w:r w:rsidRPr="00784C6F">
        <w:rPr>
          <w:rtl/>
        </w:rPr>
        <w:t xml:space="preserve"> משקל מכריע. עוד מצאנו כי אין מקום להבחין באופן קטגורי בין זכאותו של בן זוג לבין זכאותו של צאצא לפי החוק. בחינת התכליות האובייקטיביות מלמדת כי פרשנות המשיבים היא שמגשימה בצורה מיטבית את תכליות הסעיף</w:t>
      </w:r>
      <w:r w:rsidRPr="00784C6F">
        <w:rPr>
          <w:rFonts w:hint="cs"/>
          <w:rtl/>
        </w:rPr>
        <w:t xml:space="preserve">. </w:t>
      </w:r>
    </w:p>
    <w:p w:rsidR="00E1330B" w:rsidRPr="00784C6F" w:rsidRDefault="00E1330B" w:rsidP="00E1330B">
      <w:pPr>
        <w:pStyle w:val="Ruller4"/>
        <w:numPr>
          <w:ilvl w:val="0"/>
          <w:numId w:val="0"/>
        </w:numPr>
        <w:rPr>
          <w:rtl/>
        </w:rPr>
      </w:pPr>
    </w:p>
    <w:p w:rsidR="00216C97" w:rsidRDefault="00E1330B" w:rsidP="00E1330B">
      <w:pPr>
        <w:pStyle w:val="Ruller4"/>
        <w:numPr>
          <w:ilvl w:val="0"/>
          <w:numId w:val="13"/>
        </w:numPr>
      </w:pPr>
      <w:r w:rsidRPr="00784C6F">
        <w:rPr>
          <w:rtl/>
        </w:rPr>
        <w:tab/>
        <w:t xml:space="preserve">משכך, עמדתי הפרשנית היא </w:t>
      </w:r>
      <w:r w:rsidRPr="00784C6F">
        <w:rPr>
          <w:rFonts w:hint="cs"/>
          <w:rtl/>
        </w:rPr>
        <w:t>ש</w:t>
      </w:r>
      <w:r w:rsidRPr="00784C6F">
        <w:rPr>
          <w:rtl/>
        </w:rPr>
        <w:t>ככלל, זכאותה של אלמנת זכאי השבות ממשיכה לעמוד לה אף כאשר בן זוגה נפטר. זאת מאחר שאין בעצם פטירתו כדי לשלול את הקשר שקשרה עמו, אשר פועל יוצא שלו הוא הקשר לתא המשפחתי ולעם היהודי. ברי כי קשר זה עלול להתנתק, והדוגמה המובהקת שניתנה בפסיקה בהקשר זה היא מ</w:t>
      </w:r>
      <w:r w:rsidRPr="00784C6F">
        <w:rPr>
          <w:rFonts w:hint="cs"/>
          <w:rtl/>
        </w:rPr>
        <w:t>צב</w:t>
      </w:r>
      <w:r w:rsidRPr="00784C6F">
        <w:rPr>
          <w:rtl/>
        </w:rPr>
        <w:t xml:space="preserve"> שבו האלמנה נישאה בשנית. ואולם, נקודת המוצא היא זכאותה של האלמנה, ושיקול הדעת אשר נתון למדינה בהקשר זה נוגע </w:t>
      </w:r>
      <w:r w:rsidRPr="00784C6F">
        <w:rPr>
          <w:rFonts w:hint="cs"/>
          <w:rtl/>
        </w:rPr>
        <w:t xml:space="preserve">בעיקרו </w:t>
      </w:r>
      <w:r w:rsidRPr="00784C6F">
        <w:rPr>
          <w:rtl/>
        </w:rPr>
        <w:t xml:space="preserve">לבחינת השאלה האם נסיבות העניין </w:t>
      </w:r>
      <w:r w:rsidRPr="00784C6F">
        <w:rPr>
          <w:rFonts w:hint="cs"/>
          <w:rtl/>
        </w:rPr>
        <w:t>מ</w:t>
      </w:r>
      <w:r w:rsidRPr="00784C6F">
        <w:rPr>
          <w:rtl/>
        </w:rPr>
        <w:t>למד</w:t>
      </w:r>
      <w:r w:rsidRPr="00784C6F">
        <w:rPr>
          <w:rFonts w:hint="cs"/>
          <w:rtl/>
        </w:rPr>
        <w:t>ות</w:t>
      </w:r>
      <w:r w:rsidRPr="00784C6F">
        <w:rPr>
          <w:rtl/>
        </w:rPr>
        <w:t xml:space="preserve"> על התפרקות התא המשפחתי. </w:t>
      </w:r>
      <w:r w:rsidRPr="00784C6F">
        <w:rPr>
          <w:rFonts w:hint="cs"/>
          <w:rtl/>
        </w:rPr>
        <w:t xml:space="preserve">קביעה זו תואמת את מרחב שיקול הדעת שנתון למדינה בבחינת זכאות לפי חוק השבות, באופן שמלבד הסייגים הקבועים בחוק, שיקול הדעת ממוקד בשאלת כנות היחסים וקיומו של תא משפחתי. מעבר לאמור, </w:t>
      </w:r>
      <w:r w:rsidRPr="00784C6F">
        <w:rPr>
          <w:rFonts w:hint="eastAsia"/>
          <w:rtl/>
        </w:rPr>
        <w:t>זכות</w:t>
      </w:r>
      <w:r w:rsidRPr="00784C6F">
        <w:rPr>
          <w:rFonts w:hint="cs"/>
          <w:rtl/>
        </w:rPr>
        <w:t xml:space="preserve">ו של </w:t>
      </w:r>
      <w:r w:rsidRPr="00784C6F">
        <w:rPr>
          <w:rFonts w:hint="eastAsia"/>
          <w:rtl/>
        </w:rPr>
        <w:t>בן</w:t>
      </w:r>
      <w:r w:rsidRPr="00784C6F">
        <w:rPr>
          <w:rtl/>
        </w:rPr>
        <w:t xml:space="preserve"> </w:t>
      </w:r>
      <w:r w:rsidRPr="00784C6F">
        <w:rPr>
          <w:rFonts w:hint="cs"/>
          <w:rtl/>
        </w:rPr>
        <w:t>ה</w:t>
      </w:r>
      <w:r w:rsidRPr="00784C6F">
        <w:rPr>
          <w:rFonts w:hint="eastAsia"/>
          <w:rtl/>
        </w:rPr>
        <w:t>משפחה</w:t>
      </w:r>
      <w:r w:rsidRPr="00784C6F">
        <w:rPr>
          <w:rtl/>
        </w:rPr>
        <w:t xml:space="preserve"> </w:t>
      </w:r>
      <w:r w:rsidRPr="00784C6F">
        <w:rPr>
          <w:rFonts w:hint="eastAsia"/>
          <w:rtl/>
        </w:rPr>
        <w:t>של</w:t>
      </w:r>
      <w:r w:rsidRPr="00784C6F">
        <w:rPr>
          <w:rtl/>
        </w:rPr>
        <w:t xml:space="preserve"> </w:t>
      </w:r>
      <w:r w:rsidRPr="00784C6F">
        <w:rPr>
          <w:rFonts w:hint="eastAsia"/>
          <w:rtl/>
        </w:rPr>
        <w:t>יהודי</w:t>
      </w:r>
      <w:r w:rsidRPr="00784C6F">
        <w:rPr>
          <w:rtl/>
        </w:rPr>
        <w:t xml:space="preserve"> </w:t>
      </w:r>
      <w:r w:rsidRPr="00784C6F">
        <w:rPr>
          <w:rFonts w:hint="cs"/>
          <w:rtl/>
        </w:rPr>
        <w:t xml:space="preserve">אף היא </w:t>
      </w:r>
      <w:r w:rsidRPr="00784C6F">
        <w:rPr>
          <w:rFonts w:hint="eastAsia"/>
          <w:rtl/>
        </w:rPr>
        <w:t>אוטומטי</w:t>
      </w:r>
      <w:r w:rsidRPr="00784C6F">
        <w:rPr>
          <w:rFonts w:hint="cs"/>
          <w:rtl/>
        </w:rPr>
        <w:t xml:space="preserve">ת באופייה (וראו: עניין </w:t>
      </w:r>
      <w:r w:rsidRPr="00784C6F">
        <w:rPr>
          <w:rFonts w:ascii="Century" w:hAnsi="Century" w:cs="Miriam" w:hint="cs"/>
          <w:b/>
          <w:spacing w:val="0"/>
          <w:sz w:val="22"/>
          <w:szCs w:val="24"/>
          <w:rtl/>
        </w:rPr>
        <w:t>פוזרסקי</w:t>
      </w:r>
      <w:r w:rsidRPr="00784C6F">
        <w:rPr>
          <w:rFonts w:hint="cs"/>
          <w:rtl/>
        </w:rPr>
        <w:t>, פסקה 40)</w:t>
      </w:r>
      <w:r w:rsidRPr="00784C6F">
        <w:rPr>
          <w:rtl/>
        </w:rPr>
        <w:t xml:space="preserve">.  </w:t>
      </w:r>
    </w:p>
    <w:p w:rsidR="00216C97" w:rsidRDefault="00216C97" w:rsidP="00216C97">
      <w:pPr>
        <w:pStyle w:val="Ruller4"/>
        <w:numPr>
          <w:ilvl w:val="0"/>
          <w:numId w:val="0"/>
        </w:numPr>
      </w:pPr>
    </w:p>
    <w:p w:rsidR="00E1330B" w:rsidRPr="00784C6F" w:rsidRDefault="00E1330B" w:rsidP="00216C97">
      <w:pPr>
        <w:pStyle w:val="Ruller4"/>
        <w:numPr>
          <w:ilvl w:val="0"/>
          <w:numId w:val="0"/>
        </w:numPr>
        <w:rPr>
          <w:rtl/>
        </w:rPr>
      </w:pPr>
      <w:r w:rsidRPr="00784C6F">
        <w:rPr>
          <w:rtl/>
        </w:rPr>
        <w:t xml:space="preserve"> </w:t>
      </w:r>
    </w:p>
    <w:p w:rsidR="00E1330B" w:rsidRPr="00784C6F" w:rsidRDefault="00E1330B" w:rsidP="00E1330B">
      <w:pPr>
        <w:pStyle w:val="Ruller4"/>
        <w:numPr>
          <w:ilvl w:val="0"/>
          <w:numId w:val="0"/>
        </w:numPr>
        <w:rPr>
          <w:rtl/>
        </w:rPr>
      </w:pPr>
    </w:p>
    <w:p w:rsidR="00E1330B" w:rsidRPr="00784C6F" w:rsidRDefault="00E1330B" w:rsidP="00E1330B">
      <w:pPr>
        <w:pStyle w:val="1"/>
        <w:rPr>
          <w:rtl/>
        </w:rPr>
      </w:pPr>
      <w:r w:rsidRPr="00784C6F">
        <w:rPr>
          <w:rtl/>
        </w:rPr>
        <w:t>סוף דבר</w:t>
      </w:r>
    </w:p>
    <w:p w:rsidR="00E1330B" w:rsidRPr="00784C6F" w:rsidRDefault="00E1330B" w:rsidP="00E1330B">
      <w:pPr>
        <w:pStyle w:val="Ruller41"/>
        <w:rPr>
          <w:sz w:val="28"/>
          <w:rtl/>
        </w:rPr>
      </w:pPr>
    </w:p>
    <w:p w:rsidR="00E1330B" w:rsidRPr="00784C6F" w:rsidRDefault="00E1330B" w:rsidP="00E1330B">
      <w:pPr>
        <w:pStyle w:val="Ruller4"/>
        <w:numPr>
          <w:ilvl w:val="0"/>
          <w:numId w:val="13"/>
        </w:numPr>
        <w:rPr>
          <w:rtl/>
        </w:rPr>
      </w:pPr>
      <w:r w:rsidRPr="00784C6F">
        <w:rPr>
          <w:rtl/>
        </w:rPr>
        <w:t>על חשיבותו ומרכזיותו של חוק השבות לכינון זהותה של המדינה כמדינה יהודית</w:t>
      </w:r>
      <w:r w:rsidRPr="00784C6F">
        <w:rPr>
          <w:rFonts w:hint="cs"/>
          <w:rtl/>
        </w:rPr>
        <w:t>, לצד היותה מדינה דמוקרטית,</w:t>
      </w:r>
      <w:r w:rsidRPr="00784C6F">
        <w:rPr>
          <w:rtl/>
        </w:rPr>
        <w:t xml:space="preserve"> אין חולק. אכן: "חוק השבות הוא מחוקי-השתיה של מדינת ישראל</w:t>
      </w:r>
      <w:r w:rsidRPr="00784C6F">
        <w:rPr>
          <w:rFonts w:hint="cs"/>
          <w:rtl/>
        </w:rPr>
        <w:t>. הוא מכיל יעוד מרכזי של מדינתנו, הייעוד של קיבוץ גלויות</w:t>
      </w:r>
      <w:r w:rsidRPr="00784C6F">
        <w:rPr>
          <w:rtl/>
        </w:rPr>
        <w:t>" (דברי ראש הממשלה דוד בן-גוריון</w:t>
      </w:r>
      <w:r w:rsidRPr="00784C6F">
        <w:rPr>
          <w:rFonts w:hint="cs"/>
          <w:rtl/>
        </w:rPr>
        <w:t xml:space="preserve"> בפתח הדיון בצעת חוק השבות, התש"י-1950;</w:t>
      </w:r>
      <w:r w:rsidRPr="00784C6F">
        <w:rPr>
          <w:rtl/>
        </w:rPr>
        <w:t xml:space="preserve"> ד"כ 3.7.1950, 2036). במסגרת</w:t>
      </w:r>
      <w:r w:rsidRPr="00784C6F">
        <w:rPr>
          <w:rFonts w:hint="cs"/>
          <w:rtl/>
        </w:rPr>
        <w:t xml:space="preserve"> </w:t>
      </w:r>
      <w:r w:rsidRPr="00784C6F">
        <w:rPr>
          <w:rtl/>
        </w:rPr>
        <w:t>הדיון הנוסף</w:t>
      </w:r>
      <w:r w:rsidRPr="00784C6F">
        <w:rPr>
          <w:rFonts w:hint="cs"/>
          <w:rtl/>
        </w:rPr>
        <w:t xml:space="preserve"> שלפנינו</w:t>
      </w:r>
      <w:r w:rsidRPr="00784C6F">
        <w:rPr>
          <w:rtl/>
        </w:rPr>
        <w:t xml:space="preserve"> התבקשנו להכריע בשאלה </w:t>
      </w:r>
      <w:r w:rsidRPr="00784C6F">
        <w:rPr>
          <w:rFonts w:hint="cs"/>
          <w:rtl/>
        </w:rPr>
        <w:t>ה</w:t>
      </w:r>
      <w:r w:rsidRPr="00784C6F">
        <w:rPr>
          <w:rtl/>
        </w:rPr>
        <w:t xml:space="preserve">אם אלמנת ילדו או נכדו של יהודי זכאית לעלות לישראל מכוח חוק השבות. לשיטתי, </w:t>
      </w:r>
      <w:r w:rsidRPr="00784C6F">
        <w:rPr>
          <w:rFonts w:hint="cs"/>
          <w:rtl/>
        </w:rPr>
        <w:t xml:space="preserve">לשונה של הוראת סעיף 4א(א), כמו גם תכליותיה </w:t>
      </w:r>
      <w:r w:rsidRPr="00784C6F">
        <w:rPr>
          <w:rtl/>
        </w:rPr>
        <w:t>מולי</w:t>
      </w:r>
      <w:r w:rsidRPr="00784C6F">
        <w:rPr>
          <w:rFonts w:hint="cs"/>
          <w:rtl/>
        </w:rPr>
        <w:t>כים</w:t>
      </w:r>
      <w:r w:rsidRPr="00784C6F">
        <w:rPr>
          <w:rtl/>
        </w:rPr>
        <w:t xml:space="preserve"> למסקנה שלפיה</w:t>
      </w:r>
      <w:r w:rsidRPr="00784C6F">
        <w:rPr>
          <w:rFonts w:hint="cs"/>
          <w:rtl/>
        </w:rPr>
        <w:t>, ככלל,</w:t>
      </w:r>
      <w:r w:rsidRPr="00784C6F">
        <w:rPr>
          <w:rtl/>
        </w:rPr>
        <w:t xml:space="preserve"> זכאותה עומדת לה. </w:t>
      </w:r>
      <w:r w:rsidRPr="00784C6F">
        <w:rPr>
          <w:rFonts w:hint="cs"/>
          <w:rtl/>
        </w:rPr>
        <w:t>ל</w:t>
      </w:r>
      <w:r w:rsidRPr="00784C6F">
        <w:rPr>
          <w:rtl/>
        </w:rPr>
        <w:t xml:space="preserve">פרשנות זו </w:t>
      </w:r>
      <w:r w:rsidRPr="00784C6F">
        <w:rPr>
          <w:rFonts w:hint="cs"/>
          <w:rtl/>
        </w:rPr>
        <w:t>עיגון</w:t>
      </w:r>
      <w:r w:rsidRPr="00784C6F">
        <w:rPr>
          <w:rtl/>
        </w:rPr>
        <w:t xml:space="preserve"> בלשון סעיף 4א(א) לחוק</w:t>
      </w:r>
      <w:r w:rsidRPr="00784C6F">
        <w:rPr>
          <w:rFonts w:hint="cs"/>
          <w:rtl/>
        </w:rPr>
        <w:t>,</w:t>
      </w:r>
      <w:r w:rsidRPr="00784C6F">
        <w:rPr>
          <w:rtl/>
        </w:rPr>
        <w:t xml:space="preserve"> ו</w:t>
      </w:r>
      <w:r w:rsidRPr="00784C6F">
        <w:rPr>
          <w:rFonts w:hint="cs"/>
          <w:rtl/>
        </w:rPr>
        <w:t xml:space="preserve">היא </w:t>
      </w:r>
      <w:r w:rsidRPr="00784C6F">
        <w:rPr>
          <w:rtl/>
        </w:rPr>
        <w:t xml:space="preserve">אף מיטיבה להגשים את תכליותיו. </w:t>
      </w:r>
    </w:p>
    <w:p w:rsidR="00E1330B" w:rsidRPr="00784C6F" w:rsidRDefault="00E1330B" w:rsidP="00E1330B">
      <w:pPr>
        <w:pStyle w:val="Ruller41"/>
        <w:rPr>
          <w:rtl/>
        </w:rPr>
      </w:pPr>
    </w:p>
    <w:p w:rsidR="00E1330B" w:rsidRPr="00784C6F" w:rsidRDefault="00E1330B" w:rsidP="00E1330B">
      <w:pPr>
        <w:pStyle w:val="Ruller41"/>
        <w:rPr>
          <w:rtl/>
        </w:rPr>
      </w:pPr>
      <w:r w:rsidRPr="00784C6F">
        <w:rPr>
          <w:rtl/>
        </w:rPr>
        <w:tab/>
        <w:t>כפי שציינתי, נקודת המוצא היא זכאותה של האלמנה ושלילתה תיעשה אך כאשר יש בנסיבות העניין ללמד על התפרקות</w:t>
      </w:r>
      <w:r w:rsidRPr="00784C6F">
        <w:rPr>
          <w:rFonts w:hint="cs"/>
          <w:rtl/>
        </w:rPr>
        <w:t>ו של</w:t>
      </w:r>
      <w:r w:rsidRPr="00784C6F">
        <w:rPr>
          <w:rtl/>
        </w:rPr>
        <w:t xml:space="preserve"> התא המשפחתי, כדוגמת </w:t>
      </w:r>
      <w:r w:rsidRPr="00784C6F">
        <w:rPr>
          <w:rFonts w:hint="cs"/>
          <w:rtl/>
        </w:rPr>
        <w:t>ה</w:t>
      </w:r>
      <w:r w:rsidRPr="00784C6F">
        <w:rPr>
          <w:rtl/>
        </w:rPr>
        <w:t xml:space="preserve">מקרה שבו נישאה בשנית. </w:t>
      </w:r>
    </w:p>
    <w:p w:rsidR="00E1330B" w:rsidRPr="00784C6F" w:rsidRDefault="00E1330B" w:rsidP="00E1330B">
      <w:pPr>
        <w:pStyle w:val="Ruller41"/>
        <w:rPr>
          <w:rtl/>
        </w:rPr>
      </w:pPr>
    </w:p>
    <w:p w:rsidR="00E1330B" w:rsidRDefault="00E1330B" w:rsidP="00E1330B">
      <w:pPr>
        <w:pStyle w:val="Ruller4"/>
        <w:numPr>
          <w:ilvl w:val="0"/>
          <w:numId w:val="0"/>
        </w:numPr>
      </w:pPr>
      <w:r w:rsidRPr="00784C6F">
        <w:rPr>
          <w:rtl/>
        </w:rPr>
        <w:tab/>
        <w:t xml:space="preserve">בנסיבות העניין, אציע לחבריי כי המדינה תישא בהוצאות המשיבים 6-1 בסך 10,000 ש"ח; ובהוצאות המשיבות </w:t>
      </w:r>
      <w:r w:rsidRPr="00784C6F">
        <w:rPr>
          <w:rFonts w:hint="cs"/>
          <w:rtl/>
        </w:rPr>
        <w:t>8-7</w:t>
      </w:r>
      <w:r w:rsidRPr="00784C6F">
        <w:rPr>
          <w:rtl/>
        </w:rPr>
        <w:t xml:space="preserve"> בסך 10,000 ש"ח.</w:t>
      </w:r>
      <w:r>
        <w:rPr>
          <w:rtl/>
        </w:rPr>
        <w:t xml:space="preserve"> </w:t>
      </w:r>
    </w:p>
    <w:p w:rsidR="00E1330B" w:rsidRDefault="00E1330B" w:rsidP="00E1330B">
      <w:pPr>
        <w:pStyle w:val="Ruller4"/>
        <w:numPr>
          <w:ilvl w:val="0"/>
          <w:numId w:val="0"/>
        </w:numPr>
        <w:rPr>
          <w:rtl/>
        </w:rPr>
      </w:pPr>
    </w:p>
    <w:p w:rsidR="00872589" w:rsidRPr="00872589" w:rsidRDefault="00872589" w:rsidP="00872589">
      <w:pPr>
        <w:pStyle w:val="Ruller41"/>
        <w:rPr>
          <w:rtl/>
        </w:rPr>
      </w:pPr>
    </w:p>
    <w:tbl>
      <w:tblPr>
        <w:bidiVisual/>
        <w:tblW w:w="8363" w:type="dxa"/>
        <w:tblLook w:val="01E0" w:firstRow="1" w:lastRow="1" w:firstColumn="1" w:lastColumn="1" w:noHBand="0" w:noVBand="0"/>
      </w:tblPr>
      <w:tblGrid>
        <w:gridCol w:w="2783"/>
        <w:gridCol w:w="2797"/>
        <w:gridCol w:w="2783"/>
      </w:tblGrid>
      <w:tr w:rsidR="00D95831" w:rsidRPr="00267280" w:rsidTr="00F97246">
        <w:tc>
          <w:tcPr>
            <w:tcW w:w="2783" w:type="dxa"/>
            <w:shd w:val="clear" w:color="auto" w:fill="auto"/>
          </w:tcPr>
          <w:p w:rsidR="00D95831" w:rsidRPr="00267280" w:rsidRDefault="00D95831" w:rsidP="00F97246">
            <w:pPr>
              <w:pStyle w:val="Ruller41"/>
              <w:jc w:val="center"/>
              <w:rPr>
                <w:rtl/>
              </w:rPr>
            </w:pPr>
            <w:r w:rsidRPr="003E4F42">
              <w:rPr>
                <w:rtl/>
              </w:rPr>
              <w:tab/>
            </w:r>
          </w:p>
        </w:tc>
        <w:tc>
          <w:tcPr>
            <w:tcW w:w="2797" w:type="dxa"/>
            <w:shd w:val="clear" w:color="auto" w:fill="auto"/>
          </w:tcPr>
          <w:p w:rsidR="00D95831" w:rsidRPr="00267280" w:rsidRDefault="00D95831" w:rsidP="00F97246">
            <w:pPr>
              <w:pStyle w:val="Ruller41"/>
              <w:jc w:val="center"/>
              <w:rPr>
                <w:rtl/>
              </w:rPr>
            </w:pPr>
          </w:p>
        </w:tc>
        <w:tc>
          <w:tcPr>
            <w:tcW w:w="2783" w:type="dxa"/>
            <w:shd w:val="clear" w:color="auto" w:fill="auto"/>
          </w:tcPr>
          <w:p w:rsidR="00D95831" w:rsidRPr="00267280" w:rsidRDefault="00D95831" w:rsidP="00F97246">
            <w:pPr>
              <w:pStyle w:val="Ruller41"/>
              <w:jc w:val="right"/>
              <w:rPr>
                <w:rtl/>
              </w:rPr>
            </w:pPr>
            <w:r>
              <w:rPr>
                <w:rFonts w:hint="cs"/>
                <w:rtl/>
              </w:rPr>
              <w:t>מ"מ הנשיא</w:t>
            </w:r>
          </w:p>
        </w:tc>
      </w:tr>
    </w:tbl>
    <w:p w:rsidR="00E1330B" w:rsidRDefault="00E1330B" w:rsidP="00E1330B">
      <w:pPr>
        <w:pStyle w:val="Ruller41"/>
        <w:rPr>
          <w:rtl/>
        </w:rPr>
      </w:pPr>
    </w:p>
    <w:p w:rsidR="00CE58C7" w:rsidRDefault="00CE58C7" w:rsidP="00CE58C7">
      <w:pPr>
        <w:pStyle w:val="Ruller41"/>
        <w:rPr>
          <w:rFonts w:ascii="Century" w:hAnsi="Century" w:cs="Miriam"/>
          <w:b/>
          <w:spacing w:val="0"/>
          <w:szCs w:val="24"/>
          <w:rtl/>
        </w:rPr>
      </w:pPr>
      <w:r>
        <w:rPr>
          <w:rFonts w:ascii="Century" w:hAnsi="Century" w:cs="Miriam" w:hint="cs"/>
          <w:b/>
          <w:spacing w:val="0"/>
          <w:szCs w:val="24"/>
          <w:u w:val="single"/>
          <w:rtl/>
        </w:rPr>
        <w:t>השופט נ' סולברג</w:t>
      </w:r>
      <w:r>
        <w:rPr>
          <w:rFonts w:ascii="Century" w:hAnsi="Century" w:cs="Miriam" w:hint="cs"/>
          <w:b/>
          <w:spacing w:val="0"/>
          <w:szCs w:val="24"/>
          <w:rtl/>
        </w:rPr>
        <w:t>:</w:t>
      </w:r>
    </w:p>
    <w:p w:rsidR="00872589" w:rsidRDefault="00872589" w:rsidP="00872589">
      <w:pPr>
        <w:pStyle w:val="Ruller41"/>
        <w:rPr>
          <w:rtl/>
        </w:rPr>
      </w:pPr>
      <w:bookmarkStart w:id="5" w:name="Start_Write"/>
      <w:bookmarkEnd w:id="5"/>
    </w:p>
    <w:p w:rsidR="00872589" w:rsidRDefault="00872589" w:rsidP="002B7DF5">
      <w:pPr>
        <w:pStyle w:val="Ruller4"/>
        <w:numPr>
          <w:ilvl w:val="0"/>
          <w:numId w:val="20"/>
        </w:numPr>
        <w:textAlignment w:val="baseline"/>
      </w:pPr>
      <w:r>
        <w:rPr>
          <w:rFonts w:hint="cs"/>
          <w:rtl/>
        </w:rPr>
        <w:t xml:space="preserve">עיינתי בחוות דעתו המקיפה של חברי, מ"מ הנשיא </w:t>
      </w:r>
      <w:r w:rsidRPr="00872589">
        <w:rPr>
          <w:rFonts w:ascii="Century" w:hAnsi="Century" w:cs="Miriam" w:hint="cs"/>
          <w:b/>
          <w:spacing w:val="0"/>
          <w:sz w:val="22"/>
          <w:szCs w:val="24"/>
          <w:rtl/>
        </w:rPr>
        <w:t>ע' פוגלמן</w:t>
      </w:r>
      <w:r>
        <w:rPr>
          <w:rFonts w:hint="cs"/>
          <w:rtl/>
        </w:rPr>
        <w:t xml:space="preserve">, אשר סבור כי עלינו לדחות את העתירה לדיון נוסף, אך אין בידי להצטרף למסקנתו. חברי סלל דרך בנתיבי פרשנותו של סעיף 4א לחוק השבות, התש"י-1950 (להלן: </w:t>
      </w:r>
      <w:r w:rsidRPr="00872589">
        <w:rPr>
          <w:rFonts w:ascii="Century" w:hAnsi="Century" w:cs="Miriam" w:hint="cs"/>
          <w:b/>
          <w:spacing w:val="0"/>
          <w:sz w:val="22"/>
          <w:szCs w:val="24"/>
          <w:rtl/>
        </w:rPr>
        <w:t>החוק</w:t>
      </w:r>
      <w:r w:rsidRPr="009E1F05">
        <w:rPr>
          <w:rFonts w:hint="cs"/>
          <w:rtl/>
        </w:rPr>
        <w:t xml:space="preserve"> </w:t>
      </w:r>
      <w:r>
        <w:rPr>
          <w:rFonts w:hint="cs"/>
          <w:rtl/>
        </w:rPr>
        <w:t xml:space="preserve">או </w:t>
      </w:r>
      <w:r w:rsidRPr="00872589">
        <w:rPr>
          <w:rFonts w:ascii="Century" w:hAnsi="Century" w:cs="Miriam" w:hint="cs"/>
          <w:b/>
          <w:spacing w:val="0"/>
          <w:sz w:val="22"/>
          <w:szCs w:val="24"/>
          <w:rtl/>
        </w:rPr>
        <w:t>חוק השבות</w:t>
      </w:r>
      <w:r>
        <w:rPr>
          <w:rFonts w:hint="cs"/>
          <w:rtl/>
        </w:rPr>
        <w:t xml:space="preserve">), על-פי כללי הפרשנות הנהוגים עמנו. </w:t>
      </w:r>
      <w:r w:rsidR="002B7DF5">
        <w:rPr>
          <w:rFonts w:hint="cs"/>
          <w:rtl/>
        </w:rPr>
        <w:t>ברם</w:t>
      </w:r>
      <w:r>
        <w:rPr>
          <w:rFonts w:hint="cs"/>
          <w:rtl/>
        </w:rPr>
        <w:t xml:space="preserve">, בכמה וכמה מתחנותיו של מסע הפרשנות, באתי לכלל מסקנות שונות מאלה שאליהן הגיע חברי; משכך, גם הנקודה שבה השלים חברי את מסעו, שונה מנקודת הסיום של מסעי-שלי. אקדים אפוא אחרית לראשית ואומר, כי במחלוקת שהתגלעה בפסק הדין נושא הדיון הנוסף, מצאתי עצמי שותף לעמדתו הבהירה של חברי השופט </w:t>
      </w:r>
      <w:r w:rsidRPr="00872589">
        <w:rPr>
          <w:rFonts w:ascii="Century" w:hAnsi="Century" w:cs="Miriam" w:hint="cs"/>
          <w:b/>
          <w:spacing w:val="0"/>
          <w:sz w:val="22"/>
          <w:szCs w:val="24"/>
          <w:rtl/>
        </w:rPr>
        <w:t>ד' מינץ</w:t>
      </w:r>
      <w:r>
        <w:rPr>
          <w:rFonts w:hint="cs"/>
          <w:rtl/>
        </w:rPr>
        <w:t xml:space="preserve">, ולעיקרי הנמקותיו; הכל כפי שיפורט להלן. </w:t>
      </w:r>
    </w:p>
    <w:p w:rsidR="00872589" w:rsidRDefault="00872589" w:rsidP="00872589">
      <w:pPr>
        <w:pStyle w:val="Ruller4"/>
        <w:numPr>
          <w:ilvl w:val="0"/>
          <w:numId w:val="0"/>
        </w:numPr>
      </w:pPr>
    </w:p>
    <w:p w:rsidR="00872589" w:rsidRDefault="00872589" w:rsidP="00872589">
      <w:pPr>
        <w:pStyle w:val="Ruller4"/>
        <w:textAlignment w:val="baseline"/>
      </w:pPr>
      <w:r>
        <w:rPr>
          <w:rFonts w:hint="cs"/>
          <w:rtl/>
        </w:rPr>
        <w:lastRenderedPageBreak/>
        <w:t>למותר יהיה להכביר מילים על אודות חשיבותו ומרכזיותו של חוק השבות במשפטנו, שהוכר זה מכבר כאחד מ</w:t>
      </w:r>
      <w:r w:rsidRPr="004D2B13">
        <w:rPr>
          <w:rFonts w:ascii="Century" w:hAnsi="Century" w:cs="Miriam" w:hint="cs"/>
          <w:b/>
          <w:spacing w:val="0"/>
          <w:sz w:val="22"/>
          <w:szCs w:val="24"/>
          <w:rtl/>
        </w:rPr>
        <w:t>"המאפיינים הגרעיניים"</w:t>
      </w:r>
      <w:r>
        <w:rPr>
          <w:rFonts w:hint="cs"/>
          <w:rtl/>
        </w:rPr>
        <w:t xml:space="preserve"> המכוננים את היותה של מדינת ישראל מדינה יהודית </w:t>
      </w:r>
      <w:r w:rsidRPr="00E64E5C">
        <w:rPr>
          <w:rFonts w:hint="cs"/>
          <w:rtl/>
        </w:rPr>
        <w:t xml:space="preserve">(ראו, למשל, א"ב 11280/02 </w:t>
      </w:r>
      <w:r w:rsidRPr="00E64E5C">
        <w:rPr>
          <w:rFonts w:ascii="Century" w:hAnsi="Century" w:cs="Miriam" w:hint="cs"/>
          <w:b/>
          <w:spacing w:val="0"/>
          <w:sz w:val="22"/>
          <w:szCs w:val="24"/>
          <w:rtl/>
        </w:rPr>
        <w:t>ועדת הבחירות המרכזית לכנסת השש-עשרה נ' טיבי</w:t>
      </w:r>
      <w:r w:rsidRPr="00E64E5C">
        <w:rPr>
          <w:rFonts w:ascii="Century" w:hAnsi="Century" w:hint="cs"/>
          <w:sz w:val="22"/>
          <w:rtl/>
        </w:rPr>
        <w:t xml:space="preserve">, פ"ד נז(4) 1, 22, 40 </w:t>
      </w:r>
      <w:r w:rsidRPr="00E64E5C">
        <w:rPr>
          <w:rFonts w:hint="cs"/>
          <w:rtl/>
        </w:rPr>
        <w:t xml:space="preserve">(2003)); אסתפק אפוא בדברים נאים שנשא בכנסת ראש הממשלה במועד חקיקת החוק, </w:t>
      </w:r>
      <w:r w:rsidRPr="00E64E5C">
        <w:rPr>
          <w:rFonts w:ascii="Century" w:hAnsi="Century" w:cs="Miriam" w:hint="cs"/>
          <w:b/>
          <w:spacing w:val="0"/>
          <w:sz w:val="22"/>
          <w:szCs w:val="24"/>
          <w:rtl/>
        </w:rPr>
        <w:t>דוד בן גוריון</w:t>
      </w:r>
      <w:r w:rsidRPr="00E64E5C">
        <w:rPr>
          <w:rFonts w:hint="cs"/>
          <w:rtl/>
        </w:rPr>
        <w:t>:</w:t>
      </w:r>
      <w:r>
        <w:rPr>
          <w:rFonts w:hint="cs"/>
          <w:rtl/>
        </w:rPr>
        <w:t xml:space="preserve"> </w:t>
      </w:r>
    </w:p>
    <w:p w:rsidR="00872589" w:rsidRPr="008C56DB" w:rsidRDefault="00872589" w:rsidP="00872589">
      <w:pPr>
        <w:pStyle w:val="Ruller4"/>
        <w:numPr>
          <w:ilvl w:val="0"/>
          <w:numId w:val="0"/>
        </w:numPr>
        <w:rPr>
          <w:rtl/>
        </w:rPr>
      </w:pPr>
    </w:p>
    <w:p w:rsidR="00872589" w:rsidRPr="00EF2921" w:rsidRDefault="00872589" w:rsidP="00872589">
      <w:pPr>
        <w:pStyle w:val="Ruller5"/>
        <w:spacing w:line="360" w:lineRule="auto"/>
        <w:rPr>
          <w:rFonts w:ascii="Century" w:hAnsi="Century"/>
          <w:rtl/>
        </w:rPr>
      </w:pPr>
      <w:r w:rsidRPr="00EF2921">
        <w:rPr>
          <w:rFonts w:ascii="Century" w:hAnsi="Century" w:cs="Miriam" w:hint="cs"/>
          <w:b/>
          <w:spacing w:val="0"/>
          <w:szCs w:val="24"/>
          <w:rtl/>
        </w:rPr>
        <w:t xml:space="preserve">"חוק השבות הוא מחוקי-השתיה של מדינת-ישראל. הוא מכיל ייעוד מרכזי של מדינתנו, הייעוד של קיבוץ גלויות. חוק זה קובע, שלא המדינה מקנה ליהודי חוץ-לארץ זכות להתיישב במדינה, אלא זכות זו טבועה בו באשר הוא יהודי [...] זכות זו קדמה למדינת-ישראל, והיא-היא שבנתה המדינה" </w:t>
      </w:r>
      <w:r>
        <w:rPr>
          <w:rFonts w:ascii="Century" w:hAnsi="Century" w:hint="cs"/>
          <w:rtl/>
        </w:rPr>
        <w:t>(ד"כ 3.7.1950, 2037-2036)</w:t>
      </w:r>
    </w:p>
    <w:p w:rsidR="00872589" w:rsidRDefault="00872589" w:rsidP="00872589">
      <w:pPr>
        <w:pStyle w:val="Ruller41"/>
        <w:rPr>
          <w:rtl/>
        </w:rPr>
      </w:pPr>
    </w:p>
    <w:p w:rsidR="00872589" w:rsidRDefault="00872589" w:rsidP="00872589">
      <w:pPr>
        <w:pStyle w:val="Ruller41"/>
        <w:rPr>
          <w:rtl/>
        </w:rPr>
      </w:pPr>
      <w:r>
        <w:rPr>
          <w:rtl/>
        </w:rPr>
        <w:tab/>
      </w:r>
      <w:r>
        <w:rPr>
          <w:rFonts w:hint="cs"/>
          <w:rtl/>
        </w:rPr>
        <w:t xml:space="preserve">אוסיף על כך עוד מעט דברי מבוא, בשיעור הנחוץ עבור הצגת עמדתי בשאלה שעל הפרק. </w:t>
      </w:r>
    </w:p>
    <w:p w:rsidR="00872589" w:rsidRDefault="00872589" w:rsidP="00872589">
      <w:pPr>
        <w:pStyle w:val="Ruller41"/>
        <w:rPr>
          <w:rtl/>
        </w:rPr>
      </w:pPr>
    </w:p>
    <w:p w:rsidR="00872589" w:rsidRPr="00F0010D" w:rsidRDefault="00872589" w:rsidP="00872589">
      <w:pPr>
        <w:pStyle w:val="Ruller4"/>
        <w:textAlignment w:val="baseline"/>
      </w:pPr>
      <w:r>
        <w:rPr>
          <w:rFonts w:hint="cs"/>
          <w:rtl/>
        </w:rPr>
        <w:t xml:space="preserve">סעיף 1 לחוק השבות, שכותרתו </w:t>
      </w:r>
      <w:r w:rsidRPr="00F0010D">
        <w:rPr>
          <w:rFonts w:ascii="Century" w:hAnsi="Century" w:cs="Miriam" w:hint="cs"/>
          <w:b/>
          <w:spacing w:val="0"/>
          <w:sz w:val="22"/>
          <w:szCs w:val="24"/>
          <w:rtl/>
        </w:rPr>
        <w:t>"הזכות לעליה"</w:t>
      </w:r>
      <w:r>
        <w:rPr>
          <w:rFonts w:hint="cs"/>
          <w:rtl/>
        </w:rPr>
        <w:t xml:space="preserve">, פותח את החוק בהכרזה החשובה, שלפיה </w:t>
      </w:r>
      <w:r w:rsidRPr="00F0010D">
        <w:rPr>
          <w:rFonts w:ascii="Century" w:hAnsi="Century" w:cs="Miriam" w:hint="cs"/>
          <w:b/>
          <w:spacing w:val="0"/>
          <w:sz w:val="22"/>
          <w:szCs w:val="24"/>
          <w:rtl/>
        </w:rPr>
        <w:t>"כל יהודי זכאי לעלות ארצה</w:t>
      </w:r>
      <w:r w:rsidRPr="00921FFE">
        <w:rPr>
          <w:rFonts w:ascii="Century" w:hAnsi="Century" w:cs="Miriam" w:hint="cs"/>
          <w:b/>
          <w:spacing w:val="0"/>
          <w:sz w:val="22"/>
          <w:szCs w:val="24"/>
          <w:rtl/>
        </w:rPr>
        <w:t>"</w:t>
      </w:r>
      <w:r w:rsidRPr="00921FFE">
        <w:rPr>
          <w:rFonts w:hint="cs"/>
          <w:rtl/>
        </w:rPr>
        <w:t xml:space="preserve">. בתחילה, נמנע המחוקק ממתן תשובה לשאלת 'מיהו יהודי', לצרכי חוק השבות (ראו: </w:t>
      </w:r>
      <w:r w:rsidRPr="00921FFE">
        <w:rPr>
          <w:rFonts w:hint="eastAsia"/>
          <w:rtl/>
        </w:rPr>
        <w:t>משה</w:t>
      </w:r>
      <w:r w:rsidRPr="00921FFE">
        <w:rPr>
          <w:rtl/>
        </w:rPr>
        <w:t xml:space="preserve"> </w:t>
      </w:r>
      <w:r w:rsidRPr="00921FFE">
        <w:rPr>
          <w:rFonts w:hint="eastAsia"/>
          <w:rtl/>
        </w:rPr>
        <w:t>זילברג</w:t>
      </w:r>
      <w:r w:rsidRPr="00921FFE">
        <w:rPr>
          <w:rtl/>
        </w:rPr>
        <w:t xml:space="preserve"> </w:t>
      </w:r>
      <w:r w:rsidRPr="00921FFE">
        <w:rPr>
          <w:rFonts w:ascii="Century" w:hAnsi="Century" w:cs="Miriam" w:hint="eastAsia"/>
          <w:b/>
          <w:spacing w:val="0"/>
          <w:sz w:val="22"/>
          <w:szCs w:val="24"/>
          <w:rtl/>
        </w:rPr>
        <w:t>המעמד</w:t>
      </w:r>
      <w:r w:rsidRPr="00921FFE">
        <w:rPr>
          <w:rFonts w:ascii="Century" w:hAnsi="Century" w:cs="Miriam"/>
          <w:b/>
          <w:spacing w:val="0"/>
          <w:sz w:val="22"/>
          <w:szCs w:val="24"/>
          <w:rtl/>
        </w:rPr>
        <w:t xml:space="preserve"> </w:t>
      </w:r>
      <w:r w:rsidRPr="00921FFE">
        <w:rPr>
          <w:rFonts w:ascii="Century" w:hAnsi="Century" w:cs="Miriam" w:hint="eastAsia"/>
          <w:b/>
          <w:spacing w:val="0"/>
          <w:sz w:val="22"/>
          <w:szCs w:val="24"/>
          <w:rtl/>
        </w:rPr>
        <w:t>האישי</w:t>
      </w:r>
      <w:r w:rsidRPr="00921FFE">
        <w:rPr>
          <w:rFonts w:ascii="Century" w:hAnsi="Century" w:cs="Miriam"/>
          <w:b/>
          <w:spacing w:val="0"/>
          <w:sz w:val="22"/>
          <w:szCs w:val="24"/>
          <w:rtl/>
        </w:rPr>
        <w:t xml:space="preserve"> </w:t>
      </w:r>
      <w:r w:rsidRPr="00921FFE">
        <w:rPr>
          <w:rFonts w:ascii="Century" w:hAnsi="Century" w:cs="Miriam" w:hint="eastAsia"/>
          <w:b/>
          <w:spacing w:val="0"/>
          <w:sz w:val="22"/>
          <w:szCs w:val="24"/>
          <w:rtl/>
        </w:rPr>
        <w:t>בישראל</w:t>
      </w:r>
      <w:r w:rsidRPr="00921FFE">
        <w:rPr>
          <w:rtl/>
        </w:rPr>
        <w:t xml:space="preserve"> 349 (19</w:t>
      </w:r>
      <w:r w:rsidRPr="00921FFE">
        <w:rPr>
          <w:rFonts w:hint="cs"/>
          <w:rtl/>
        </w:rPr>
        <w:t>5</w:t>
      </w:r>
      <w:r w:rsidRPr="00921FFE">
        <w:rPr>
          <w:rtl/>
        </w:rPr>
        <w:t>7</w:t>
      </w:r>
      <w:r w:rsidRPr="00921FFE">
        <w:rPr>
          <w:rFonts w:hint="cs"/>
          <w:rtl/>
        </w:rPr>
        <w:t xml:space="preserve">); זרח ורהפטיג </w:t>
      </w:r>
      <w:r w:rsidRPr="00921FFE">
        <w:rPr>
          <w:rFonts w:ascii="Century" w:hAnsi="Century" w:cs="Miriam" w:hint="cs"/>
          <w:b/>
          <w:spacing w:val="0"/>
          <w:sz w:val="22"/>
          <w:szCs w:val="24"/>
          <w:rtl/>
        </w:rPr>
        <w:t>חוקה לישראל דת ומדינה</w:t>
      </w:r>
      <w:r w:rsidRPr="00921FFE">
        <w:rPr>
          <w:rFonts w:hint="cs"/>
          <w:rtl/>
        </w:rPr>
        <w:t xml:space="preserve"> 154-153 (1988); חיים כהן "חוק השבות" </w:t>
      </w:r>
      <w:r w:rsidRPr="00921FFE">
        <w:rPr>
          <w:rFonts w:ascii="Century" w:hAnsi="Century" w:cs="Miriam" w:hint="cs"/>
          <w:b/>
          <w:spacing w:val="0"/>
          <w:sz w:val="22"/>
          <w:szCs w:val="24"/>
          <w:rtl/>
        </w:rPr>
        <w:t xml:space="preserve">חיים כהן </w:t>
      </w:r>
      <w:r w:rsidRPr="00921FFE">
        <w:rPr>
          <w:rFonts w:ascii="Century" w:hAnsi="Century"/>
          <w:sz w:val="22"/>
          <w:rtl/>
        </w:rPr>
        <w:t>–</w:t>
      </w:r>
      <w:r w:rsidRPr="00921FFE">
        <w:rPr>
          <w:rFonts w:ascii="Century" w:hAnsi="Century" w:cs="Miriam" w:hint="cs"/>
          <w:b/>
          <w:spacing w:val="0"/>
          <w:sz w:val="22"/>
          <w:szCs w:val="24"/>
          <w:rtl/>
        </w:rPr>
        <w:t xml:space="preserve"> מבחר כתבים</w:t>
      </w:r>
      <w:r w:rsidRPr="00921FFE">
        <w:rPr>
          <w:rFonts w:hint="cs"/>
          <w:rtl/>
        </w:rPr>
        <w:t xml:space="preserve"> 312, 314</w:t>
      </w:r>
      <w:r w:rsidRPr="00F12921">
        <w:rPr>
          <w:rFonts w:hint="cs"/>
          <w:rtl/>
        </w:rPr>
        <w:t xml:space="preserve"> (אהרן ברק ורות גביזון עורכים 1992)). בהעדר</w:t>
      </w:r>
      <w:r>
        <w:rPr>
          <w:rFonts w:hint="cs"/>
          <w:rtl/>
        </w:rPr>
        <w:t xml:space="preserve"> הגדרה חקוקה </w:t>
      </w:r>
      <w:r>
        <w:rPr>
          <w:rtl/>
        </w:rPr>
        <w:t>–</w:t>
      </w:r>
      <w:r>
        <w:rPr>
          <w:rFonts w:hint="cs"/>
          <w:rtl/>
        </w:rPr>
        <w:t xml:space="preserve"> הגיעה השאלה לפתחו של בית משפט זה, שנדרש לה במסגרת מספר פסקי דין. אחד מן המפורסמים שבהם, שעסק בשאלת 'מיהו יהודי' לצרכי מרשם האוכלוסין </w:t>
      </w:r>
      <w:r>
        <w:rPr>
          <w:rtl/>
        </w:rPr>
        <w:t>–</w:t>
      </w:r>
      <w:r>
        <w:rPr>
          <w:rFonts w:hint="cs"/>
          <w:rtl/>
        </w:rPr>
        <w:t xml:space="preserve"> </w:t>
      </w:r>
      <w:r w:rsidRPr="00784C6F">
        <w:rPr>
          <w:rtl/>
        </w:rPr>
        <w:t xml:space="preserve">בג"ץ 58/68 </w:t>
      </w:r>
      <w:r w:rsidRPr="007E20F7">
        <w:rPr>
          <w:rFonts w:ascii="Century" w:hAnsi="Century" w:cs="Miriam" w:hint="eastAsia"/>
          <w:b/>
          <w:spacing w:val="0"/>
          <w:sz w:val="22"/>
          <w:szCs w:val="24"/>
          <w:rtl/>
        </w:rPr>
        <w:t>שליט</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נ</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שר</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הפנים</w:t>
      </w:r>
      <w:r w:rsidRPr="00784C6F">
        <w:rPr>
          <w:rtl/>
        </w:rPr>
        <w:t>, פ"ד כג(2) 477 (1970)</w:t>
      </w:r>
      <w:r>
        <w:rPr>
          <w:rFonts w:hint="cs"/>
          <w:rtl/>
        </w:rPr>
        <w:t xml:space="preserve"> </w:t>
      </w:r>
      <w:r>
        <w:rPr>
          <w:rtl/>
        </w:rPr>
        <w:t>–</w:t>
      </w:r>
      <w:r>
        <w:rPr>
          <w:rFonts w:hint="cs"/>
          <w:rtl/>
        </w:rPr>
        <w:t xml:space="preserve"> הניע את המחוקק לפעולה, וזה חוקק, סמוך לאחר פרסום פסק הדין הנ"ל, ובתגובה לו, את תיקון מספר 2 לחוק (</w:t>
      </w:r>
      <w:r w:rsidRPr="00784C6F">
        <w:rPr>
          <w:rtl/>
        </w:rPr>
        <w:t>חוק השבות (תיקון מס</w:t>
      </w:r>
      <w:r>
        <w:rPr>
          <w:rFonts w:hint="cs"/>
          <w:rtl/>
        </w:rPr>
        <w:t>פר</w:t>
      </w:r>
      <w:r w:rsidRPr="00784C6F">
        <w:rPr>
          <w:rtl/>
        </w:rPr>
        <w:t xml:space="preserve"> 2) התש"ל-1970, ס"ח 582 </w:t>
      </w:r>
      <w:r w:rsidRPr="00784C6F">
        <w:rPr>
          <w:rFonts w:hint="cs"/>
          <w:rtl/>
        </w:rPr>
        <w:t>(</w:t>
      </w:r>
      <w:r w:rsidRPr="00784C6F">
        <w:rPr>
          <w:rtl/>
        </w:rPr>
        <w:t xml:space="preserve">להלן: </w:t>
      </w:r>
      <w:r w:rsidRPr="007E20F7">
        <w:rPr>
          <w:rFonts w:ascii="Century" w:hAnsi="Century" w:cs="Miriam" w:hint="eastAsia"/>
          <w:b/>
          <w:spacing w:val="0"/>
          <w:szCs w:val="24"/>
          <w:rtl/>
        </w:rPr>
        <w:t>התיקון</w:t>
      </w:r>
      <w:r>
        <w:rPr>
          <w:rFonts w:hint="cs"/>
          <w:rtl/>
        </w:rPr>
        <w:t xml:space="preserve"> או </w:t>
      </w:r>
      <w:r w:rsidRPr="000D5017">
        <w:rPr>
          <w:rFonts w:ascii="Century" w:hAnsi="Century" w:cs="Miriam" w:hint="cs"/>
          <w:b/>
          <w:spacing w:val="0"/>
          <w:sz w:val="22"/>
          <w:szCs w:val="24"/>
          <w:rtl/>
        </w:rPr>
        <w:t>תיקון מספר 2</w:t>
      </w:r>
      <w:r w:rsidRPr="00784C6F">
        <w:rPr>
          <w:rtl/>
        </w:rPr>
        <w:t>)</w:t>
      </w:r>
      <w:r>
        <w:rPr>
          <w:rFonts w:hint="cs"/>
          <w:rtl/>
        </w:rPr>
        <w:t xml:space="preserve">). במסגרת התיקון אומצה, בעיקרו של דבר, ההגדרה ההלכתית לשאלת 'מיהו יהודי': </w:t>
      </w:r>
      <w:r w:rsidRPr="007E20F7">
        <w:rPr>
          <w:rFonts w:ascii="Century" w:hAnsi="Century" w:cs="Miriam"/>
          <w:b/>
          <w:spacing w:val="0"/>
          <w:sz w:val="22"/>
          <w:szCs w:val="24"/>
          <w:rtl/>
        </w:rPr>
        <w:t>"</w:t>
      </w:r>
      <w:r w:rsidRPr="007E20F7">
        <w:rPr>
          <w:rFonts w:ascii="Century" w:hAnsi="Century" w:cs="Miriam" w:hint="eastAsia"/>
          <w:b/>
          <w:spacing w:val="0"/>
          <w:sz w:val="22"/>
          <w:szCs w:val="24"/>
          <w:rtl/>
        </w:rPr>
        <w:t>לענין</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חוק</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זה</w:t>
      </w:r>
      <w:r w:rsidRPr="007E20F7">
        <w:rPr>
          <w:rFonts w:ascii="Century" w:hAnsi="Century" w:cs="Miriam"/>
          <w:b/>
          <w:spacing w:val="0"/>
          <w:sz w:val="22"/>
          <w:szCs w:val="24"/>
          <w:rtl/>
        </w:rPr>
        <w:t>, '</w:t>
      </w:r>
      <w:r w:rsidRPr="007E20F7">
        <w:rPr>
          <w:rFonts w:ascii="Century" w:hAnsi="Century" w:cs="Miriam" w:hint="eastAsia"/>
          <w:b/>
          <w:spacing w:val="0"/>
          <w:sz w:val="22"/>
          <w:szCs w:val="24"/>
          <w:rtl/>
        </w:rPr>
        <w:t>יהודי</w:t>
      </w:r>
      <w:r w:rsidRPr="007E20F7">
        <w:rPr>
          <w:rFonts w:ascii="Century" w:hAnsi="Century" w:cs="Miriam"/>
          <w:b/>
          <w:spacing w:val="0"/>
          <w:sz w:val="22"/>
          <w:szCs w:val="24"/>
          <w:rtl/>
        </w:rPr>
        <w:t xml:space="preserve">' </w:t>
      </w:r>
      <w:r w:rsidRPr="007E20F7">
        <w:rPr>
          <w:rFonts w:ascii="Century" w:hAnsi="Century"/>
          <w:sz w:val="22"/>
          <w:rtl/>
        </w:rPr>
        <w:t>–</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מי</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שנולד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לאם</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יהודיה</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או</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שנתגייר</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והוא</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אינו</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בן</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דת</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אחרת</w:t>
      </w:r>
      <w:r w:rsidRPr="007E20F7">
        <w:rPr>
          <w:rFonts w:ascii="Century" w:hAnsi="Century" w:cs="Miriam"/>
          <w:b/>
          <w:spacing w:val="0"/>
          <w:sz w:val="22"/>
          <w:szCs w:val="24"/>
          <w:rtl/>
        </w:rPr>
        <w:t>"</w:t>
      </w:r>
      <w:r>
        <w:rPr>
          <w:rFonts w:hint="cs"/>
          <w:rtl/>
        </w:rPr>
        <w:t xml:space="preserve"> (סעיף 4ב לחוק). בד בבד עם חקיקת הגדרה זו, נקט המחוקק מהלך נוסף, שבגדרו הרחיב את מעגל הזכאים מכוח החוק, אף למי שאינו 'יהודי' על פי ההגדרה ההלכתית-חקיקתית הנ"ל, ובלבד שקשור הוא בקשרי משפחה מסוימים ל'יהודי': </w:t>
      </w:r>
      <w:r w:rsidRPr="007E20F7">
        <w:rPr>
          <w:rFonts w:ascii="Century" w:hAnsi="Century" w:cs="Miriam"/>
          <w:b/>
          <w:spacing w:val="0"/>
          <w:szCs w:val="24"/>
          <w:rtl/>
        </w:rPr>
        <w:t>"</w:t>
      </w:r>
      <w:r w:rsidRPr="007E20F7">
        <w:rPr>
          <w:rFonts w:ascii="Century" w:hAnsi="Century" w:cs="Miriam" w:hint="eastAsia"/>
          <w:b/>
          <w:spacing w:val="0"/>
          <w:szCs w:val="24"/>
          <w:rtl/>
        </w:rPr>
        <w:t>הזכויות</w:t>
      </w:r>
      <w:r w:rsidRPr="007E20F7">
        <w:rPr>
          <w:rFonts w:ascii="Century" w:hAnsi="Century" w:cs="Miriam"/>
          <w:b/>
          <w:spacing w:val="0"/>
          <w:szCs w:val="24"/>
          <w:rtl/>
        </w:rPr>
        <w:t xml:space="preserve"> </w:t>
      </w:r>
      <w:r w:rsidRPr="007E20F7">
        <w:rPr>
          <w:rFonts w:ascii="Century" w:hAnsi="Century" w:cs="Miriam" w:hint="eastAsia"/>
          <w:b/>
          <w:spacing w:val="0"/>
          <w:szCs w:val="24"/>
          <w:rtl/>
        </w:rPr>
        <w:t>של</w:t>
      </w:r>
      <w:r w:rsidRPr="007E20F7">
        <w:rPr>
          <w:rFonts w:ascii="Century" w:hAnsi="Century" w:cs="Miriam"/>
          <w:b/>
          <w:spacing w:val="0"/>
          <w:szCs w:val="24"/>
          <w:rtl/>
        </w:rPr>
        <w:t xml:space="preserve"> </w:t>
      </w:r>
      <w:r w:rsidRPr="007E20F7">
        <w:rPr>
          <w:rFonts w:ascii="Century" w:hAnsi="Century" w:cs="Miriam" w:hint="eastAsia"/>
          <w:b/>
          <w:spacing w:val="0"/>
          <w:szCs w:val="24"/>
          <w:rtl/>
        </w:rPr>
        <w:t>יהודי</w:t>
      </w:r>
      <w:r w:rsidRPr="007E20F7">
        <w:rPr>
          <w:rFonts w:ascii="Century" w:hAnsi="Century" w:cs="Miriam"/>
          <w:b/>
          <w:spacing w:val="0"/>
          <w:szCs w:val="24"/>
          <w:rtl/>
        </w:rPr>
        <w:t xml:space="preserve"> </w:t>
      </w:r>
      <w:r w:rsidRPr="007E20F7">
        <w:rPr>
          <w:rFonts w:ascii="Century" w:hAnsi="Century" w:cs="Miriam" w:hint="eastAsia"/>
          <w:b/>
          <w:spacing w:val="0"/>
          <w:szCs w:val="24"/>
          <w:rtl/>
        </w:rPr>
        <w:t>לפי</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חוק</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השבות</w:t>
      </w:r>
      <w:r w:rsidRPr="007E20F7">
        <w:rPr>
          <w:rFonts w:ascii="Century" w:hAnsi="Century" w:cs="Miriam"/>
          <w:b/>
          <w:spacing w:val="0"/>
          <w:sz w:val="22"/>
          <w:szCs w:val="24"/>
          <w:rtl/>
        </w:rPr>
        <w:t xml:space="preserve">] [...] </w:t>
      </w:r>
      <w:r w:rsidRPr="007E20F7">
        <w:rPr>
          <w:rFonts w:ascii="Century" w:hAnsi="Century" w:cs="Miriam" w:hint="eastAsia"/>
          <w:b/>
          <w:spacing w:val="0"/>
          <w:sz w:val="22"/>
          <w:szCs w:val="24"/>
          <w:rtl/>
        </w:rPr>
        <w:t>מוקנות</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גם</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לילד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ולנכד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יהודי</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לבן</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זוג</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יהודי</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ולבן</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זוג</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ילד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ושל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נכד</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של</w:t>
      </w:r>
      <w:r w:rsidRPr="007E20F7">
        <w:rPr>
          <w:rFonts w:ascii="Century" w:hAnsi="Century" w:cs="Miriam"/>
          <w:b/>
          <w:spacing w:val="0"/>
          <w:sz w:val="22"/>
          <w:szCs w:val="24"/>
          <w:rtl/>
        </w:rPr>
        <w:t xml:space="preserve"> </w:t>
      </w:r>
      <w:r w:rsidRPr="007E20F7">
        <w:rPr>
          <w:rFonts w:ascii="Century" w:hAnsi="Century" w:cs="Miriam" w:hint="eastAsia"/>
          <w:b/>
          <w:spacing w:val="0"/>
          <w:sz w:val="22"/>
          <w:szCs w:val="24"/>
          <w:rtl/>
        </w:rPr>
        <w:t>יהודי</w:t>
      </w:r>
      <w:r w:rsidRPr="007E20F7">
        <w:rPr>
          <w:rFonts w:ascii="Century" w:hAnsi="Century" w:cs="Miriam"/>
          <w:b/>
          <w:spacing w:val="0"/>
          <w:sz w:val="22"/>
          <w:szCs w:val="24"/>
          <w:rtl/>
        </w:rPr>
        <w:t xml:space="preserve">" </w:t>
      </w:r>
      <w:r>
        <w:rPr>
          <w:rFonts w:hint="cs"/>
          <w:rtl/>
        </w:rPr>
        <w:t>(סעיף 4א(א) לחוק).</w:t>
      </w:r>
      <w:r w:rsidRPr="007E20F7">
        <w:rPr>
          <w:noProof/>
          <w:sz w:val="18"/>
          <w:szCs w:val="18"/>
          <w:rtl/>
        </w:rPr>
        <w:t xml:space="preserve"> </w:t>
      </w:r>
    </w:p>
    <w:p w:rsidR="00872589" w:rsidRPr="00F0010D" w:rsidRDefault="00872589" w:rsidP="00872589">
      <w:pPr>
        <w:pStyle w:val="Ruller4"/>
        <w:numPr>
          <w:ilvl w:val="0"/>
          <w:numId w:val="0"/>
        </w:numPr>
      </w:pPr>
    </w:p>
    <w:p w:rsidR="00872589" w:rsidRPr="00F0010D" w:rsidRDefault="00872589" w:rsidP="00872589">
      <w:pPr>
        <w:pStyle w:val="Ruller4"/>
        <w:textAlignment w:val="baseline"/>
        <w:rPr>
          <w:rtl/>
        </w:rPr>
      </w:pPr>
      <w:r>
        <w:rPr>
          <w:rFonts w:hint="cs"/>
          <w:rtl/>
        </w:rPr>
        <w:lastRenderedPageBreak/>
        <w:t xml:space="preserve">פועל יוצא מכך הוא, שהוראתו המעשית של החוק רחבה מן ההצהרה שניצבת בראשו: לא רק 'כל </w:t>
      </w:r>
      <w:r w:rsidRPr="00F0010D">
        <w:rPr>
          <w:rFonts w:ascii="Century" w:hAnsi="Century" w:cs="Miriam" w:hint="cs"/>
          <w:b/>
          <w:spacing w:val="0"/>
          <w:sz w:val="22"/>
          <w:szCs w:val="24"/>
          <w:rtl/>
        </w:rPr>
        <w:t>יהודי</w:t>
      </w:r>
      <w:r w:rsidRPr="00151E40">
        <w:rPr>
          <w:rFonts w:hint="cs"/>
          <w:rtl/>
        </w:rPr>
        <w:t xml:space="preserve"> </w:t>
      </w:r>
      <w:r>
        <w:rPr>
          <w:rFonts w:hint="cs"/>
          <w:rtl/>
        </w:rPr>
        <w:t xml:space="preserve">זכאי לעלות ארצה', כהוראת סעיף 1 הנ"ל, אלא זכאים לכך גם חלק מבני משפחתו, אף שאינם באים בגדר 'יהודי', כמשמעות ביטוי זה בסעיף 4ב לחוק; בין אלה, מצויים ילדוֹ ונכדוֹ של היהודי, במקרים שבהם הללו אינם יהודים בעצמם (אלה יכונו להלן, לפי ההקשר: </w:t>
      </w:r>
      <w:r w:rsidRPr="00E64E5C">
        <w:rPr>
          <w:rFonts w:ascii="Century" w:hAnsi="Century" w:cs="Miriam" w:hint="cs"/>
          <w:b/>
          <w:spacing w:val="0"/>
          <w:sz w:val="22"/>
          <w:szCs w:val="24"/>
          <w:rtl/>
        </w:rPr>
        <w:t>זַכּאֵי שבות</w:t>
      </w:r>
      <w:r w:rsidRPr="00E64E5C">
        <w:rPr>
          <w:rFonts w:hint="cs"/>
          <w:rtl/>
        </w:rPr>
        <w:t xml:space="preserve"> או </w:t>
      </w:r>
      <w:r w:rsidRPr="00E64E5C">
        <w:rPr>
          <w:rFonts w:ascii="Century" w:hAnsi="Century" w:cs="Miriam" w:hint="eastAsia"/>
          <w:b/>
          <w:spacing w:val="0"/>
          <w:sz w:val="22"/>
          <w:szCs w:val="24"/>
          <w:rtl/>
        </w:rPr>
        <w:t>ז</w:t>
      </w:r>
      <w:r w:rsidRPr="00E64E5C">
        <w:rPr>
          <w:rFonts w:ascii="Century" w:hAnsi="Century" w:cs="Miriam" w:hint="cs"/>
          <w:b/>
          <w:spacing w:val="0"/>
          <w:sz w:val="22"/>
          <w:szCs w:val="24"/>
          <w:rtl/>
        </w:rPr>
        <w:t>ַ</w:t>
      </w:r>
      <w:r w:rsidRPr="00E64E5C">
        <w:rPr>
          <w:rFonts w:ascii="Century" w:hAnsi="Century" w:cs="Miriam" w:hint="eastAsia"/>
          <w:b/>
          <w:spacing w:val="0"/>
          <w:sz w:val="22"/>
          <w:szCs w:val="24"/>
          <w:rtl/>
        </w:rPr>
        <w:t>כ</w:t>
      </w:r>
      <w:r w:rsidRPr="00E64E5C">
        <w:rPr>
          <w:rFonts w:ascii="Century" w:hAnsi="Century" w:cs="Miriam" w:hint="cs"/>
          <w:b/>
          <w:spacing w:val="0"/>
          <w:sz w:val="22"/>
          <w:szCs w:val="24"/>
          <w:rtl/>
        </w:rPr>
        <w:t>ַּ</w:t>
      </w:r>
      <w:r w:rsidRPr="00E64E5C">
        <w:rPr>
          <w:rFonts w:ascii="Century" w:hAnsi="Century" w:cs="Miriam" w:hint="eastAsia"/>
          <w:b/>
          <w:spacing w:val="0"/>
          <w:sz w:val="22"/>
          <w:szCs w:val="24"/>
          <w:rtl/>
        </w:rPr>
        <w:t>אי</w:t>
      </w:r>
      <w:r w:rsidRPr="00E64E5C">
        <w:rPr>
          <w:rFonts w:ascii="Century" w:hAnsi="Century" w:cs="Miriam"/>
          <w:b/>
          <w:spacing w:val="0"/>
          <w:sz w:val="22"/>
          <w:szCs w:val="24"/>
          <w:rtl/>
        </w:rPr>
        <w:t xml:space="preserve"> </w:t>
      </w:r>
      <w:r w:rsidRPr="00E64E5C">
        <w:rPr>
          <w:rFonts w:ascii="Century" w:hAnsi="Century" w:cs="Miriam" w:hint="eastAsia"/>
          <w:b/>
          <w:spacing w:val="0"/>
          <w:sz w:val="22"/>
          <w:szCs w:val="24"/>
          <w:rtl/>
        </w:rPr>
        <w:t>שבות</w:t>
      </w:r>
      <w:r>
        <w:rPr>
          <w:rFonts w:hint="cs"/>
          <w:rtl/>
        </w:rPr>
        <w:t xml:space="preserve">), כמו גם בן הזוג של היהודי ובני הזוג של זכאי השבות (לעניין המתח המסוים שבין שני רכיביו </w:t>
      </w:r>
      <w:r w:rsidRPr="00C1312D">
        <w:rPr>
          <w:rFonts w:hint="cs"/>
          <w:rtl/>
        </w:rPr>
        <w:t>הנזכרים של התיקון לחוק, ראו למשל</w:t>
      </w:r>
      <w:r>
        <w:rPr>
          <w:rFonts w:hint="cs"/>
          <w:rtl/>
        </w:rPr>
        <w:t xml:space="preserve"> את</w:t>
      </w:r>
      <w:r w:rsidRPr="00C1312D">
        <w:rPr>
          <w:rFonts w:hint="cs"/>
          <w:rtl/>
        </w:rPr>
        <w:t xml:space="preserve"> דברי השופט </w:t>
      </w:r>
      <w:r w:rsidRPr="00C1312D">
        <w:rPr>
          <w:rFonts w:ascii="Century" w:hAnsi="Century" w:cs="Miriam" w:hint="cs"/>
          <w:b/>
          <w:spacing w:val="0"/>
          <w:sz w:val="22"/>
          <w:szCs w:val="24"/>
          <w:rtl/>
        </w:rPr>
        <w:t>מ' חשין</w:t>
      </w:r>
      <w:r w:rsidRPr="00C1312D">
        <w:rPr>
          <w:rFonts w:hint="cs"/>
          <w:rtl/>
        </w:rPr>
        <w:t xml:space="preserve"> ב</w:t>
      </w:r>
      <w:r w:rsidRPr="00C1312D">
        <w:rPr>
          <w:rFonts w:hint="eastAsia"/>
          <w:rtl/>
        </w:rPr>
        <w:t>בג</w:t>
      </w:r>
      <w:r w:rsidRPr="00C1312D">
        <w:rPr>
          <w:rtl/>
        </w:rPr>
        <w:t>"</w:t>
      </w:r>
      <w:r w:rsidRPr="00C1312D">
        <w:rPr>
          <w:rFonts w:hint="eastAsia"/>
          <w:rtl/>
        </w:rPr>
        <w:t>ץ</w:t>
      </w:r>
      <w:r w:rsidRPr="00C1312D">
        <w:rPr>
          <w:rtl/>
        </w:rPr>
        <w:t xml:space="preserve"> 3648/97 </w:t>
      </w:r>
      <w:r w:rsidRPr="00C1312D">
        <w:rPr>
          <w:rFonts w:ascii="Century" w:hAnsi="Century" w:cs="Miriam" w:hint="eastAsia"/>
          <w:b/>
          <w:spacing w:val="0"/>
          <w:sz w:val="22"/>
          <w:szCs w:val="24"/>
          <w:rtl/>
        </w:rPr>
        <w:t>סטמקה</w:t>
      </w:r>
      <w:r w:rsidRPr="00C1312D">
        <w:rPr>
          <w:rFonts w:ascii="Century" w:hAnsi="Century" w:cs="Miriam"/>
          <w:b/>
          <w:spacing w:val="0"/>
          <w:sz w:val="22"/>
          <w:szCs w:val="24"/>
          <w:rtl/>
        </w:rPr>
        <w:t xml:space="preserve"> </w:t>
      </w:r>
      <w:r w:rsidRPr="00C1312D">
        <w:rPr>
          <w:rFonts w:ascii="Century" w:hAnsi="Century" w:cs="Miriam" w:hint="eastAsia"/>
          <w:b/>
          <w:spacing w:val="0"/>
          <w:sz w:val="22"/>
          <w:szCs w:val="24"/>
          <w:rtl/>
        </w:rPr>
        <w:t>נ</w:t>
      </w:r>
      <w:r w:rsidRPr="00C1312D">
        <w:rPr>
          <w:rFonts w:ascii="Century" w:hAnsi="Century" w:cs="Miriam"/>
          <w:b/>
          <w:spacing w:val="0"/>
          <w:sz w:val="22"/>
          <w:szCs w:val="24"/>
          <w:rtl/>
        </w:rPr>
        <w:t xml:space="preserve">' </w:t>
      </w:r>
      <w:r w:rsidRPr="00C1312D">
        <w:rPr>
          <w:rFonts w:ascii="Century" w:hAnsi="Century" w:cs="Miriam" w:hint="eastAsia"/>
          <w:b/>
          <w:spacing w:val="0"/>
          <w:sz w:val="22"/>
          <w:szCs w:val="24"/>
          <w:rtl/>
        </w:rPr>
        <w:t>שר</w:t>
      </w:r>
      <w:r w:rsidRPr="00C1312D">
        <w:rPr>
          <w:rFonts w:ascii="Century" w:hAnsi="Century" w:cs="Miriam"/>
          <w:b/>
          <w:spacing w:val="0"/>
          <w:sz w:val="22"/>
          <w:szCs w:val="24"/>
          <w:rtl/>
        </w:rPr>
        <w:t xml:space="preserve"> </w:t>
      </w:r>
      <w:r w:rsidRPr="00C1312D">
        <w:rPr>
          <w:rFonts w:ascii="Century" w:hAnsi="Century" w:cs="Miriam" w:hint="eastAsia"/>
          <w:b/>
          <w:spacing w:val="0"/>
          <w:sz w:val="22"/>
          <w:szCs w:val="24"/>
          <w:rtl/>
        </w:rPr>
        <w:t>הפנים</w:t>
      </w:r>
      <w:r w:rsidRPr="00C1312D">
        <w:rPr>
          <w:rtl/>
        </w:rPr>
        <w:t xml:space="preserve">, </w:t>
      </w:r>
      <w:r w:rsidRPr="00C1312D">
        <w:rPr>
          <w:rFonts w:hint="eastAsia"/>
          <w:rtl/>
        </w:rPr>
        <w:t>פ</w:t>
      </w:r>
      <w:r w:rsidRPr="00C1312D">
        <w:rPr>
          <w:rtl/>
        </w:rPr>
        <w:t>"</w:t>
      </w:r>
      <w:r w:rsidRPr="00C1312D">
        <w:rPr>
          <w:rFonts w:hint="eastAsia"/>
          <w:rtl/>
        </w:rPr>
        <w:t>ד</w:t>
      </w:r>
      <w:r w:rsidRPr="00C1312D">
        <w:rPr>
          <w:rtl/>
        </w:rPr>
        <w:t xml:space="preserve"> </w:t>
      </w:r>
      <w:r w:rsidRPr="00C1312D">
        <w:rPr>
          <w:rFonts w:hint="eastAsia"/>
          <w:rtl/>
        </w:rPr>
        <w:t>נג</w:t>
      </w:r>
      <w:r w:rsidRPr="00C1312D">
        <w:rPr>
          <w:rtl/>
        </w:rPr>
        <w:t>(2) 728</w:t>
      </w:r>
      <w:r w:rsidRPr="00C1312D">
        <w:rPr>
          <w:rFonts w:hint="cs"/>
          <w:rtl/>
        </w:rPr>
        <w:t>, 755-754</w:t>
      </w:r>
      <w:r w:rsidRPr="00C1312D">
        <w:rPr>
          <w:rtl/>
        </w:rPr>
        <w:t xml:space="preserve"> (1999) (</w:t>
      </w:r>
      <w:r w:rsidRPr="00C1312D">
        <w:rPr>
          <w:rFonts w:hint="eastAsia"/>
          <w:rtl/>
        </w:rPr>
        <w:t>להלן</w:t>
      </w:r>
      <w:r w:rsidRPr="00C1312D">
        <w:rPr>
          <w:rtl/>
        </w:rPr>
        <w:t xml:space="preserve">: </w:t>
      </w:r>
      <w:r w:rsidRPr="00C1312D">
        <w:rPr>
          <w:rFonts w:ascii="Century" w:hAnsi="Century" w:cs="Miriam" w:hint="eastAsia"/>
          <w:b/>
          <w:spacing w:val="0"/>
          <w:sz w:val="22"/>
          <w:szCs w:val="24"/>
          <w:rtl/>
        </w:rPr>
        <w:t>עניין</w:t>
      </w:r>
      <w:r w:rsidRPr="00C1312D">
        <w:rPr>
          <w:rFonts w:ascii="Century" w:hAnsi="Century" w:cs="Miriam"/>
          <w:b/>
          <w:spacing w:val="0"/>
          <w:sz w:val="22"/>
          <w:szCs w:val="24"/>
          <w:rtl/>
        </w:rPr>
        <w:t xml:space="preserve"> </w:t>
      </w:r>
      <w:r w:rsidRPr="00C1312D">
        <w:rPr>
          <w:rFonts w:ascii="Century" w:hAnsi="Century" w:cs="Miriam" w:hint="eastAsia"/>
          <w:b/>
          <w:spacing w:val="0"/>
          <w:sz w:val="22"/>
          <w:szCs w:val="24"/>
          <w:rtl/>
        </w:rPr>
        <w:t>סטמקה</w:t>
      </w:r>
      <w:r w:rsidRPr="00C1312D">
        <w:rPr>
          <w:rtl/>
        </w:rPr>
        <w:t>)</w:t>
      </w:r>
      <w:r w:rsidRPr="00C1312D">
        <w:rPr>
          <w:rFonts w:hint="cs"/>
          <w:rtl/>
        </w:rPr>
        <w:t xml:space="preserve">). על כל פנים, כפי שיוסבר בהמשך, חרף </w:t>
      </w:r>
      <w:r>
        <w:rPr>
          <w:rFonts w:hint="cs"/>
          <w:rtl/>
        </w:rPr>
        <w:t>'</w:t>
      </w:r>
      <w:r w:rsidRPr="00C1312D">
        <w:rPr>
          <w:rFonts w:hint="cs"/>
          <w:rtl/>
        </w:rPr>
        <w:t>שורה תחתונה</w:t>
      </w:r>
      <w:r>
        <w:rPr>
          <w:rFonts w:hint="cs"/>
          <w:rtl/>
        </w:rPr>
        <w:t>'</w:t>
      </w:r>
      <w:r w:rsidRPr="00C1312D">
        <w:rPr>
          <w:rFonts w:hint="cs"/>
          <w:rtl/>
        </w:rPr>
        <w:t xml:space="preserve"> זו, המרחיבה את מעגל הזכאות אל מעבר ל</w:t>
      </w:r>
      <w:r>
        <w:rPr>
          <w:rFonts w:hint="cs"/>
          <w:rtl/>
        </w:rPr>
        <w:t>'</w:t>
      </w:r>
      <w:r w:rsidRPr="00C1312D">
        <w:rPr>
          <w:rFonts w:hint="cs"/>
          <w:rtl/>
        </w:rPr>
        <w:t>יהודי</w:t>
      </w:r>
      <w:r>
        <w:rPr>
          <w:rFonts w:hint="cs"/>
          <w:rtl/>
        </w:rPr>
        <w:t>'</w:t>
      </w:r>
      <w:r w:rsidRPr="00C1312D">
        <w:rPr>
          <w:rFonts w:hint="cs"/>
          <w:rtl/>
        </w:rPr>
        <w:t xml:space="preserve"> גרידא, סבורני כי </w:t>
      </w:r>
      <w:r>
        <w:rPr>
          <w:rFonts w:hint="cs"/>
          <w:rtl/>
        </w:rPr>
        <w:t>ה</w:t>
      </w:r>
      <w:r w:rsidRPr="00C1312D">
        <w:rPr>
          <w:rFonts w:hint="cs"/>
          <w:rtl/>
        </w:rPr>
        <w:t>דרך המתוארת ש</w:t>
      </w:r>
      <w:r>
        <w:rPr>
          <w:rFonts w:hint="cs"/>
          <w:rtl/>
        </w:rPr>
        <w:t xml:space="preserve">נקט החוק </w:t>
      </w:r>
      <w:r>
        <w:rPr>
          <w:rtl/>
        </w:rPr>
        <w:t>–</w:t>
      </w:r>
      <w:r>
        <w:rPr>
          <w:rFonts w:hint="cs"/>
          <w:rtl/>
        </w:rPr>
        <w:t xml:space="preserve"> קרי, הצהרה חגיגית על זכאות ה'יהודי' בפתח החוק, ולאחר מכן הרחבת הזכאות גם לחלק מקרוביו </w:t>
      </w:r>
      <w:r>
        <w:rPr>
          <w:rtl/>
        </w:rPr>
        <w:t>–</w:t>
      </w:r>
      <w:r w:rsidRPr="00C1312D">
        <w:rPr>
          <w:rFonts w:hint="cs"/>
          <w:rtl/>
        </w:rPr>
        <w:t xml:space="preserve"> </w:t>
      </w:r>
      <w:r>
        <w:rPr>
          <w:rFonts w:hint="cs"/>
          <w:rtl/>
        </w:rPr>
        <w:t xml:space="preserve">נושאת </w:t>
      </w:r>
      <w:r w:rsidRPr="00C1312D">
        <w:rPr>
          <w:rFonts w:hint="cs"/>
          <w:rtl/>
        </w:rPr>
        <w:t>משמעות רבה, בכל הנוגע לפרשנות החוק וליישומו.</w:t>
      </w:r>
      <w:r>
        <w:rPr>
          <w:rFonts w:hint="cs"/>
          <w:rtl/>
        </w:rPr>
        <w:t xml:space="preserve">    </w:t>
      </w:r>
    </w:p>
    <w:p w:rsidR="00872589" w:rsidRDefault="00872589" w:rsidP="00872589">
      <w:pPr>
        <w:pStyle w:val="Ruller41"/>
        <w:rPr>
          <w:rtl/>
        </w:rPr>
      </w:pPr>
    </w:p>
    <w:p w:rsidR="00872589" w:rsidRDefault="00872589" w:rsidP="00872589">
      <w:pPr>
        <w:pStyle w:val="Ruller4"/>
        <w:textAlignment w:val="baseline"/>
        <w:rPr>
          <w:rtl/>
        </w:rPr>
      </w:pPr>
      <w:r>
        <w:rPr>
          <w:rFonts w:hint="cs"/>
          <w:rtl/>
        </w:rPr>
        <w:t xml:space="preserve">השאלה שלפנינו, עניינה בפרשנות אחד מרכיביה של ההרחבה האמורה, </w:t>
      </w:r>
      <w:r w:rsidRPr="00833516">
        <w:rPr>
          <w:rFonts w:ascii="Century" w:hAnsi="Century" w:cs="Miriam" w:hint="cs"/>
          <w:b/>
          <w:spacing w:val="0"/>
          <w:sz w:val="22"/>
          <w:szCs w:val="24"/>
          <w:rtl/>
        </w:rPr>
        <w:t>"בן זוג של ילד ושל נכד של יהודי"</w:t>
      </w:r>
      <w:r>
        <w:rPr>
          <w:rFonts w:hint="cs"/>
          <w:rtl/>
        </w:rPr>
        <w:t xml:space="preserve">, ובפרט: מהי הוראת החוק לגבי בני זוג אלה, במקרה שבו הילד או הנכד של היהודי, שעִמו קשרו קשרי זוגיות, נפטר בטרם מימשו את זכאותם? חברי, מ"מ הנשיא, עמד על דרך הפרשנות הנהוגה במשפטנו, שזהו בתמצית מהלכה: </w:t>
      </w:r>
    </w:p>
    <w:p w:rsidR="00872589" w:rsidRDefault="00872589" w:rsidP="00872589">
      <w:pPr>
        <w:pStyle w:val="Ruller41"/>
        <w:rPr>
          <w:rtl/>
        </w:rPr>
      </w:pPr>
    </w:p>
    <w:p w:rsidR="00872589" w:rsidRPr="00F03BDF" w:rsidRDefault="00872589" w:rsidP="00872589">
      <w:pPr>
        <w:pStyle w:val="Ruller5"/>
        <w:spacing w:line="360" w:lineRule="auto"/>
        <w:rPr>
          <w:rFonts w:ascii="Century" w:hAnsi="Century" w:cs="Miriam"/>
          <w:b/>
          <w:spacing w:val="0"/>
          <w:szCs w:val="24"/>
          <w:shd w:val="clear" w:color="auto" w:fill="FFFFFF"/>
          <w:rtl/>
        </w:rPr>
      </w:pPr>
      <w:r w:rsidRPr="00F03BDF">
        <w:rPr>
          <w:rFonts w:ascii="Century" w:hAnsi="Century" w:cs="Miriam" w:hint="cs"/>
          <w:b/>
          <w:spacing w:val="0"/>
          <w:szCs w:val="24"/>
          <w:shd w:val="clear" w:color="auto" w:fill="FFFFFF"/>
          <w:rtl/>
        </w:rPr>
        <w:t>"</w:t>
      </w:r>
      <w:r w:rsidRPr="00F03BDF">
        <w:rPr>
          <w:rFonts w:ascii="Century" w:hAnsi="Century" w:cs="Miriam"/>
          <w:b/>
          <w:spacing w:val="0"/>
          <w:szCs w:val="24"/>
          <w:shd w:val="clear" w:color="auto" w:fill="FFFFFF"/>
          <w:rtl/>
        </w:rPr>
        <w:t>פרשנותו של דבר חקיקה נעשית בשלושה שלבים: בשלב הראשון נבחנת לשונו של החוק, כאשר נקודת המוצא הינה כי אין לקבל פרשנות אשר לא ניתן למצוא לה אחיזה בלשון החוק. בשלב השני עובר הפרשן לבחינת תכליתו של החוק. יש ליתן להוראת החוק את אותה משמעות לשונית המגשימה את תכליתה של הנורמה. השלב השלישי מתרחש רק במקרה בו מתקיימות מספר תכליות לחוק, שאז יופעל שיקול דעת שיפוטי לבחירה בין התכליות השונות</w:t>
      </w:r>
      <w:r w:rsidRPr="00F03BDF">
        <w:rPr>
          <w:rFonts w:ascii="Century" w:hAnsi="Century" w:cs="Miriam" w:hint="cs"/>
          <w:b/>
          <w:spacing w:val="0"/>
          <w:szCs w:val="24"/>
          <w:shd w:val="clear" w:color="auto" w:fill="FFFFFF"/>
          <w:rtl/>
        </w:rPr>
        <w:t>"</w:t>
      </w:r>
      <w:r>
        <w:rPr>
          <w:rFonts w:ascii="Century" w:hAnsi="Century" w:cs="Miriam" w:hint="cs"/>
          <w:b/>
          <w:spacing w:val="0"/>
          <w:szCs w:val="24"/>
          <w:shd w:val="clear" w:color="auto" w:fill="FFFFFF"/>
          <w:rtl/>
        </w:rPr>
        <w:t xml:space="preserve"> </w:t>
      </w:r>
      <w:r w:rsidRPr="00F03BDF">
        <w:rPr>
          <w:rFonts w:ascii="Century" w:hAnsi="Century" w:hint="cs"/>
          <w:shd w:val="clear" w:color="auto" w:fill="FFFFFF"/>
          <w:rtl/>
        </w:rPr>
        <w:t>(</w:t>
      </w:r>
      <w:r w:rsidRPr="00F03BDF">
        <w:rPr>
          <w:rFonts w:ascii="Century" w:hAnsi="Century" w:hint="eastAsia"/>
          <w:shd w:val="clear" w:color="auto" w:fill="FFFFFF"/>
          <w:rtl/>
        </w:rPr>
        <w:t>עע</w:t>
      </w:r>
      <w:r w:rsidRPr="00F03BDF">
        <w:rPr>
          <w:rFonts w:ascii="Century" w:hAnsi="Century"/>
          <w:shd w:val="clear" w:color="auto" w:fill="FFFFFF"/>
          <w:rtl/>
        </w:rPr>
        <w:t>"</w:t>
      </w:r>
      <w:r w:rsidRPr="00F03BDF">
        <w:rPr>
          <w:rFonts w:ascii="Century" w:hAnsi="Century" w:hint="eastAsia"/>
          <w:shd w:val="clear" w:color="auto" w:fill="FFFFFF"/>
          <w:rtl/>
        </w:rPr>
        <w:t>מ</w:t>
      </w:r>
      <w:r w:rsidRPr="00F03BDF">
        <w:rPr>
          <w:rFonts w:ascii="Century" w:hAnsi="Century"/>
          <w:shd w:val="clear" w:color="auto" w:fill="FFFFFF"/>
          <w:rtl/>
        </w:rPr>
        <w:t xml:space="preserve"> 4955/07 </w:t>
      </w:r>
      <w:r w:rsidRPr="00F03BDF">
        <w:rPr>
          <w:rFonts w:ascii="Century" w:hAnsi="Century" w:cs="Miriam" w:hint="eastAsia"/>
          <w:b/>
          <w:spacing w:val="0"/>
          <w:szCs w:val="24"/>
          <w:shd w:val="clear" w:color="auto" w:fill="FFFFFF"/>
          <w:rtl/>
        </w:rPr>
        <w:t>הוועדה</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המקומית</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לתכנון</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ולבניה</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רעננה</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נ</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קרן</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תורה</w:t>
      </w:r>
      <w:r w:rsidRPr="00F03BDF">
        <w:rPr>
          <w:rFonts w:ascii="Century" w:hAnsi="Century" w:cs="Miriam"/>
          <w:b/>
          <w:spacing w:val="0"/>
          <w:szCs w:val="24"/>
          <w:shd w:val="clear" w:color="auto" w:fill="FFFFFF"/>
          <w:rtl/>
        </w:rPr>
        <w:t xml:space="preserve"> </w:t>
      </w:r>
      <w:r w:rsidRPr="00F03BDF">
        <w:rPr>
          <w:rFonts w:ascii="Century" w:hAnsi="Century" w:cs="Miriam" w:hint="eastAsia"/>
          <w:b/>
          <w:spacing w:val="0"/>
          <w:szCs w:val="24"/>
          <w:shd w:val="clear" w:color="auto" w:fill="FFFFFF"/>
          <w:rtl/>
        </w:rPr>
        <w:t>ועבודה</w:t>
      </w:r>
      <w:r w:rsidRPr="00F03BDF">
        <w:rPr>
          <w:rFonts w:ascii="Century" w:hAnsi="Century"/>
          <w:shd w:val="clear" w:color="auto" w:fill="FFFFFF"/>
          <w:rtl/>
        </w:rPr>
        <w:t xml:space="preserve">, </w:t>
      </w:r>
      <w:r>
        <w:rPr>
          <w:rFonts w:ascii="Century" w:hAnsi="Century" w:hint="cs"/>
          <w:shd w:val="clear" w:color="auto" w:fill="FFFFFF"/>
          <w:rtl/>
        </w:rPr>
        <w:t xml:space="preserve">פ"ד </w:t>
      </w:r>
      <w:r w:rsidRPr="00F03BDF">
        <w:rPr>
          <w:rFonts w:ascii="Century" w:hAnsi="Century" w:hint="eastAsia"/>
          <w:shd w:val="clear" w:color="auto" w:fill="FFFFFF"/>
          <w:rtl/>
        </w:rPr>
        <w:t>סד</w:t>
      </w:r>
      <w:r w:rsidRPr="00F03BDF">
        <w:rPr>
          <w:rFonts w:ascii="Century" w:hAnsi="Century"/>
          <w:shd w:val="clear" w:color="auto" w:fill="FFFFFF"/>
          <w:rtl/>
        </w:rPr>
        <w:t>(2) 353</w:t>
      </w:r>
      <w:r>
        <w:rPr>
          <w:rFonts w:ascii="Century" w:hAnsi="Century" w:hint="cs"/>
          <w:shd w:val="clear" w:color="auto" w:fill="FFFFFF"/>
          <w:rtl/>
        </w:rPr>
        <w:t>, 376</w:t>
      </w:r>
      <w:r>
        <w:rPr>
          <w:rFonts w:ascii="Century" w:hAnsi="Century"/>
          <w:shd w:val="clear" w:color="auto" w:fill="FFFFFF"/>
          <w:rtl/>
        </w:rPr>
        <w:t xml:space="preserve"> (2010</w:t>
      </w:r>
      <w:r>
        <w:rPr>
          <w:rFonts w:ascii="Century" w:hAnsi="Century" w:hint="cs"/>
          <w:shd w:val="clear" w:color="auto" w:fill="FFFFFF"/>
          <w:rtl/>
        </w:rPr>
        <w:t xml:space="preserve">); וראו גם, למשל: </w:t>
      </w:r>
      <w:r w:rsidRPr="00E84622">
        <w:rPr>
          <w:rFonts w:ascii="Century" w:hAnsi="Century" w:hint="eastAsia"/>
          <w:shd w:val="clear" w:color="auto" w:fill="FFFFFF"/>
          <w:rtl/>
        </w:rPr>
        <w:t>ע</w:t>
      </w:r>
      <w:r w:rsidRPr="00E84622">
        <w:rPr>
          <w:rFonts w:ascii="Century" w:hAnsi="Century"/>
          <w:shd w:val="clear" w:color="auto" w:fill="FFFFFF"/>
          <w:rtl/>
        </w:rPr>
        <w:t>"</w:t>
      </w:r>
      <w:r w:rsidRPr="00E84622">
        <w:rPr>
          <w:rFonts w:ascii="Century" w:hAnsi="Century" w:hint="eastAsia"/>
          <w:shd w:val="clear" w:color="auto" w:fill="FFFFFF"/>
          <w:rtl/>
        </w:rPr>
        <w:t>א</w:t>
      </w:r>
      <w:r w:rsidRPr="00E84622">
        <w:rPr>
          <w:rFonts w:ascii="Century" w:hAnsi="Century"/>
          <w:shd w:val="clear" w:color="auto" w:fill="FFFFFF"/>
          <w:rtl/>
        </w:rPr>
        <w:t xml:space="preserve"> 1617/10 </w:t>
      </w:r>
      <w:r w:rsidRPr="00E84622">
        <w:rPr>
          <w:rFonts w:ascii="Century" w:hAnsi="Century" w:cs="Miriam" w:hint="eastAsia"/>
          <w:b/>
          <w:spacing w:val="0"/>
          <w:szCs w:val="24"/>
          <w:shd w:val="clear" w:color="auto" w:fill="FFFFFF"/>
          <w:rtl/>
        </w:rPr>
        <w:t>מנהל</w:t>
      </w:r>
      <w:r w:rsidRPr="00E84622">
        <w:rPr>
          <w:rFonts w:ascii="Century" w:hAnsi="Century" w:cs="Miriam"/>
          <w:b/>
          <w:spacing w:val="0"/>
          <w:szCs w:val="24"/>
          <w:shd w:val="clear" w:color="auto" w:fill="FFFFFF"/>
          <w:rtl/>
        </w:rPr>
        <w:t xml:space="preserve"> </w:t>
      </w:r>
      <w:r w:rsidRPr="00E84622">
        <w:rPr>
          <w:rFonts w:ascii="Century" w:hAnsi="Century" w:cs="Miriam" w:hint="eastAsia"/>
          <w:b/>
          <w:spacing w:val="0"/>
          <w:szCs w:val="24"/>
          <w:shd w:val="clear" w:color="auto" w:fill="FFFFFF"/>
          <w:rtl/>
        </w:rPr>
        <w:t>מיסוי</w:t>
      </w:r>
      <w:r w:rsidRPr="00E84622">
        <w:rPr>
          <w:rFonts w:ascii="Century" w:hAnsi="Century" w:cs="Miriam"/>
          <w:b/>
          <w:spacing w:val="0"/>
          <w:szCs w:val="24"/>
          <w:shd w:val="clear" w:color="auto" w:fill="FFFFFF"/>
          <w:rtl/>
        </w:rPr>
        <w:t xml:space="preserve"> </w:t>
      </w:r>
      <w:r w:rsidRPr="00E84622">
        <w:rPr>
          <w:rFonts w:ascii="Century" w:hAnsi="Century" w:cs="Miriam" w:hint="eastAsia"/>
          <w:b/>
          <w:spacing w:val="0"/>
          <w:szCs w:val="24"/>
          <w:shd w:val="clear" w:color="auto" w:fill="FFFFFF"/>
          <w:rtl/>
        </w:rPr>
        <w:t>מקרקעין</w:t>
      </w:r>
      <w:r w:rsidRPr="00E84622">
        <w:rPr>
          <w:rFonts w:ascii="Century" w:hAnsi="Century" w:cs="Miriam"/>
          <w:b/>
          <w:spacing w:val="0"/>
          <w:szCs w:val="24"/>
          <w:shd w:val="clear" w:color="auto" w:fill="FFFFFF"/>
          <w:rtl/>
        </w:rPr>
        <w:t xml:space="preserve"> </w:t>
      </w:r>
      <w:r w:rsidRPr="00E84622">
        <w:rPr>
          <w:rFonts w:ascii="Century" w:hAnsi="Century" w:cs="Miriam" w:hint="eastAsia"/>
          <w:b/>
          <w:spacing w:val="0"/>
          <w:szCs w:val="24"/>
          <w:shd w:val="clear" w:color="auto" w:fill="FFFFFF"/>
          <w:rtl/>
        </w:rPr>
        <w:t>נ</w:t>
      </w:r>
      <w:r w:rsidRPr="00E84622">
        <w:rPr>
          <w:rFonts w:ascii="Century" w:hAnsi="Century" w:cs="Miriam"/>
          <w:b/>
          <w:spacing w:val="0"/>
          <w:szCs w:val="24"/>
          <w:shd w:val="clear" w:color="auto" w:fill="FFFFFF"/>
          <w:rtl/>
        </w:rPr>
        <w:t xml:space="preserve">' </w:t>
      </w:r>
      <w:r w:rsidRPr="00E84622">
        <w:rPr>
          <w:rFonts w:ascii="Century" w:hAnsi="Century" w:cs="Miriam" w:hint="eastAsia"/>
          <w:b/>
          <w:spacing w:val="0"/>
          <w:szCs w:val="24"/>
          <w:shd w:val="clear" w:color="auto" w:fill="FFFFFF"/>
          <w:rtl/>
        </w:rPr>
        <w:t>נח</w:t>
      </w:r>
      <w:r w:rsidRPr="00E84622">
        <w:rPr>
          <w:rFonts w:ascii="Century" w:hAnsi="Century" w:cs="Miriam"/>
          <w:b/>
          <w:spacing w:val="0"/>
          <w:szCs w:val="24"/>
          <w:shd w:val="clear" w:color="auto" w:fill="FFFFFF"/>
          <w:rtl/>
        </w:rPr>
        <w:t>'</w:t>
      </w:r>
      <w:r w:rsidRPr="00E84622">
        <w:rPr>
          <w:rFonts w:ascii="Century" w:hAnsi="Century" w:cs="Miriam" w:hint="eastAsia"/>
          <w:b/>
          <w:spacing w:val="0"/>
          <w:szCs w:val="24"/>
          <w:shd w:val="clear" w:color="auto" w:fill="FFFFFF"/>
          <w:rtl/>
        </w:rPr>
        <w:t>אש</w:t>
      </w:r>
      <w:r>
        <w:rPr>
          <w:rFonts w:ascii="Century" w:hAnsi="Century" w:hint="cs"/>
          <w:shd w:val="clear" w:color="auto" w:fill="FFFFFF"/>
          <w:rtl/>
        </w:rPr>
        <w:t xml:space="preserve">, פסקה 7 לפסק הדין של השופטת </w:t>
      </w:r>
      <w:r w:rsidRPr="00E84622">
        <w:rPr>
          <w:rFonts w:ascii="Century" w:hAnsi="Century" w:cs="Miriam" w:hint="cs"/>
          <w:b/>
          <w:spacing w:val="0"/>
          <w:szCs w:val="24"/>
          <w:shd w:val="clear" w:color="auto" w:fill="FFFFFF"/>
          <w:rtl/>
        </w:rPr>
        <w:t>מ' נאור</w:t>
      </w:r>
      <w:r w:rsidRPr="00E84622">
        <w:rPr>
          <w:rFonts w:ascii="Century" w:hAnsi="Century"/>
          <w:shd w:val="clear" w:color="auto" w:fill="FFFFFF"/>
          <w:rtl/>
        </w:rPr>
        <w:t xml:space="preserve"> (</w:t>
      </w:r>
      <w:r>
        <w:rPr>
          <w:rFonts w:ascii="Century" w:hAnsi="Century" w:hint="cs"/>
          <w:shd w:val="clear" w:color="auto" w:fill="FFFFFF"/>
          <w:rtl/>
        </w:rPr>
        <w:t>3.</w:t>
      </w:r>
      <w:r w:rsidRPr="00E84622">
        <w:rPr>
          <w:rFonts w:ascii="Century" w:hAnsi="Century"/>
          <w:shd w:val="clear" w:color="auto" w:fill="FFFFFF"/>
          <w:rtl/>
        </w:rPr>
        <w:t>5.2012)</w:t>
      </w:r>
      <w:r>
        <w:rPr>
          <w:rFonts w:ascii="Century" w:hAnsi="Century" w:hint="cs"/>
          <w:shd w:val="clear" w:color="auto" w:fill="FFFFFF"/>
          <w:rtl/>
        </w:rPr>
        <w:t xml:space="preserve"> (להלן: </w:t>
      </w:r>
      <w:r w:rsidRPr="00E84622">
        <w:rPr>
          <w:rFonts w:ascii="Century" w:hAnsi="Century" w:cs="Miriam" w:hint="cs"/>
          <w:b/>
          <w:spacing w:val="0"/>
          <w:szCs w:val="24"/>
          <w:shd w:val="clear" w:color="auto" w:fill="FFFFFF"/>
          <w:rtl/>
        </w:rPr>
        <w:t>עניין נח'אש</w:t>
      </w:r>
      <w:r>
        <w:rPr>
          <w:rFonts w:ascii="Century" w:hAnsi="Century" w:hint="cs"/>
          <w:shd w:val="clear" w:color="auto" w:fill="FFFFFF"/>
          <w:rtl/>
        </w:rPr>
        <w:t>))</w:t>
      </w:r>
      <w:r w:rsidRPr="00F03BDF">
        <w:rPr>
          <w:rFonts w:ascii="Century" w:hAnsi="Century" w:hint="cs"/>
          <w:shd w:val="clear" w:color="auto" w:fill="FFFFFF"/>
          <w:rtl/>
        </w:rPr>
        <w:t>.</w:t>
      </w:r>
    </w:p>
    <w:p w:rsidR="00872589" w:rsidRDefault="00872589" w:rsidP="00872589">
      <w:pPr>
        <w:pStyle w:val="Ruller41"/>
        <w:rPr>
          <w:rtl/>
        </w:rPr>
      </w:pPr>
    </w:p>
    <w:p w:rsidR="00872589" w:rsidRDefault="00872589" w:rsidP="00872589">
      <w:pPr>
        <w:pStyle w:val="Ruller41"/>
        <w:rPr>
          <w:rtl/>
        </w:rPr>
      </w:pPr>
      <w:r>
        <w:rPr>
          <w:rtl/>
        </w:rPr>
        <w:tab/>
      </w:r>
      <w:r>
        <w:rPr>
          <w:rFonts w:hint="cs"/>
          <w:rtl/>
        </w:rPr>
        <w:t>מצויד בכלים אלה, אצא למסע הפרשנות.</w:t>
      </w:r>
    </w:p>
    <w:p w:rsidR="00216C97" w:rsidRDefault="00216C97" w:rsidP="00872589">
      <w:pPr>
        <w:pStyle w:val="Ruller41"/>
        <w:rPr>
          <w:rtl/>
        </w:rPr>
      </w:pPr>
    </w:p>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54668D">
        <w:rPr>
          <w:rFonts w:ascii="Century" w:hAnsi="Century" w:cs="Miriam" w:hint="cs"/>
          <w:b/>
          <w:spacing w:val="0"/>
          <w:szCs w:val="24"/>
          <w:rtl/>
        </w:rPr>
        <w:lastRenderedPageBreak/>
        <w:t xml:space="preserve">לשון החוק </w:t>
      </w:r>
    </w:p>
    <w:p w:rsidR="00872589" w:rsidRPr="0054668D" w:rsidRDefault="00872589" w:rsidP="00872589">
      <w:pPr>
        <w:pStyle w:val="Ruller41"/>
        <w:rPr>
          <w:rFonts w:ascii="Century" w:hAnsi="Century" w:cs="Miriam"/>
          <w:b/>
          <w:spacing w:val="0"/>
          <w:szCs w:val="24"/>
        </w:rPr>
      </w:pPr>
    </w:p>
    <w:p w:rsidR="00872589" w:rsidRDefault="00872589" w:rsidP="00872589">
      <w:pPr>
        <w:pStyle w:val="Ruller4"/>
        <w:textAlignment w:val="baseline"/>
      </w:pPr>
      <w:r>
        <w:rPr>
          <w:rFonts w:hint="cs"/>
          <w:rtl/>
        </w:rPr>
        <w:t xml:space="preserve">כנזכר, לשון החוק היא שתוחמת את גבולותיה של הפרשנות, ואין להעמיס על דבר חקיקה משמעות החורגת מן המובן המילולי שיכולות לשאת תיבותיו: </w:t>
      </w:r>
    </w:p>
    <w:p w:rsidR="00872589" w:rsidRDefault="00872589" w:rsidP="00872589">
      <w:pPr>
        <w:pStyle w:val="Ruller4"/>
        <w:numPr>
          <w:ilvl w:val="0"/>
          <w:numId w:val="0"/>
        </w:numPr>
      </w:pPr>
    </w:p>
    <w:p w:rsidR="00872589" w:rsidRDefault="00872589" w:rsidP="00872589">
      <w:pPr>
        <w:pStyle w:val="Ruller5"/>
        <w:spacing w:line="360" w:lineRule="auto"/>
        <w:rPr>
          <w:rtl/>
        </w:rPr>
      </w:pPr>
      <w:r w:rsidRPr="00C2223F">
        <w:rPr>
          <w:rFonts w:ascii="Century" w:hAnsi="Century" w:cs="Miriam" w:hint="cs"/>
          <w:b/>
          <w:spacing w:val="0"/>
          <w:szCs w:val="24"/>
          <w:rtl/>
        </w:rPr>
        <w:t>"</w:t>
      </w:r>
      <w:r w:rsidRPr="00C2223F">
        <w:rPr>
          <w:rFonts w:ascii="Century" w:hAnsi="Century" w:cs="Miriam" w:hint="eastAsia"/>
          <w:b/>
          <w:spacing w:val="0"/>
          <w:szCs w:val="24"/>
          <w:rtl/>
        </w:rPr>
        <w:t>נקודת</w:t>
      </w:r>
      <w:r w:rsidRPr="00C2223F">
        <w:rPr>
          <w:rFonts w:ascii="Century" w:hAnsi="Century" w:cs="Miriam"/>
          <w:b/>
          <w:spacing w:val="0"/>
          <w:szCs w:val="24"/>
          <w:rtl/>
        </w:rPr>
        <w:t xml:space="preserve"> </w:t>
      </w:r>
      <w:r w:rsidRPr="00C2223F">
        <w:rPr>
          <w:rFonts w:ascii="Century" w:hAnsi="Century" w:cs="Miriam" w:hint="eastAsia"/>
          <w:b/>
          <w:spacing w:val="0"/>
          <w:szCs w:val="24"/>
          <w:rtl/>
        </w:rPr>
        <w:t>המוצא</w:t>
      </w:r>
      <w:r w:rsidRPr="00C2223F">
        <w:rPr>
          <w:rFonts w:ascii="Century" w:hAnsi="Century" w:cs="Miriam"/>
          <w:b/>
          <w:spacing w:val="0"/>
          <w:szCs w:val="24"/>
          <w:rtl/>
        </w:rPr>
        <w:t xml:space="preserve"> </w:t>
      </w:r>
      <w:r w:rsidRPr="00C2223F">
        <w:rPr>
          <w:rFonts w:ascii="Century" w:hAnsi="Century" w:cs="Miriam" w:hint="eastAsia"/>
          <w:b/>
          <w:spacing w:val="0"/>
          <w:szCs w:val="24"/>
          <w:rtl/>
        </w:rPr>
        <w:t>לכל</w:t>
      </w:r>
      <w:r w:rsidRPr="00C2223F">
        <w:rPr>
          <w:rFonts w:ascii="Century" w:hAnsi="Century" w:cs="Miriam"/>
          <w:b/>
          <w:spacing w:val="0"/>
          <w:szCs w:val="24"/>
          <w:rtl/>
        </w:rPr>
        <w:t xml:space="preserve"> </w:t>
      </w:r>
      <w:r w:rsidRPr="00C2223F">
        <w:rPr>
          <w:rFonts w:ascii="Century" w:hAnsi="Century" w:cs="Miriam" w:hint="eastAsia"/>
          <w:b/>
          <w:spacing w:val="0"/>
          <w:szCs w:val="24"/>
          <w:rtl/>
        </w:rPr>
        <w:t>בחינה</w:t>
      </w:r>
      <w:r w:rsidRPr="00C2223F">
        <w:rPr>
          <w:rFonts w:ascii="Century" w:hAnsi="Century" w:cs="Miriam"/>
          <w:b/>
          <w:spacing w:val="0"/>
          <w:szCs w:val="24"/>
          <w:rtl/>
        </w:rPr>
        <w:t xml:space="preserve"> </w:t>
      </w:r>
      <w:r w:rsidRPr="00C2223F">
        <w:rPr>
          <w:rFonts w:ascii="Century" w:hAnsi="Century" w:cs="Miriam" w:hint="eastAsia"/>
          <w:b/>
          <w:spacing w:val="0"/>
          <w:szCs w:val="24"/>
          <w:rtl/>
        </w:rPr>
        <w:t>פרשנית</w:t>
      </w:r>
      <w:r w:rsidRPr="00C2223F">
        <w:rPr>
          <w:rFonts w:ascii="Century" w:hAnsi="Century" w:cs="Miriam"/>
          <w:b/>
          <w:spacing w:val="0"/>
          <w:szCs w:val="24"/>
          <w:rtl/>
        </w:rPr>
        <w:t xml:space="preserve"> </w:t>
      </w:r>
      <w:r w:rsidRPr="00C2223F">
        <w:rPr>
          <w:rFonts w:ascii="Century" w:hAnsi="Century" w:cs="Miriam" w:hint="eastAsia"/>
          <w:b/>
          <w:spacing w:val="0"/>
          <w:szCs w:val="24"/>
          <w:rtl/>
        </w:rPr>
        <w:t>הינה</w:t>
      </w:r>
      <w:r w:rsidRPr="00C2223F">
        <w:rPr>
          <w:rFonts w:ascii="Century" w:hAnsi="Century" w:cs="Miriam"/>
          <w:b/>
          <w:spacing w:val="0"/>
          <w:szCs w:val="24"/>
          <w:rtl/>
        </w:rPr>
        <w:t xml:space="preserve"> </w:t>
      </w:r>
      <w:r w:rsidRPr="00C2223F">
        <w:rPr>
          <w:rFonts w:ascii="Century" w:hAnsi="Century" w:cs="Miriam" w:hint="eastAsia"/>
          <w:b/>
          <w:spacing w:val="0"/>
          <w:szCs w:val="24"/>
          <w:rtl/>
        </w:rPr>
        <w:t>לשון</w:t>
      </w:r>
      <w:r w:rsidRPr="00C2223F">
        <w:rPr>
          <w:rFonts w:ascii="Century" w:hAnsi="Century" w:cs="Miriam"/>
          <w:b/>
          <w:spacing w:val="0"/>
          <w:szCs w:val="24"/>
          <w:rtl/>
        </w:rPr>
        <w:t xml:space="preserve"> </w:t>
      </w:r>
      <w:r w:rsidRPr="00C2223F">
        <w:rPr>
          <w:rFonts w:ascii="Century" w:hAnsi="Century" w:cs="Miriam" w:hint="eastAsia"/>
          <w:b/>
          <w:spacing w:val="0"/>
          <w:szCs w:val="24"/>
          <w:rtl/>
        </w:rPr>
        <w:t>החוק</w:t>
      </w:r>
      <w:r w:rsidRPr="00C2223F">
        <w:rPr>
          <w:rFonts w:ascii="Century" w:hAnsi="Century" w:cs="Miriam"/>
          <w:b/>
          <w:spacing w:val="0"/>
          <w:szCs w:val="24"/>
          <w:rtl/>
        </w:rPr>
        <w:t xml:space="preserve">. </w:t>
      </w:r>
      <w:r w:rsidRPr="00C2223F">
        <w:rPr>
          <w:rFonts w:ascii="Century" w:hAnsi="Century" w:cs="Miriam" w:hint="eastAsia"/>
          <w:b/>
          <w:spacing w:val="0"/>
          <w:szCs w:val="24"/>
          <w:rtl/>
        </w:rPr>
        <w:t>היא</w:t>
      </w:r>
      <w:r w:rsidRPr="00C2223F">
        <w:rPr>
          <w:rFonts w:ascii="Century" w:hAnsi="Century" w:cs="Miriam"/>
          <w:b/>
          <w:spacing w:val="0"/>
          <w:szCs w:val="24"/>
          <w:rtl/>
        </w:rPr>
        <w:t xml:space="preserve"> </w:t>
      </w:r>
      <w:r w:rsidRPr="00C2223F">
        <w:rPr>
          <w:rFonts w:ascii="Century" w:hAnsi="Century" w:cs="Miriam" w:hint="eastAsia"/>
          <w:b/>
          <w:spacing w:val="0"/>
          <w:szCs w:val="24"/>
          <w:rtl/>
        </w:rPr>
        <w:t>זו</w:t>
      </w:r>
      <w:r w:rsidRPr="00C2223F">
        <w:rPr>
          <w:rFonts w:ascii="Century" w:hAnsi="Century" w:cs="Miriam"/>
          <w:b/>
          <w:spacing w:val="0"/>
          <w:szCs w:val="24"/>
          <w:rtl/>
        </w:rPr>
        <w:t xml:space="preserve"> </w:t>
      </w:r>
      <w:r w:rsidRPr="00C2223F">
        <w:rPr>
          <w:rFonts w:ascii="Century" w:hAnsi="Century" w:cs="Miriam" w:hint="eastAsia"/>
          <w:b/>
          <w:spacing w:val="0"/>
          <w:szCs w:val="24"/>
          <w:rtl/>
        </w:rPr>
        <w:t>שקובעת</w:t>
      </w:r>
      <w:r w:rsidRPr="00C2223F">
        <w:rPr>
          <w:rFonts w:ascii="Century" w:hAnsi="Century" w:cs="Miriam"/>
          <w:b/>
          <w:spacing w:val="0"/>
          <w:szCs w:val="24"/>
          <w:rtl/>
        </w:rPr>
        <w:t xml:space="preserve"> </w:t>
      </w:r>
      <w:r w:rsidRPr="00C2223F">
        <w:rPr>
          <w:rFonts w:ascii="Century" w:hAnsi="Century" w:cs="Miriam" w:hint="eastAsia"/>
          <w:b/>
          <w:spacing w:val="0"/>
          <w:szCs w:val="24"/>
          <w:rtl/>
        </w:rPr>
        <w:t>את</w:t>
      </w:r>
      <w:r w:rsidRPr="00C2223F">
        <w:rPr>
          <w:rFonts w:ascii="Century" w:hAnsi="Century" w:cs="Miriam"/>
          <w:b/>
          <w:spacing w:val="0"/>
          <w:szCs w:val="24"/>
          <w:rtl/>
        </w:rPr>
        <w:t xml:space="preserve"> </w:t>
      </w:r>
      <w:r w:rsidRPr="00C2223F">
        <w:rPr>
          <w:rFonts w:ascii="Century" w:hAnsi="Century" w:cs="Miriam" w:hint="eastAsia"/>
          <w:b/>
          <w:spacing w:val="0"/>
          <w:szCs w:val="24"/>
          <w:rtl/>
        </w:rPr>
        <w:t>המסגרת</w:t>
      </w:r>
      <w:r w:rsidRPr="00C2223F">
        <w:rPr>
          <w:rFonts w:ascii="Century" w:hAnsi="Century" w:cs="Miriam"/>
          <w:b/>
          <w:spacing w:val="0"/>
          <w:szCs w:val="24"/>
          <w:rtl/>
        </w:rPr>
        <w:t xml:space="preserve"> </w:t>
      </w:r>
      <w:r w:rsidRPr="00C2223F">
        <w:rPr>
          <w:rFonts w:ascii="Century" w:hAnsi="Century" w:cs="Miriam" w:hint="eastAsia"/>
          <w:b/>
          <w:spacing w:val="0"/>
          <w:szCs w:val="24"/>
          <w:rtl/>
        </w:rPr>
        <w:t>אשר</w:t>
      </w:r>
      <w:r w:rsidRPr="00C2223F">
        <w:rPr>
          <w:rFonts w:ascii="Century" w:hAnsi="Century" w:cs="Miriam"/>
          <w:b/>
          <w:spacing w:val="0"/>
          <w:szCs w:val="24"/>
          <w:rtl/>
        </w:rPr>
        <w:t xml:space="preserve"> </w:t>
      </w:r>
      <w:r w:rsidRPr="00C2223F">
        <w:rPr>
          <w:rFonts w:ascii="Century" w:hAnsi="Century" w:cs="Miriam" w:hint="eastAsia"/>
          <w:b/>
          <w:spacing w:val="0"/>
          <w:szCs w:val="24"/>
          <w:rtl/>
        </w:rPr>
        <w:t>בתוכה</w:t>
      </w:r>
      <w:r w:rsidRPr="00C2223F">
        <w:rPr>
          <w:rFonts w:ascii="Century" w:hAnsi="Century" w:cs="Miriam"/>
          <w:b/>
          <w:spacing w:val="0"/>
          <w:szCs w:val="24"/>
          <w:rtl/>
        </w:rPr>
        <w:t xml:space="preserve"> </w:t>
      </w:r>
      <w:r w:rsidRPr="00C2223F">
        <w:rPr>
          <w:rFonts w:ascii="Century" w:hAnsi="Century" w:cs="Miriam" w:hint="eastAsia"/>
          <w:b/>
          <w:spacing w:val="0"/>
          <w:szCs w:val="24"/>
          <w:rtl/>
        </w:rPr>
        <w:t>תפעל</w:t>
      </w:r>
      <w:r w:rsidRPr="00C2223F">
        <w:rPr>
          <w:rFonts w:ascii="Century" w:hAnsi="Century" w:cs="Miriam"/>
          <w:b/>
          <w:spacing w:val="0"/>
          <w:szCs w:val="24"/>
          <w:rtl/>
        </w:rPr>
        <w:t xml:space="preserve"> </w:t>
      </w:r>
      <w:r w:rsidRPr="00C2223F">
        <w:rPr>
          <w:rFonts w:ascii="Century" w:hAnsi="Century" w:cs="Miriam" w:hint="eastAsia"/>
          <w:b/>
          <w:spacing w:val="0"/>
          <w:szCs w:val="24"/>
          <w:rtl/>
        </w:rPr>
        <w:t>התכלית</w:t>
      </w:r>
      <w:r w:rsidRPr="00C2223F">
        <w:rPr>
          <w:rFonts w:ascii="Century" w:hAnsi="Century" w:cs="Miriam"/>
          <w:b/>
          <w:spacing w:val="0"/>
          <w:szCs w:val="24"/>
          <w:rtl/>
        </w:rPr>
        <w:t xml:space="preserve"> </w:t>
      </w:r>
      <w:r w:rsidRPr="00C2223F">
        <w:rPr>
          <w:rFonts w:ascii="Century" w:hAnsi="Century" w:cs="Miriam" w:hint="eastAsia"/>
          <w:b/>
          <w:spacing w:val="0"/>
          <w:szCs w:val="24"/>
          <w:rtl/>
        </w:rPr>
        <w:t>החקיקתית</w:t>
      </w:r>
      <w:r w:rsidRPr="00C2223F">
        <w:rPr>
          <w:rFonts w:ascii="Century" w:hAnsi="Century" w:cs="Miriam"/>
          <w:b/>
          <w:spacing w:val="0"/>
          <w:szCs w:val="24"/>
          <w:rtl/>
        </w:rPr>
        <w:t xml:space="preserve"> </w:t>
      </w:r>
      <w:r w:rsidRPr="00C2223F">
        <w:rPr>
          <w:rFonts w:ascii="Century" w:hAnsi="Century" w:cs="Miriam" w:hint="cs"/>
          <w:b/>
          <w:spacing w:val="0"/>
          <w:szCs w:val="24"/>
          <w:rtl/>
        </w:rPr>
        <w:t>[...]</w:t>
      </w:r>
      <w:r w:rsidRPr="00C2223F">
        <w:rPr>
          <w:rFonts w:ascii="Century" w:hAnsi="Century" w:cs="Miriam"/>
          <w:b/>
          <w:spacing w:val="0"/>
          <w:szCs w:val="24"/>
          <w:rtl/>
        </w:rPr>
        <w:t xml:space="preserve">. </w:t>
      </w:r>
      <w:r w:rsidRPr="00C2223F">
        <w:rPr>
          <w:rFonts w:ascii="Century" w:hAnsi="Century" w:cs="Miriam" w:hint="eastAsia"/>
          <w:b/>
          <w:spacing w:val="0"/>
          <w:szCs w:val="24"/>
          <w:rtl/>
        </w:rPr>
        <w:t>כבילת</w:t>
      </w:r>
      <w:r w:rsidRPr="00C2223F">
        <w:rPr>
          <w:rFonts w:ascii="Century" w:hAnsi="Century" w:cs="Miriam"/>
          <w:b/>
          <w:spacing w:val="0"/>
          <w:szCs w:val="24"/>
          <w:rtl/>
        </w:rPr>
        <w:t xml:space="preserve"> </w:t>
      </w:r>
      <w:r w:rsidRPr="00C2223F">
        <w:rPr>
          <w:rFonts w:ascii="Century" w:hAnsi="Century" w:cs="Miriam" w:hint="eastAsia"/>
          <w:b/>
          <w:spacing w:val="0"/>
          <w:szCs w:val="24"/>
          <w:rtl/>
        </w:rPr>
        <w:t>הפרשן</w:t>
      </w:r>
      <w:r w:rsidRPr="00C2223F">
        <w:rPr>
          <w:rFonts w:ascii="Century" w:hAnsi="Century" w:cs="Miriam"/>
          <w:b/>
          <w:spacing w:val="0"/>
          <w:szCs w:val="24"/>
          <w:rtl/>
        </w:rPr>
        <w:t xml:space="preserve"> </w:t>
      </w:r>
      <w:r w:rsidRPr="00C2223F">
        <w:rPr>
          <w:rFonts w:ascii="Century" w:hAnsi="Century" w:cs="Miriam" w:hint="eastAsia"/>
          <w:b/>
          <w:spacing w:val="0"/>
          <w:szCs w:val="24"/>
          <w:rtl/>
        </w:rPr>
        <w:t>ללשון</w:t>
      </w:r>
      <w:r w:rsidRPr="00C2223F">
        <w:rPr>
          <w:rFonts w:ascii="Century" w:hAnsi="Century" w:cs="Miriam"/>
          <w:b/>
          <w:spacing w:val="0"/>
          <w:szCs w:val="24"/>
          <w:rtl/>
        </w:rPr>
        <w:t xml:space="preserve"> </w:t>
      </w:r>
      <w:r w:rsidRPr="00C2223F">
        <w:rPr>
          <w:rFonts w:ascii="Century" w:hAnsi="Century" w:cs="Miriam" w:hint="eastAsia"/>
          <w:b/>
          <w:spacing w:val="0"/>
          <w:szCs w:val="24"/>
          <w:rtl/>
        </w:rPr>
        <w:t>החוק</w:t>
      </w:r>
      <w:r w:rsidRPr="00C2223F">
        <w:rPr>
          <w:rFonts w:ascii="Century" w:hAnsi="Century" w:cs="Miriam"/>
          <w:b/>
          <w:spacing w:val="0"/>
          <w:szCs w:val="24"/>
          <w:rtl/>
        </w:rPr>
        <w:t xml:space="preserve"> </w:t>
      </w:r>
      <w:r w:rsidRPr="00C2223F">
        <w:rPr>
          <w:rFonts w:ascii="Century" w:hAnsi="Century" w:cs="Miriam" w:hint="eastAsia"/>
          <w:b/>
          <w:spacing w:val="0"/>
          <w:szCs w:val="24"/>
          <w:rtl/>
        </w:rPr>
        <w:t>מבטאת</w:t>
      </w:r>
      <w:r w:rsidRPr="00C2223F">
        <w:rPr>
          <w:rFonts w:ascii="Century" w:hAnsi="Century" w:cs="Miriam"/>
          <w:b/>
          <w:spacing w:val="0"/>
          <w:szCs w:val="24"/>
          <w:rtl/>
        </w:rPr>
        <w:t xml:space="preserve"> </w:t>
      </w:r>
      <w:r w:rsidRPr="00C2223F">
        <w:rPr>
          <w:rFonts w:ascii="Century" w:hAnsi="Century" w:cs="Miriam" w:hint="eastAsia"/>
          <w:b/>
          <w:spacing w:val="0"/>
          <w:szCs w:val="24"/>
          <w:rtl/>
        </w:rPr>
        <w:t>את</w:t>
      </w:r>
      <w:r w:rsidRPr="00C2223F">
        <w:rPr>
          <w:rFonts w:ascii="Century" w:hAnsi="Century" w:cs="Miriam"/>
          <w:b/>
          <w:spacing w:val="0"/>
          <w:szCs w:val="24"/>
          <w:rtl/>
        </w:rPr>
        <w:t xml:space="preserve"> </w:t>
      </w:r>
      <w:r w:rsidRPr="00C2223F">
        <w:rPr>
          <w:rFonts w:ascii="Century" w:hAnsi="Century" w:cs="Miriam" w:hint="eastAsia"/>
          <w:b/>
          <w:spacing w:val="0"/>
          <w:szCs w:val="24"/>
          <w:rtl/>
        </w:rPr>
        <w:t>אחד</w:t>
      </w:r>
      <w:r w:rsidRPr="00C2223F">
        <w:rPr>
          <w:rFonts w:ascii="Century" w:hAnsi="Century" w:cs="Miriam"/>
          <w:b/>
          <w:spacing w:val="0"/>
          <w:szCs w:val="24"/>
          <w:rtl/>
        </w:rPr>
        <w:t xml:space="preserve"> </w:t>
      </w:r>
      <w:r w:rsidRPr="00C2223F">
        <w:rPr>
          <w:rFonts w:ascii="Century" w:hAnsi="Century" w:cs="Miriam" w:hint="eastAsia"/>
          <w:b/>
          <w:spacing w:val="0"/>
          <w:szCs w:val="24"/>
          <w:rtl/>
        </w:rPr>
        <w:t>מיסודותיה</w:t>
      </w:r>
      <w:r w:rsidRPr="00C2223F">
        <w:rPr>
          <w:rFonts w:ascii="Century" w:hAnsi="Century" w:cs="Miriam"/>
          <w:b/>
          <w:spacing w:val="0"/>
          <w:szCs w:val="24"/>
          <w:rtl/>
        </w:rPr>
        <w:t xml:space="preserve"> </w:t>
      </w:r>
      <w:r w:rsidRPr="00C2223F">
        <w:rPr>
          <w:rFonts w:ascii="Century" w:hAnsi="Century" w:cs="Miriam" w:hint="eastAsia"/>
          <w:b/>
          <w:spacing w:val="0"/>
          <w:szCs w:val="24"/>
          <w:rtl/>
        </w:rPr>
        <w:t>של</w:t>
      </w:r>
      <w:r w:rsidRPr="00C2223F">
        <w:rPr>
          <w:rFonts w:ascii="Century" w:hAnsi="Century" w:cs="Miriam"/>
          <w:b/>
          <w:spacing w:val="0"/>
          <w:szCs w:val="24"/>
          <w:rtl/>
        </w:rPr>
        <w:t xml:space="preserve"> </w:t>
      </w:r>
      <w:r w:rsidRPr="00C2223F">
        <w:rPr>
          <w:rFonts w:ascii="Century" w:hAnsi="Century" w:cs="Miriam" w:hint="eastAsia"/>
          <w:b/>
          <w:spacing w:val="0"/>
          <w:szCs w:val="24"/>
          <w:rtl/>
        </w:rPr>
        <w:t>הסמכות</w:t>
      </w:r>
      <w:r w:rsidRPr="00C2223F">
        <w:rPr>
          <w:rFonts w:ascii="Century" w:hAnsi="Century" w:cs="Miriam"/>
          <w:b/>
          <w:spacing w:val="0"/>
          <w:szCs w:val="24"/>
          <w:rtl/>
        </w:rPr>
        <w:t xml:space="preserve"> </w:t>
      </w:r>
      <w:r w:rsidRPr="00C2223F">
        <w:rPr>
          <w:rFonts w:ascii="Century" w:hAnsi="Century" w:cs="Miriam" w:hint="eastAsia"/>
          <w:b/>
          <w:spacing w:val="0"/>
          <w:szCs w:val="24"/>
          <w:rtl/>
        </w:rPr>
        <w:t>השיפוטית</w:t>
      </w:r>
      <w:r w:rsidRPr="00C2223F">
        <w:rPr>
          <w:rFonts w:ascii="Century" w:hAnsi="Century" w:cs="Miriam"/>
          <w:b/>
          <w:spacing w:val="0"/>
          <w:szCs w:val="24"/>
          <w:rtl/>
        </w:rPr>
        <w:t xml:space="preserve"> </w:t>
      </w:r>
      <w:r w:rsidRPr="00C2223F">
        <w:rPr>
          <w:rFonts w:ascii="Century" w:hAnsi="Century" w:cs="Miriam" w:hint="eastAsia"/>
          <w:b/>
          <w:spacing w:val="0"/>
          <w:szCs w:val="24"/>
          <w:rtl/>
        </w:rPr>
        <w:t>וגבולותיה</w:t>
      </w:r>
      <w:r w:rsidRPr="00C2223F">
        <w:rPr>
          <w:rFonts w:ascii="Century" w:hAnsi="Century" w:cs="Miriam"/>
          <w:b/>
          <w:spacing w:val="0"/>
          <w:szCs w:val="24"/>
          <w:rtl/>
        </w:rPr>
        <w:t xml:space="preserve">. </w:t>
      </w:r>
      <w:r w:rsidRPr="00C2223F">
        <w:rPr>
          <w:rFonts w:ascii="Century" w:hAnsi="Century" w:cs="Miriam" w:hint="eastAsia"/>
          <w:b/>
          <w:spacing w:val="0"/>
          <w:szCs w:val="24"/>
          <w:rtl/>
        </w:rPr>
        <w:t>תפקידו</w:t>
      </w:r>
      <w:r w:rsidRPr="00C2223F">
        <w:rPr>
          <w:rFonts w:ascii="Century" w:hAnsi="Century" w:cs="Miriam"/>
          <w:b/>
          <w:spacing w:val="0"/>
          <w:szCs w:val="24"/>
          <w:rtl/>
        </w:rPr>
        <w:t xml:space="preserve"> </w:t>
      </w:r>
      <w:r w:rsidRPr="00C2223F">
        <w:rPr>
          <w:rFonts w:ascii="Century" w:hAnsi="Century" w:cs="Miriam" w:hint="eastAsia"/>
          <w:b/>
          <w:spacing w:val="0"/>
          <w:szCs w:val="24"/>
          <w:rtl/>
        </w:rPr>
        <w:t>של</w:t>
      </w:r>
      <w:r w:rsidRPr="00C2223F">
        <w:rPr>
          <w:rFonts w:ascii="Century" w:hAnsi="Century" w:cs="Miriam"/>
          <w:b/>
          <w:spacing w:val="0"/>
          <w:szCs w:val="24"/>
          <w:rtl/>
        </w:rPr>
        <w:t xml:space="preserve"> </w:t>
      </w:r>
      <w:r w:rsidRPr="00C2223F">
        <w:rPr>
          <w:rFonts w:ascii="Century" w:hAnsi="Century" w:cs="Miriam" w:hint="eastAsia"/>
          <w:b/>
          <w:spacing w:val="0"/>
          <w:szCs w:val="24"/>
          <w:rtl/>
        </w:rPr>
        <w:t>השופט</w:t>
      </w:r>
      <w:r w:rsidRPr="00C2223F">
        <w:rPr>
          <w:rFonts w:ascii="Century" w:hAnsi="Century" w:cs="Miriam"/>
          <w:b/>
          <w:spacing w:val="0"/>
          <w:szCs w:val="24"/>
          <w:rtl/>
        </w:rPr>
        <w:t xml:space="preserve"> </w:t>
      </w:r>
      <w:r w:rsidRPr="00C2223F">
        <w:rPr>
          <w:rFonts w:ascii="Century" w:hAnsi="Century" w:cs="Miriam" w:hint="eastAsia"/>
          <w:b/>
          <w:spacing w:val="0"/>
          <w:szCs w:val="24"/>
          <w:rtl/>
        </w:rPr>
        <w:t>הינו</w:t>
      </w:r>
      <w:r w:rsidRPr="00C2223F">
        <w:rPr>
          <w:rFonts w:ascii="Century" w:hAnsi="Century" w:cs="Miriam"/>
          <w:b/>
          <w:spacing w:val="0"/>
          <w:szCs w:val="24"/>
          <w:rtl/>
        </w:rPr>
        <w:t xml:space="preserve"> </w:t>
      </w:r>
      <w:r w:rsidRPr="00C2223F">
        <w:rPr>
          <w:rFonts w:ascii="Century" w:hAnsi="Century" w:cs="Miriam" w:hint="eastAsia"/>
          <w:b/>
          <w:spacing w:val="0"/>
          <w:szCs w:val="24"/>
          <w:rtl/>
        </w:rPr>
        <w:t>לפרש</w:t>
      </w:r>
      <w:r w:rsidRPr="00C2223F">
        <w:rPr>
          <w:rFonts w:ascii="Century" w:hAnsi="Century" w:cs="Miriam"/>
          <w:b/>
          <w:spacing w:val="0"/>
          <w:szCs w:val="24"/>
          <w:rtl/>
        </w:rPr>
        <w:t xml:space="preserve"> </w:t>
      </w:r>
      <w:r w:rsidRPr="00C2223F">
        <w:rPr>
          <w:rFonts w:ascii="Century" w:hAnsi="Century" w:cs="Miriam" w:hint="eastAsia"/>
          <w:b/>
          <w:spacing w:val="0"/>
          <w:szCs w:val="24"/>
          <w:rtl/>
        </w:rPr>
        <w:t>את</w:t>
      </w:r>
      <w:r w:rsidRPr="00C2223F">
        <w:rPr>
          <w:rFonts w:ascii="Century" w:hAnsi="Century" w:cs="Miriam"/>
          <w:b/>
          <w:spacing w:val="0"/>
          <w:szCs w:val="24"/>
          <w:rtl/>
        </w:rPr>
        <w:t xml:space="preserve"> </w:t>
      </w:r>
      <w:r w:rsidRPr="00C2223F">
        <w:rPr>
          <w:rFonts w:ascii="Century" w:hAnsi="Century" w:cs="Miriam" w:hint="eastAsia"/>
          <w:b/>
          <w:spacing w:val="0"/>
          <w:szCs w:val="24"/>
          <w:rtl/>
        </w:rPr>
        <w:t>החוק</w:t>
      </w:r>
      <w:r w:rsidRPr="00C2223F">
        <w:rPr>
          <w:rFonts w:ascii="Century" w:hAnsi="Century" w:cs="Miriam"/>
          <w:b/>
          <w:spacing w:val="0"/>
          <w:szCs w:val="24"/>
          <w:rtl/>
        </w:rPr>
        <w:t xml:space="preserve"> </w:t>
      </w:r>
      <w:r w:rsidRPr="00C2223F">
        <w:rPr>
          <w:rFonts w:ascii="Century" w:hAnsi="Century" w:cs="Miriam" w:hint="eastAsia"/>
          <w:b/>
          <w:spacing w:val="0"/>
          <w:szCs w:val="24"/>
          <w:rtl/>
        </w:rPr>
        <w:t>ולא</w:t>
      </w:r>
      <w:r w:rsidRPr="00C2223F">
        <w:rPr>
          <w:rFonts w:ascii="Century" w:hAnsi="Century" w:cs="Miriam"/>
          <w:b/>
          <w:spacing w:val="0"/>
          <w:szCs w:val="24"/>
          <w:rtl/>
        </w:rPr>
        <w:t xml:space="preserve"> </w:t>
      </w:r>
      <w:r w:rsidRPr="00C2223F">
        <w:rPr>
          <w:rFonts w:ascii="Century" w:hAnsi="Century" w:cs="Miriam" w:hint="eastAsia"/>
          <w:b/>
          <w:spacing w:val="0"/>
          <w:szCs w:val="24"/>
          <w:rtl/>
        </w:rPr>
        <w:t>ליצור</w:t>
      </w:r>
      <w:r w:rsidRPr="00C2223F">
        <w:rPr>
          <w:rFonts w:ascii="Century" w:hAnsi="Century" w:cs="Miriam"/>
          <w:b/>
          <w:spacing w:val="0"/>
          <w:szCs w:val="24"/>
          <w:rtl/>
        </w:rPr>
        <w:t xml:space="preserve"> </w:t>
      </w:r>
      <w:r w:rsidRPr="00C2223F">
        <w:rPr>
          <w:rFonts w:ascii="Century" w:hAnsi="Century" w:cs="Miriam" w:hint="eastAsia"/>
          <w:b/>
          <w:spacing w:val="0"/>
          <w:szCs w:val="24"/>
          <w:rtl/>
        </w:rPr>
        <w:t>אותו</w:t>
      </w:r>
      <w:r w:rsidRPr="00C2223F">
        <w:rPr>
          <w:rFonts w:ascii="Century" w:hAnsi="Century" w:cs="Miriam"/>
          <w:b/>
          <w:spacing w:val="0"/>
          <w:szCs w:val="24"/>
          <w:rtl/>
        </w:rPr>
        <w:t xml:space="preserve">. </w:t>
      </w:r>
      <w:r w:rsidRPr="00C2223F">
        <w:rPr>
          <w:rFonts w:ascii="Century" w:hAnsi="Century" w:cs="Miriam" w:hint="cs"/>
          <w:b/>
          <w:spacing w:val="0"/>
          <w:szCs w:val="24"/>
          <w:rtl/>
        </w:rPr>
        <w:t>'</w:t>
      </w:r>
      <w:r w:rsidRPr="00C2223F">
        <w:rPr>
          <w:rFonts w:ascii="Century" w:hAnsi="Century" w:cs="Miriam" w:hint="eastAsia"/>
          <w:b/>
          <w:spacing w:val="0"/>
          <w:szCs w:val="24"/>
          <w:rtl/>
        </w:rPr>
        <w:t>הפרשנות</w:t>
      </w:r>
      <w:r w:rsidRPr="00C2223F">
        <w:rPr>
          <w:rFonts w:ascii="Century" w:hAnsi="Century" w:cs="Miriam"/>
          <w:b/>
          <w:spacing w:val="0"/>
          <w:szCs w:val="24"/>
          <w:rtl/>
        </w:rPr>
        <w:t xml:space="preserve"> </w:t>
      </w:r>
      <w:r w:rsidRPr="00C2223F">
        <w:rPr>
          <w:rFonts w:ascii="Century" w:hAnsi="Century" w:cs="Miriam" w:hint="eastAsia"/>
          <w:b/>
          <w:spacing w:val="0"/>
          <w:szCs w:val="24"/>
          <w:rtl/>
        </w:rPr>
        <w:t>התכליתית</w:t>
      </w:r>
      <w:r w:rsidRPr="00C2223F">
        <w:rPr>
          <w:rFonts w:ascii="Century" w:hAnsi="Century" w:cs="Miriam"/>
          <w:b/>
          <w:spacing w:val="0"/>
          <w:szCs w:val="24"/>
          <w:rtl/>
        </w:rPr>
        <w:t xml:space="preserve"> </w:t>
      </w:r>
      <w:r w:rsidRPr="00C2223F">
        <w:rPr>
          <w:rFonts w:ascii="Century" w:hAnsi="Century" w:cs="Miriam" w:hint="eastAsia"/>
          <w:b/>
          <w:spacing w:val="0"/>
          <w:szCs w:val="24"/>
          <w:rtl/>
        </w:rPr>
        <w:t>איננה</w:t>
      </w:r>
      <w:r w:rsidRPr="00C2223F">
        <w:rPr>
          <w:rFonts w:ascii="Century" w:hAnsi="Century" w:cs="Miriam"/>
          <w:b/>
          <w:spacing w:val="0"/>
          <w:szCs w:val="24"/>
          <w:rtl/>
        </w:rPr>
        <w:t xml:space="preserve"> </w:t>
      </w:r>
      <w:r w:rsidRPr="00C2223F">
        <w:rPr>
          <w:rFonts w:ascii="Century" w:hAnsi="Century" w:cs="Miriam" w:hint="eastAsia"/>
          <w:b/>
          <w:spacing w:val="0"/>
          <w:szCs w:val="24"/>
          <w:rtl/>
        </w:rPr>
        <w:t>סוס</w:t>
      </w:r>
      <w:r w:rsidRPr="00C2223F">
        <w:rPr>
          <w:rFonts w:ascii="Century" w:hAnsi="Century" w:cs="Miriam"/>
          <w:b/>
          <w:spacing w:val="0"/>
          <w:szCs w:val="24"/>
          <w:rtl/>
        </w:rPr>
        <w:t xml:space="preserve"> </w:t>
      </w:r>
      <w:r w:rsidRPr="00C2223F">
        <w:rPr>
          <w:rFonts w:ascii="Century" w:hAnsi="Century" w:cs="Miriam" w:hint="eastAsia"/>
          <w:b/>
          <w:spacing w:val="0"/>
          <w:szCs w:val="24"/>
          <w:rtl/>
        </w:rPr>
        <w:t>פרא</w:t>
      </w:r>
      <w:r w:rsidRPr="00C2223F">
        <w:rPr>
          <w:rFonts w:ascii="Century" w:hAnsi="Century" w:cs="Miriam"/>
          <w:b/>
          <w:spacing w:val="0"/>
          <w:szCs w:val="24"/>
          <w:rtl/>
        </w:rPr>
        <w:t xml:space="preserve"> </w:t>
      </w:r>
      <w:r w:rsidRPr="00C2223F">
        <w:rPr>
          <w:rFonts w:ascii="Century" w:hAnsi="Century" w:cs="Miriam" w:hint="eastAsia"/>
          <w:b/>
          <w:spacing w:val="0"/>
          <w:szCs w:val="24"/>
          <w:rtl/>
        </w:rPr>
        <w:t>הדוהר</w:t>
      </w:r>
      <w:r w:rsidRPr="00C2223F">
        <w:rPr>
          <w:rFonts w:ascii="Century" w:hAnsi="Century" w:cs="Miriam"/>
          <w:b/>
          <w:spacing w:val="0"/>
          <w:szCs w:val="24"/>
          <w:rtl/>
        </w:rPr>
        <w:t xml:space="preserve"> </w:t>
      </w:r>
      <w:r w:rsidRPr="00C2223F">
        <w:rPr>
          <w:rFonts w:ascii="Century" w:hAnsi="Century" w:cs="Miriam" w:hint="eastAsia"/>
          <w:b/>
          <w:spacing w:val="0"/>
          <w:szCs w:val="24"/>
          <w:rtl/>
        </w:rPr>
        <w:t>למרחבים</w:t>
      </w:r>
      <w:r w:rsidRPr="00C2223F">
        <w:rPr>
          <w:rFonts w:ascii="Century" w:hAnsi="Century" w:cs="Miriam"/>
          <w:b/>
          <w:spacing w:val="0"/>
          <w:szCs w:val="24"/>
          <w:rtl/>
        </w:rPr>
        <w:t xml:space="preserve"> </w:t>
      </w:r>
      <w:r w:rsidRPr="00C2223F">
        <w:rPr>
          <w:rFonts w:ascii="Century" w:hAnsi="Century" w:cs="Miriam" w:hint="eastAsia"/>
          <w:b/>
          <w:spacing w:val="0"/>
          <w:szCs w:val="24"/>
          <w:rtl/>
        </w:rPr>
        <w:t>בלא</w:t>
      </w:r>
      <w:r w:rsidRPr="00C2223F">
        <w:rPr>
          <w:rFonts w:ascii="Century" w:hAnsi="Century" w:cs="Miriam"/>
          <w:b/>
          <w:spacing w:val="0"/>
          <w:szCs w:val="24"/>
          <w:rtl/>
        </w:rPr>
        <w:t xml:space="preserve"> </w:t>
      </w:r>
      <w:r w:rsidRPr="00C2223F">
        <w:rPr>
          <w:rFonts w:ascii="Century" w:hAnsi="Century" w:cs="Miriam" w:hint="eastAsia"/>
          <w:b/>
          <w:spacing w:val="0"/>
          <w:szCs w:val="24"/>
          <w:rtl/>
        </w:rPr>
        <w:t>רסן</w:t>
      </w:r>
      <w:r w:rsidRPr="00C2223F">
        <w:rPr>
          <w:rFonts w:ascii="Century" w:hAnsi="Century" w:cs="Miriam"/>
          <w:b/>
          <w:spacing w:val="0"/>
          <w:szCs w:val="24"/>
          <w:rtl/>
        </w:rPr>
        <w:t xml:space="preserve">. </w:t>
      </w:r>
      <w:r w:rsidRPr="00C2223F">
        <w:rPr>
          <w:rFonts w:ascii="Century" w:hAnsi="Century" w:cs="Miriam" w:hint="eastAsia"/>
          <w:b/>
          <w:spacing w:val="0"/>
          <w:szCs w:val="24"/>
          <w:rtl/>
        </w:rPr>
        <w:t>היא</w:t>
      </w:r>
      <w:r w:rsidRPr="00C2223F">
        <w:rPr>
          <w:rFonts w:ascii="Century" w:hAnsi="Century" w:cs="Miriam"/>
          <w:b/>
          <w:spacing w:val="0"/>
          <w:szCs w:val="24"/>
          <w:rtl/>
        </w:rPr>
        <w:t xml:space="preserve"> </w:t>
      </w:r>
      <w:r w:rsidRPr="00C2223F">
        <w:rPr>
          <w:rFonts w:ascii="Century" w:hAnsi="Century" w:cs="Miriam" w:hint="eastAsia"/>
          <w:b/>
          <w:spacing w:val="0"/>
          <w:szCs w:val="24"/>
          <w:rtl/>
        </w:rPr>
        <w:t>דומה</w:t>
      </w:r>
      <w:r w:rsidRPr="00C2223F">
        <w:rPr>
          <w:rFonts w:ascii="Century" w:hAnsi="Century" w:cs="Miriam"/>
          <w:b/>
          <w:spacing w:val="0"/>
          <w:szCs w:val="24"/>
          <w:rtl/>
        </w:rPr>
        <w:t xml:space="preserve"> </w:t>
      </w:r>
      <w:r w:rsidRPr="00C2223F">
        <w:rPr>
          <w:rFonts w:ascii="Century" w:hAnsi="Century" w:cs="Miriam" w:hint="eastAsia"/>
          <w:b/>
          <w:spacing w:val="0"/>
          <w:szCs w:val="24"/>
          <w:rtl/>
        </w:rPr>
        <w:t>יותר</w:t>
      </w:r>
      <w:r w:rsidRPr="00C2223F">
        <w:rPr>
          <w:rFonts w:ascii="Century" w:hAnsi="Century" w:cs="Miriam"/>
          <w:b/>
          <w:spacing w:val="0"/>
          <w:szCs w:val="24"/>
          <w:rtl/>
        </w:rPr>
        <w:t xml:space="preserve"> </w:t>
      </w:r>
      <w:r w:rsidRPr="00C2223F">
        <w:rPr>
          <w:rFonts w:ascii="Century" w:hAnsi="Century" w:cs="Miriam" w:hint="eastAsia"/>
          <w:b/>
          <w:spacing w:val="0"/>
          <w:szCs w:val="24"/>
          <w:rtl/>
        </w:rPr>
        <w:t>לסוס</w:t>
      </w:r>
      <w:r w:rsidRPr="00C2223F">
        <w:rPr>
          <w:rFonts w:ascii="Century" w:hAnsi="Century" w:cs="Miriam"/>
          <w:b/>
          <w:spacing w:val="0"/>
          <w:szCs w:val="24"/>
          <w:rtl/>
        </w:rPr>
        <w:t xml:space="preserve"> </w:t>
      </w:r>
      <w:r w:rsidRPr="00C2223F">
        <w:rPr>
          <w:rFonts w:ascii="Century" w:hAnsi="Century" w:cs="Miriam" w:hint="eastAsia"/>
          <w:b/>
          <w:spacing w:val="0"/>
          <w:szCs w:val="24"/>
          <w:rtl/>
        </w:rPr>
        <w:t>מאולף</w:t>
      </w:r>
      <w:r w:rsidRPr="00C2223F">
        <w:rPr>
          <w:rFonts w:ascii="Century" w:hAnsi="Century" w:cs="Miriam"/>
          <w:b/>
          <w:spacing w:val="0"/>
          <w:szCs w:val="24"/>
          <w:rtl/>
        </w:rPr>
        <w:t xml:space="preserve">, </w:t>
      </w:r>
      <w:r w:rsidRPr="00C2223F">
        <w:rPr>
          <w:rFonts w:ascii="Century" w:hAnsi="Century" w:cs="Miriam" w:hint="eastAsia"/>
          <w:b/>
          <w:spacing w:val="0"/>
          <w:szCs w:val="24"/>
          <w:rtl/>
        </w:rPr>
        <w:t>הנע</w:t>
      </w:r>
      <w:r w:rsidRPr="00C2223F">
        <w:rPr>
          <w:rFonts w:ascii="Century" w:hAnsi="Century" w:cs="Miriam"/>
          <w:b/>
          <w:spacing w:val="0"/>
          <w:szCs w:val="24"/>
          <w:rtl/>
        </w:rPr>
        <w:t xml:space="preserve"> </w:t>
      </w:r>
      <w:r w:rsidRPr="00C2223F">
        <w:rPr>
          <w:rFonts w:ascii="Century" w:hAnsi="Century" w:cs="Miriam" w:hint="eastAsia"/>
          <w:b/>
          <w:spacing w:val="0"/>
          <w:szCs w:val="24"/>
          <w:rtl/>
        </w:rPr>
        <w:t>בתלם</w:t>
      </w:r>
      <w:r w:rsidRPr="00C2223F">
        <w:rPr>
          <w:rFonts w:ascii="Century" w:hAnsi="Century" w:cs="Miriam"/>
          <w:b/>
          <w:spacing w:val="0"/>
          <w:szCs w:val="24"/>
          <w:rtl/>
        </w:rPr>
        <w:t xml:space="preserve"> </w:t>
      </w:r>
      <w:r w:rsidRPr="00C2223F">
        <w:rPr>
          <w:rFonts w:ascii="Century" w:hAnsi="Century" w:cs="Miriam" w:hint="eastAsia"/>
          <w:b/>
          <w:spacing w:val="0"/>
          <w:szCs w:val="24"/>
          <w:rtl/>
        </w:rPr>
        <w:t>חרוש</w:t>
      </w:r>
      <w:r w:rsidRPr="00C2223F">
        <w:rPr>
          <w:rFonts w:ascii="Century" w:hAnsi="Century" w:cs="Miriam"/>
          <w:b/>
          <w:spacing w:val="0"/>
          <w:szCs w:val="24"/>
          <w:rtl/>
        </w:rPr>
        <w:t xml:space="preserve">, </w:t>
      </w:r>
      <w:r w:rsidRPr="00C2223F">
        <w:rPr>
          <w:rFonts w:ascii="Century" w:hAnsi="Century" w:cs="Miriam" w:hint="eastAsia"/>
          <w:b/>
          <w:spacing w:val="0"/>
          <w:szCs w:val="24"/>
          <w:rtl/>
        </w:rPr>
        <w:t>שאת</w:t>
      </w:r>
      <w:r w:rsidRPr="00C2223F">
        <w:rPr>
          <w:rFonts w:ascii="Century" w:hAnsi="Century" w:cs="Miriam"/>
          <w:b/>
          <w:spacing w:val="0"/>
          <w:szCs w:val="24"/>
          <w:rtl/>
        </w:rPr>
        <w:t xml:space="preserve"> </w:t>
      </w:r>
      <w:r w:rsidRPr="00C2223F">
        <w:rPr>
          <w:rFonts w:ascii="Century" w:hAnsi="Century" w:cs="Miriam" w:hint="eastAsia"/>
          <w:b/>
          <w:spacing w:val="0"/>
          <w:szCs w:val="24"/>
          <w:rtl/>
        </w:rPr>
        <w:t>תחומיו</w:t>
      </w:r>
      <w:r w:rsidRPr="00C2223F">
        <w:rPr>
          <w:rFonts w:ascii="Century" w:hAnsi="Century" w:cs="Miriam"/>
          <w:b/>
          <w:spacing w:val="0"/>
          <w:szCs w:val="24"/>
          <w:rtl/>
        </w:rPr>
        <w:t xml:space="preserve"> </w:t>
      </w:r>
      <w:r w:rsidRPr="00C2223F">
        <w:rPr>
          <w:rFonts w:ascii="Century" w:hAnsi="Century" w:cs="Miriam" w:hint="eastAsia"/>
          <w:b/>
          <w:spacing w:val="0"/>
          <w:szCs w:val="24"/>
          <w:rtl/>
        </w:rPr>
        <w:t>וגבולותיו</w:t>
      </w:r>
      <w:r w:rsidRPr="00C2223F">
        <w:rPr>
          <w:rFonts w:ascii="Century" w:hAnsi="Century" w:cs="Miriam"/>
          <w:b/>
          <w:spacing w:val="0"/>
          <w:szCs w:val="24"/>
          <w:rtl/>
        </w:rPr>
        <w:t xml:space="preserve"> </w:t>
      </w:r>
      <w:r w:rsidRPr="00C2223F">
        <w:rPr>
          <w:rFonts w:ascii="Century" w:hAnsi="Century" w:cs="Miriam" w:hint="eastAsia"/>
          <w:b/>
          <w:spacing w:val="0"/>
          <w:szCs w:val="24"/>
          <w:rtl/>
        </w:rPr>
        <w:t>מגדירים</w:t>
      </w:r>
      <w:r w:rsidRPr="00C2223F">
        <w:rPr>
          <w:rFonts w:ascii="Century" w:hAnsi="Century" w:cs="Miriam"/>
          <w:b/>
          <w:spacing w:val="0"/>
          <w:szCs w:val="24"/>
          <w:rtl/>
        </w:rPr>
        <w:t xml:space="preserve"> </w:t>
      </w:r>
      <w:r w:rsidRPr="00C2223F">
        <w:rPr>
          <w:rFonts w:ascii="Century" w:hAnsi="Century" w:cs="Miriam" w:hint="eastAsia"/>
          <w:b/>
          <w:spacing w:val="0"/>
          <w:szCs w:val="24"/>
          <w:rtl/>
        </w:rPr>
        <w:t>הלשון</w:t>
      </w:r>
      <w:r w:rsidRPr="00C2223F">
        <w:rPr>
          <w:rFonts w:ascii="Century" w:hAnsi="Century" w:cs="Miriam"/>
          <w:b/>
          <w:spacing w:val="0"/>
          <w:szCs w:val="24"/>
          <w:rtl/>
        </w:rPr>
        <w:t xml:space="preserve"> </w:t>
      </w:r>
      <w:r w:rsidRPr="00C2223F">
        <w:rPr>
          <w:rFonts w:ascii="Century" w:hAnsi="Century" w:cs="Miriam" w:hint="eastAsia"/>
          <w:b/>
          <w:spacing w:val="0"/>
          <w:szCs w:val="24"/>
          <w:rtl/>
        </w:rPr>
        <w:t>והנוסח</w:t>
      </w:r>
      <w:r w:rsidRPr="00C2223F">
        <w:rPr>
          <w:rFonts w:ascii="Century" w:hAnsi="Century" w:cs="Miriam" w:hint="cs"/>
          <w:b/>
          <w:spacing w:val="0"/>
          <w:szCs w:val="24"/>
          <w:rtl/>
        </w:rPr>
        <w:t>'"</w:t>
      </w:r>
      <w:r w:rsidRPr="0049116A">
        <w:rPr>
          <w:rFonts w:hint="cs"/>
          <w:rtl/>
        </w:rPr>
        <w:t xml:space="preserve"> </w:t>
      </w:r>
      <w:r>
        <w:rPr>
          <w:rFonts w:hint="cs"/>
          <w:rtl/>
        </w:rPr>
        <w:t xml:space="preserve">(דברי השופטת </w:t>
      </w:r>
      <w:r w:rsidRPr="004D7849">
        <w:rPr>
          <w:rFonts w:ascii="Century" w:hAnsi="Century" w:cs="Miriam" w:hint="cs"/>
          <w:b/>
          <w:spacing w:val="0"/>
          <w:szCs w:val="24"/>
          <w:rtl/>
        </w:rPr>
        <w:t>ע' ארבל</w:t>
      </w:r>
      <w:r>
        <w:rPr>
          <w:rFonts w:hint="cs"/>
          <w:rtl/>
        </w:rPr>
        <w:t xml:space="preserve"> ב</w:t>
      </w:r>
      <w:r w:rsidRPr="0049116A">
        <w:rPr>
          <w:rFonts w:hint="eastAsia"/>
          <w:rtl/>
        </w:rPr>
        <w:t>בג</w:t>
      </w:r>
      <w:r w:rsidRPr="0049116A">
        <w:rPr>
          <w:rtl/>
        </w:rPr>
        <w:t>"</w:t>
      </w:r>
      <w:r w:rsidRPr="0049116A">
        <w:rPr>
          <w:rFonts w:hint="eastAsia"/>
          <w:rtl/>
        </w:rPr>
        <w:t>ץ</w:t>
      </w:r>
      <w:r w:rsidRPr="0049116A">
        <w:rPr>
          <w:rtl/>
        </w:rPr>
        <w:t xml:space="preserve"> 6247/04 </w:t>
      </w:r>
      <w:r w:rsidRPr="00C2223F">
        <w:rPr>
          <w:rFonts w:ascii="Century" w:hAnsi="Century" w:cs="Miriam" w:hint="eastAsia"/>
          <w:b/>
          <w:spacing w:val="0"/>
          <w:szCs w:val="24"/>
          <w:rtl/>
        </w:rPr>
        <w:t>גורודצקי</w:t>
      </w:r>
      <w:r w:rsidRPr="00C2223F">
        <w:rPr>
          <w:rFonts w:ascii="Century" w:hAnsi="Century" w:cs="Miriam"/>
          <w:b/>
          <w:spacing w:val="0"/>
          <w:szCs w:val="24"/>
          <w:rtl/>
        </w:rPr>
        <w:t xml:space="preserve"> </w:t>
      </w:r>
      <w:r w:rsidRPr="00C2223F">
        <w:rPr>
          <w:rFonts w:ascii="Century" w:hAnsi="Century" w:cs="Miriam" w:hint="eastAsia"/>
          <w:b/>
          <w:spacing w:val="0"/>
          <w:szCs w:val="24"/>
          <w:rtl/>
        </w:rPr>
        <w:t>נ</w:t>
      </w:r>
      <w:r w:rsidRPr="00C2223F">
        <w:rPr>
          <w:rFonts w:ascii="Century" w:hAnsi="Century" w:cs="Miriam"/>
          <w:b/>
          <w:spacing w:val="0"/>
          <w:szCs w:val="24"/>
          <w:rtl/>
        </w:rPr>
        <w:t xml:space="preserve">' </w:t>
      </w:r>
      <w:r w:rsidRPr="00C2223F">
        <w:rPr>
          <w:rFonts w:ascii="Century" w:hAnsi="Century" w:cs="Miriam" w:hint="eastAsia"/>
          <w:b/>
          <w:spacing w:val="0"/>
          <w:szCs w:val="24"/>
          <w:rtl/>
        </w:rPr>
        <w:t>שר</w:t>
      </w:r>
      <w:r w:rsidRPr="00C2223F">
        <w:rPr>
          <w:rFonts w:ascii="Century" w:hAnsi="Century" w:cs="Miriam"/>
          <w:b/>
          <w:spacing w:val="0"/>
          <w:szCs w:val="24"/>
          <w:rtl/>
        </w:rPr>
        <w:t xml:space="preserve"> </w:t>
      </w:r>
      <w:r w:rsidRPr="00C2223F">
        <w:rPr>
          <w:rFonts w:ascii="Century" w:hAnsi="Century" w:cs="Miriam" w:hint="eastAsia"/>
          <w:b/>
          <w:spacing w:val="0"/>
          <w:szCs w:val="24"/>
          <w:rtl/>
        </w:rPr>
        <w:t>הפנים</w:t>
      </w:r>
      <w:r>
        <w:rPr>
          <w:rFonts w:hint="cs"/>
          <w:rtl/>
        </w:rPr>
        <w:t xml:space="preserve">, פסקה </w:t>
      </w:r>
      <w:r w:rsidRPr="003B35C0">
        <w:rPr>
          <w:rFonts w:hint="cs"/>
          <w:rtl/>
        </w:rPr>
        <w:t>20</w:t>
      </w:r>
      <w:r w:rsidRPr="003B35C0">
        <w:rPr>
          <w:rtl/>
        </w:rPr>
        <w:t xml:space="preserve"> (23.</w:t>
      </w:r>
      <w:r w:rsidRPr="003B35C0">
        <w:rPr>
          <w:rFonts w:hint="cs"/>
          <w:rtl/>
        </w:rPr>
        <w:t>3.</w:t>
      </w:r>
      <w:r w:rsidRPr="003B35C0">
        <w:rPr>
          <w:rtl/>
        </w:rPr>
        <w:t>2010)</w:t>
      </w:r>
      <w:r w:rsidRPr="003B35C0">
        <w:rPr>
          <w:rFonts w:hint="cs"/>
          <w:rtl/>
        </w:rPr>
        <w:t xml:space="preserve"> (להלן: </w:t>
      </w:r>
      <w:r w:rsidRPr="003B35C0">
        <w:rPr>
          <w:rFonts w:ascii="Century" w:hAnsi="Century" w:cs="Miriam" w:hint="cs"/>
          <w:b/>
          <w:spacing w:val="0"/>
          <w:szCs w:val="24"/>
          <w:rtl/>
        </w:rPr>
        <w:t>עניין גורודצקי</w:t>
      </w:r>
      <w:r w:rsidRPr="003B35C0">
        <w:rPr>
          <w:rFonts w:hint="cs"/>
          <w:rtl/>
        </w:rPr>
        <w:t xml:space="preserve">); וראו גם: </w:t>
      </w:r>
      <w:r w:rsidRPr="003B35C0">
        <w:rPr>
          <w:rFonts w:ascii="Century" w:hAnsi="Century" w:hint="eastAsia"/>
          <w:shd w:val="clear" w:color="auto" w:fill="FFFFFF"/>
          <w:rtl/>
        </w:rPr>
        <w:t>אהרן</w:t>
      </w:r>
      <w:r w:rsidRPr="003B35C0">
        <w:rPr>
          <w:rFonts w:ascii="Century" w:hAnsi="Century"/>
          <w:shd w:val="clear" w:color="auto" w:fill="FFFFFF"/>
          <w:rtl/>
        </w:rPr>
        <w:t xml:space="preserve"> </w:t>
      </w:r>
      <w:r w:rsidRPr="003B35C0">
        <w:rPr>
          <w:rFonts w:ascii="Century" w:hAnsi="Century" w:hint="eastAsia"/>
          <w:shd w:val="clear" w:color="auto" w:fill="FFFFFF"/>
          <w:rtl/>
        </w:rPr>
        <w:t>ברק</w:t>
      </w:r>
      <w:r w:rsidRPr="003B35C0">
        <w:rPr>
          <w:rFonts w:ascii="Century" w:hAnsi="Century" w:cs="Miriam"/>
          <w:b/>
          <w:spacing w:val="0"/>
          <w:szCs w:val="24"/>
          <w:shd w:val="clear" w:color="auto" w:fill="FFFFFF"/>
          <w:rtl/>
        </w:rPr>
        <w:t xml:space="preserve"> </w:t>
      </w:r>
      <w:r w:rsidRPr="003B35C0">
        <w:rPr>
          <w:rFonts w:ascii="Century" w:hAnsi="Century" w:cs="Miriam" w:hint="eastAsia"/>
          <w:b/>
          <w:spacing w:val="0"/>
          <w:szCs w:val="24"/>
          <w:shd w:val="clear" w:color="auto" w:fill="FFFFFF"/>
          <w:rtl/>
        </w:rPr>
        <w:t>פרשנות</w:t>
      </w:r>
      <w:r w:rsidRPr="003B35C0">
        <w:rPr>
          <w:rFonts w:ascii="Century" w:hAnsi="Century" w:cs="Miriam"/>
          <w:b/>
          <w:spacing w:val="0"/>
          <w:szCs w:val="24"/>
          <w:shd w:val="clear" w:color="auto" w:fill="FFFFFF"/>
          <w:rtl/>
        </w:rPr>
        <w:t xml:space="preserve"> </w:t>
      </w:r>
      <w:r w:rsidRPr="003B35C0">
        <w:rPr>
          <w:rFonts w:ascii="Century" w:hAnsi="Century" w:cs="Miriam" w:hint="eastAsia"/>
          <w:b/>
          <w:spacing w:val="0"/>
          <w:szCs w:val="24"/>
          <w:shd w:val="clear" w:color="auto" w:fill="FFFFFF"/>
          <w:rtl/>
        </w:rPr>
        <w:t>במשפט</w:t>
      </w:r>
      <w:r w:rsidRPr="003B35C0">
        <w:rPr>
          <w:rFonts w:ascii="Century" w:hAnsi="Century" w:cs="Miriam" w:hint="cs"/>
          <w:b/>
          <w:spacing w:val="0"/>
          <w:szCs w:val="24"/>
          <w:shd w:val="clear" w:color="auto" w:fill="FFFFFF"/>
          <w:rtl/>
        </w:rPr>
        <w:t xml:space="preserve"> </w:t>
      </w:r>
      <w:r w:rsidRPr="003B35C0">
        <w:rPr>
          <w:rFonts w:ascii="Century" w:hAnsi="Century"/>
          <w:shd w:val="clear" w:color="auto" w:fill="FFFFFF"/>
          <w:rtl/>
        </w:rPr>
        <w:t>–</w:t>
      </w:r>
      <w:r w:rsidRPr="003B35C0">
        <w:rPr>
          <w:rFonts w:ascii="Century" w:hAnsi="Century" w:cs="Miriam"/>
          <w:b/>
          <w:spacing w:val="0"/>
          <w:szCs w:val="24"/>
          <w:shd w:val="clear" w:color="auto" w:fill="FFFFFF"/>
          <w:rtl/>
        </w:rPr>
        <w:t xml:space="preserve"> </w:t>
      </w:r>
      <w:r w:rsidRPr="003B35C0">
        <w:rPr>
          <w:rFonts w:ascii="Century" w:hAnsi="Century" w:cs="Miriam" w:hint="eastAsia"/>
          <w:b/>
          <w:spacing w:val="0"/>
          <w:szCs w:val="24"/>
          <w:shd w:val="clear" w:color="auto" w:fill="FFFFFF"/>
          <w:rtl/>
        </w:rPr>
        <w:t>פרשנות</w:t>
      </w:r>
      <w:r w:rsidRPr="003B35C0">
        <w:rPr>
          <w:rFonts w:ascii="Century" w:hAnsi="Century" w:cs="Miriam"/>
          <w:b/>
          <w:spacing w:val="0"/>
          <w:szCs w:val="24"/>
          <w:shd w:val="clear" w:color="auto" w:fill="FFFFFF"/>
          <w:rtl/>
        </w:rPr>
        <w:t xml:space="preserve"> </w:t>
      </w:r>
      <w:r w:rsidRPr="003B35C0">
        <w:rPr>
          <w:rFonts w:ascii="Century" w:hAnsi="Century" w:cs="Miriam" w:hint="eastAsia"/>
          <w:b/>
          <w:spacing w:val="0"/>
          <w:szCs w:val="24"/>
          <w:shd w:val="clear" w:color="auto" w:fill="FFFFFF"/>
          <w:rtl/>
        </w:rPr>
        <w:t>החקיקה</w:t>
      </w:r>
      <w:r w:rsidRPr="003B35C0">
        <w:rPr>
          <w:rFonts w:ascii="Century" w:hAnsi="Century" w:cs="Miriam"/>
          <w:b/>
          <w:spacing w:val="0"/>
          <w:szCs w:val="24"/>
          <w:shd w:val="clear" w:color="auto" w:fill="FFFFFF"/>
          <w:rtl/>
        </w:rPr>
        <w:t xml:space="preserve"> </w:t>
      </w:r>
      <w:r w:rsidRPr="003B35C0">
        <w:rPr>
          <w:rFonts w:ascii="Century" w:hAnsi="Century" w:hint="cs"/>
          <w:shd w:val="clear" w:color="auto" w:fill="FFFFFF"/>
          <w:rtl/>
        </w:rPr>
        <w:t xml:space="preserve">98-97 </w:t>
      </w:r>
      <w:r w:rsidRPr="003B35C0">
        <w:rPr>
          <w:rFonts w:ascii="Century" w:hAnsi="Century"/>
          <w:shd w:val="clear" w:color="auto" w:fill="FFFFFF"/>
          <w:rtl/>
        </w:rPr>
        <w:t>(1993)</w:t>
      </w:r>
      <w:r>
        <w:rPr>
          <w:rFonts w:hint="cs"/>
          <w:rtl/>
        </w:rPr>
        <w:t xml:space="preserve"> (להלן: </w:t>
      </w:r>
      <w:r w:rsidRPr="000740E6">
        <w:rPr>
          <w:rFonts w:ascii="Century" w:hAnsi="Century" w:cs="Miriam" w:hint="cs"/>
          <w:b/>
          <w:spacing w:val="0"/>
          <w:szCs w:val="24"/>
          <w:rtl/>
        </w:rPr>
        <w:t>ברק</w:t>
      </w:r>
      <w:r>
        <w:rPr>
          <w:rFonts w:hint="cs"/>
          <w:rtl/>
        </w:rPr>
        <w:t>)).</w:t>
      </w:r>
      <w:r w:rsidRPr="0049116A">
        <w:rPr>
          <w:rtl/>
        </w:rPr>
        <w:t xml:space="preserve"> </w:t>
      </w:r>
    </w:p>
    <w:p w:rsidR="00872589" w:rsidRDefault="00872589" w:rsidP="00872589">
      <w:pPr>
        <w:pStyle w:val="Ruller5"/>
        <w:rPr>
          <w:rtl/>
        </w:rPr>
      </w:pPr>
    </w:p>
    <w:p w:rsidR="00872589" w:rsidRDefault="00872589" w:rsidP="00872589">
      <w:pPr>
        <w:pStyle w:val="Ruller4"/>
        <w:numPr>
          <w:ilvl w:val="0"/>
          <w:numId w:val="0"/>
        </w:numPr>
        <w:rPr>
          <w:rtl/>
        </w:rPr>
      </w:pPr>
      <w:r>
        <w:rPr>
          <w:rtl/>
        </w:rPr>
        <w:tab/>
      </w:r>
      <w:r>
        <w:rPr>
          <w:rFonts w:hint="cs"/>
          <w:rtl/>
        </w:rPr>
        <w:t xml:space="preserve">מהם אפוא הגבולות הפרשניים שמתווה לשון החוק בדידן? </w:t>
      </w:r>
    </w:p>
    <w:p w:rsidR="00872589" w:rsidRDefault="00872589" w:rsidP="00872589">
      <w:pPr>
        <w:pStyle w:val="Ruller41"/>
        <w:rPr>
          <w:rtl/>
        </w:rPr>
      </w:pPr>
    </w:p>
    <w:p w:rsidR="00872589" w:rsidRDefault="00872589" w:rsidP="00872589">
      <w:pPr>
        <w:pStyle w:val="Ruller4"/>
        <w:textAlignment w:val="baseline"/>
      </w:pPr>
      <w:r>
        <w:rPr>
          <w:rFonts w:hint="cs"/>
          <w:rtl/>
        </w:rPr>
        <w:t>סעיף 4א(א) לחוק, שלגבי פרשנותו חלוקים הצדדים, מורנו כהאי לישנא:</w:t>
      </w:r>
    </w:p>
    <w:p w:rsidR="00872589" w:rsidRPr="003F58E3" w:rsidRDefault="00872589" w:rsidP="00872589">
      <w:pPr>
        <w:pStyle w:val="Ruller4"/>
        <w:numPr>
          <w:ilvl w:val="0"/>
          <w:numId w:val="0"/>
        </w:numPr>
        <w:rPr>
          <w:rtl/>
        </w:rPr>
      </w:pPr>
    </w:p>
    <w:p w:rsidR="00872589" w:rsidRPr="00F0010D" w:rsidRDefault="00872589" w:rsidP="00872589">
      <w:pPr>
        <w:pStyle w:val="Ruller5"/>
        <w:spacing w:line="360" w:lineRule="auto"/>
        <w:rPr>
          <w:rFonts w:ascii="Century" w:hAnsi="Century" w:cs="Miriam"/>
          <w:b/>
          <w:spacing w:val="0"/>
          <w:szCs w:val="24"/>
          <w:u w:val="single"/>
          <w:rtl/>
        </w:rPr>
      </w:pPr>
      <w:r w:rsidRPr="00F0010D">
        <w:rPr>
          <w:rFonts w:ascii="Century" w:hAnsi="Century" w:cs="Miriam" w:hint="cs"/>
          <w:b/>
          <w:spacing w:val="0"/>
          <w:szCs w:val="24"/>
          <w:u w:val="single"/>
          <w:rtl/>
        </w:rPr>
        <w:t>זכויות בני משפחה</w:t>
      </w:r>
    </w:p>
    <w:p w:rsidR="00872589" w:rsidRPr="00F0010D" w:rsidRDefault="00872589" w:rsidP="00872589">
      <w:pPr>
        <w:pStyle w:val="Ruller5"/>
        <w:spacing w:line="360" w:lineRule="auto"/>
        <w:rPr>
          <w:rFonts w:ascii="Century" w:hAnsi="Century" w:cs="Miriam"/>
          <w:b/>
          <w:spacing w:val="0"/>
          <w:szCs w:val="24"/>
          <w:rtl/>
        </w:rPr>
      </w:pPr>
      <w:r w:rsidRPr="00F0010D">
        <w:rPr>
          <w:rFonts w:ascii="Century" w:hAnsi="Century" w:cs="Miriam" w:hint="cs"/>
          <w:b/>
          <w:spacing w:val="0"/>
          <w:szCs w:val="24"/>
          <w:rtl/>
        </w:rPr>
        <w:t xml:space="preserve">4א. (א) </w:t>
      </w:r>
      <w:r w:rsidRPr="00F0010D">
        <w:rPr>
          <w:rFonts w:ascii="Century" w:hAnsi="Century" w:cs="Miriam" w:hint="eastAsia"/>
          <w:b/>
          <w:spacing w:val="0"/>
          <w:szCs w:val="24"/>
          <w:rtl/>
        </w:rPr>
        <w:t>הזכויות</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לפי</w:t>
      </w:r>
      <w:r w:rsidRPr="00F0010D">
        <w:rPr>
          <w:rFonts w:ascii="Century" w:hAnsi="Century" w:cs="Miriam"/>
          <w:b/>
          <w:spacing w:val="0"/>
          <w:szCs w:val="24"/>
          <w:rtl/>
        </w:rPr>
        <w:t xml:space="preserve"> </w:t>
      </w:r>
      <w:r w:rsidRPr="00F0010D">
        <w:rPr>
          <w:rFonts w:ascii="Century" w:hAnsi="Century" w:cs="Miriam" w:hint="eastAsia"/>
          <w:b/>
          <w:spacing w:val="0"/>
          <w:szCs w:val="24"/>
          <w:rtl/>
        </w:rPr>
        <w:t>חוק</w:t>
      </w:r>
      <w:r w:rsidRPr="00F0010D">
        <w:rPr>
          <w:rFonts w:ascii="Century" w:hAnsi="Century" w:cs="Miriam"/>
          <w:b/>
          <w:spacing w:val="0"/>
          <w:szCs w:val="24"/>
          <w:rtl/>
        </w:rPr>
        <w:t xml:space="preserve"> </w:t>
      </w:r>
      <w:r w:rsidRPr="00F0010D">
        <w:rPr>
          <w:rFonts w:ascii="Century" w:hAnsi="Century" w:cs="Miriam" w:hint="eastAsia"/>
          <w:b/>
          <w:spacing w:val="0"/>
          <w:szCs w:val="24"/>
          <w:rtl/>
        </w:rPr>
        <w:t>זה</w:t>
      </w:r>
      <w:r w:rsidRPr="00F0010D">
        <w:rPr>
          <w:rFonts w:ascii="Century" w:hAnsi="Century" w:cs="Miriam"/>
          <w:b/>
          <w:spacing w:val="0"/>
          <w:szCs w:val="24"/>
          <w:rtl/>
        </w:rPr>
        <w:t xml:space="preserve"> </w:t>
      </w:r>
      <w:r w:rsidRPr="00F0010D">
        <w:rPr>
          <w:rFonts w:ascii="Century" w:hAnsi="Century" w:cs="Miriam" w:hint="eastAsia"/>
          <w:b/>
          <w:spacing w:val="0"/>
          <w:szCs w:val="24"/>
          <w:rtl/>
        </w:rPr>
        <w:t>והזכויות</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עולה</w:t>
      </w:r>
      <w:r w:rsidRPr="00F0010D">
        <w:rPr>
          <w:rFonts w:ascii="Century" w:hAnsi="Century" w:cs="Miriam"/>
          <w:b/>
          <w:spacing w:val="0"/>
          <w:szCs w:val="24"/>
          <w:rtl/>
        </w:rPr>
        <w:t xml:space="preserve"> </w:t>
      </w:r>
      <w:r w:rsidRPr="00F0010D">
        <w:rPr>
          <w:rFonts w:ascii="Century" w:hAnsi="Century" w:cs="Miriam" w:hint="eastAsia"/>
          <w:b/>
          <w:spacing w:val="0"/>
          <w:szCs w:val="24"/>
          <w:rtl/>
        </w:rPr>
        <w:t>לפי</w:t>
      </w:r>
      <w:r w:rsidRPr="00F0010D">
        <w:rPr>
          <w:rFonts w:ascii="Century" w:hAnsi="Century" w:cs="Miriam"/>
          <w:b/>
          <w:spacing w:val="0"/>
          <w:szCs w:val="24"/>
          <w:rtl/>
        </w:rPr>
        <w:t xml:space="preserve"> </w:t>
      </w:r>
      <w:r w:rsidRPr="00F0010D">
        <w:rPr>
          <w:rFonts w:ascii="Century" w:hAnsi="Century" w:cs="Miriam" w:hint="eastAsia"/>
          <w:b/>
          <w:spacing w:val="0"/>
          <w:szCs w:val="24"/>
          <w:rtl/>
        </w:rPr>
        <w:t>חוק</w:t>
      </w:r>
      <w:r w:rsidRPr="00F0010D">
        <w:rPr>
          <w:rFonts w:ascii="Century" w:hAnsi="Century" w:cs="Miriam"/>
          <w:b/>
          <w:spacing w:val="0"/>
          <w:szCs w:val="24"/>
          <w:rtl/>
        </w:rPr>
        <w:t xml:space="preserve"> </w:t>
      </w:r>
      <w:r w:rsidRPr="00F0010D">
        <w:rPr>
          <w:rFonts w:ascii="Century" w:hAnsi="Century" w:cs="Miriam" w:hint="eastAsia"/>
          <w:b/>
          <w:spacing w:val="0"/>
          <w:szCs w:val="24"/>
          <w:rtl/>
        </w:rPr>
        <w:t>האזרחות</w:t>
      </w:r>
      <w:r w:rsidRPr="00F0010D">
        <w:rPr>
          <w:rFonts w:ascii="Century" w:hAnsi="Century" w:cs="Miriam"/>
          <w:b/>
          <w:spacing w:val="0"/>
          <w:szCs w:val="24"/>
          <w:rtl/>
        </w:rPr>
        <w:t xml:space="preserve">, </w:t>
      </w:r>
      <w:r w:rsidRPr="00F0010D">
        <w:rPr>
          <w:rFonts w:ascii="Century" w:hAnsi="Century" w:cs="Miriam" w:hint="eastAsia"/>
          <w:b/>
          <w:spacing w:val="0"/>
          <w:szCs w:val="24"/>
          <w:rtl/>
        </w:rPr>
        <w:t>תשי</w:t>
      </w:r>
      <w:r w:rsidRPr="00F0010D">
        <w:rPr>
          <w:rFonts w:ascii="Century" w:hAnsi="Century" w:cs="Miriam"/>
          <w:b/>
          <w:spacing w:val="0"/>
          <w:szCs w:val="24"/>
          <w:rtl/>
        </w:rPr>
        <w:t>"</w:t>
      </w:r>
      <w:r w:rsidRPr="00F0010D">
        <w:rPr>
          <w:rFonts w:ascii="Century" w:hAnsi="Century" w:cs="Miriam" w:hint="eastAsia"/>
          <w:b/>
          <w:spacing w:val="0"/>
          <w:szCs w:val="24"/>
          <w:rtl/>
        </w:rPr>
        <w:t>ב</w:t>
      </w:r>
      <w:r w:rsidRPr="00F0010D">
        <w:rPr>
          <w:rFonts w:ascii="Century" w:hAnsi="Century" w:cs="Miriam"/>
          <w:b/>
          <w:spacing w:val="0"/>
          <w:szCs w:val="24"/>
          <w:rtl/>
        </w:rPr>
        <w:t xml:space="preserve">-1952, </w:t>
      </w:r>
      <w:r w:rsidRPr="00F0010D">
        <w:rPr>
          <w:rFonts w:ascii="Century" w:hAnsi="Century" w:cs="Miriam" w:hint="eastAsia"/>
          <w:b/>
          <w:spacing w:val="0"/>
          <w:szCs w:val="24"/>
          <w:rtl/>
        </w:rPr>
        <w:t>וכן</w:t>
      </w:r>
      <w:r w:rsidRPr="00F0010D">
        <w:rPr>
          <w:rFonts w:ascii="Century" w:hAnsi="Century" w:cs="Miriam"/>
          <w:b/>
          <w:spacing w:val="0"/>
          <w:szCs w:val="24"/>
          <w:rtl/>
        </w:rPr>
        <w:t xml:space="preserve"> </w:t>
      </w:r>
      <w:r w:rsidRPr="00F0010D">
        <w:rPr>
          <w:rFonts w:ascii="Century" w:hAnsi="Century" w:cs="Miriam" w:hint="eastAsia"/>
          <w:b/>
          <w:spacing w:val="0"/>
          <w:szCs w:val="24"/>
          <w:rtl/>
        </w:rPr>
        <w:t>הזכויות</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עולה</w:t>
      </w:r>
      <w:r w:rsidRPr="00F0010D">
        <w:rPr>
          <w:rFonts w:ascii="Century" w:hAnsi="Century" w:cs="Miriam"/>
          <w:b/>
          <w:spacing w:val="0"/>
          <w:szCs w:val="24"/>
          <w:rtl/>
        </w:rPr>
        <w:t xml:space="preserve"> </w:t>
      </w:r>
      <w:r w:rsidRPr="00F0010D">
        <w:rPr>
          <w:rFonts w:ascii="Century" w:hAnsi="Century" w:cs="Miriam" w:hint="eastAsia"/>
          <w:b/>
          <w:spacing w:val="0"/>
          <w:szCs w:val="24"/>
          <w:rtl/>
        </w:rPr>
        <w:t>לפי</w:t>
      </w:r>
      <w:r w:rsidRPr="00F0010D">
        <w:rPr>
          <w:rFonts w:ascii="Century" w:hAnsi="Century" w:cs="Miriam"/>
          <w:b/>
          <w:spacing w:val="0"/>
          <w:szCs w:val="24"/>
          <w:rtl/>
        </w:rPr>
        <w:t xml:space="preserve"> </w:t>
      </w:r>
      <w:r w:rsidRPr="00F0010D">
        <w:rPr>
          <w:rFonts w:ascii="Century" w:hAnsi="Century" w:cs="Miriam" w:hint="eastAsia"/>
          <w:b/>
          <w:spacing w:val="0"/>
          <w:szCs w:val="24"/>
          <w:rtl/>
        </w:rPr>
        <w:t>כל</w:t>
      </w:r>
      <w:r w:rsidRPr="00F0010D">
        <w:rPr>
          <w:rFonts w:ascii="Century" w:hAnsi="Century" w:cs="Miriam"/>
          <w:b/>
          <w:spacing w:val="0"/>
          <w:szCs w:val="24"/>
          <w:rtl/>
        </w:rPr>
        <w:t xml:space="preserve"> </w:t>
      </w:r>
      <w:r w:rsidRPr="00F0010D">
        <w:rPr>
          <w:rFonts w:ascii="Century" w:hAnsi="Century" w:cs="Miriam" w:hint="eastAsia"/>
          <w:b/>
          <w:spacing w:val="0"/>
          <w:szCs w:val="24"/>
          <w:rtl/>
        </w:rPr>
        <w:t>חיקוק</w:t>
      </w:r>
      <w:r w:rsidRPr="00F0010D">
        <w:rPr>
          <w:rFonts w:ascii="Century" w:hAnsi="Century" w:cs="Miriam"/>
          <w:b/>
          <w:spacing w:val="0"/>
          <w:szCs w:val="24"/>
          <w:rtl/>
        </w:rPr>
        <w:t xml:space="preserve"> </w:t>
      </w:r>
      <w:r w:rsidRPr="00F0010D">
        <w:rPr>
          <w:rFonts w:ascii="Century" w:hAnsi="Century" w:cs="Miriam" w:hint="eastAsia"/>
          <w:b/>
          <w:spacing w:val="0"/>
          <w:szCs w:val="24"/>
          <w:rtl/>
        </w:rPr>
        <w:t>אחר</w:t>
      </w:r>
      <w:r w:rsidRPr="00F0010D">
        <w:rPr>
          <w:rFonts w:ascii="Century" w:hAnsi="Century" w:cs="Miriam"/>
          <w:b/>
          <w:spacing w:val="0"/>
          <w:szCs w:val="24"/>
          <w:rtl/>
        </w:rPr>
        <w:t xml:space="preserve">, </w:t>
      </w:r>
      <w:r w:rsidRPr="00F0010D">
        <w:rPr>
          <w:rFonts w:ascii="Century" w:hAnsi="Century" w:cs="Miriam" w:hint="eastAsia"/>
          <w:b/>
          <w:spacing w:val="0"/>
          <w:szCs w:val="24"/>
          <w:rtl/>
        </w:rPr>
        <w:t>מוקנות</w:t>
      </w:r>
      <w:r w:rsidRPr="00F0010D">
        <w:rPr>
          <w:rFonts w:ascii="Century" w:hAnsi="Century" w:cs="Miriam"/>
          <w:b/>
          <w:spacing w:val="0"/>
          <w:szCs w:val="24"/>
          <w:rtl/>
        </w:rPr>
        <w:t xml:space="preserve"> </w:t>
      </w:r>
      <w:r w:rsidRPr="00F0010D">
        <w:rPr>
          <w:rFonts w:ascii="Century" w:hAnsi="Century" w:cs="Miriam" w:hint="eastAsia"/>
          <w:b/>
          <w:spacing w:val="0"/>
          <w:szCs w:val="24"/>
          <w:rtl/>
        </w:rPr>
        <w:t>גם</w:t>
      </w:r>
      <w:r w:rsidRPr="00F0010D">
        <w:rPr>
          <w:rFonts w:ascii="Century" w:hAnsi="Century" w:cs="Miriam"/>
          <w:b/>
          <w:spacing w:val="0"/>
          <w:szCs w:val="24"/>
          <w:rtl/>
        </w:rPr>
        <w:t xml:space="preserve"> </w:t>
      </w:r>
      <w:r w:rsidRPr="00F0010D">
        <w:rPr>
          <w:rFonts w:ascii="Century" w:hAnsi="Century" w:cs="Miriam" w:hint="eastAsia"/>
          <w:b/>
          <w:spacing w:val="0"/>
          <w:szCs w:val="24"/>
          <w:rtl/>
        </w:rPr>
        <w:t>לילד</w:t>
      </w:r>
      <w:r w:rsidRPr="00F0010D">
        <w:rPr>
          <w:rFonts w:ascii="Century" w:hAnsi="Century" w:cs="Miriam"/>
          <w:b/>
          <w:spacing w:val="0"/>
          <w:szCs w:val="24"/>
          <w:rtl/>
        </w:rPr>
        <w:t xml:space="preserve"> </w:t>
      </w:r>
      <w:r w:rsidRPr="00F0010D">
        <w:rPr>
          <w:rFonts w:ascii="Century" w:hAnsi="Century" w:cs="Miriam" w:hint="eastAsia"/>
          <w:b/>
          <w:spacing w:val="0"/>
          <w:szCs w:val="24"/>
          <w:rtl/>
        </w:rPr>
        <w:t>ולנכד</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לבן</w:t>
      </w:r>
      <w:r w:rsidRPr="00F0010D">
        <w:rPr>
          <w:rFonts w:ascii="Century" w:hAnsi="Century" w:cs="Miriam"/>
          <w:b/>
          <w:spacing w:val="0"/>
          <w:szCs w:val="24"/>
          <w:rtl/>
        </w:rPr>
        <w:t xml:space="preserve"> </w:t>
      </w:r>
      <w:r w:rsidRPr="00F0010D">
        <w:rPr>
          <w:rFonts w:ascii="Century" w:hAnsi="Century" w:cs="Miriam" w:hint="eastAsia"/>
          <w:b/>
          <w:spacing w:val="0"/>
          <w:szCs w:val="24"/>
          <w:rtl/>
        </w:rPr>
        <w:t>זוג</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ולבן</w:t>
      </w:r>
      <w:r w:rsidRPr="00F0010D">
        <w:rPr>
          <w:rFonts w:ascii="Century" w:hAnsi="Century" w:cs="Miriam"/>
          <w:b/>
          <w:spacing w:val="0"/>
          <w:szCs w:val="24"/>
          <w:rtl/>
        </w:rPr>
        <w:t xml:space="preserve"> </w:t>
      </w:r>
      <w:r w:rsidRPr="00F0010D">
        <w:rPr>
          <w:rFonts w:ascii="Century" w:hAnsi="Century" w:cs="Miriam" w:hint="eastAsia"/>
          <w:b/>
          <w:spacing w:val="0"/>
          <w:szCs w:val="24"/>
          <w:rtl/>
        </w:rPr>
        <w:t>זוג</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ילד</w:t>
      </w:r>
      <w:r w:rsidRPr="00F0010D">
        <w:rPr>
          <w:rFonts w:ascii="Century" w:hAnsi="Century" w:cs="Miriam"/>
          <w:b/>
          <w:spacing w:val="0"/>
          <w:szCs w:val="24"/>
          <w:rtl/>
        </w:rPr>
        <w:t xml:space="preserve"> </w:t>
      </w:r>
      <w:r w:rsidRPr="00F0010D">
        <w:rPr>
          <w:rFonts w:ascii="Century" w:hAnsi="Century" w:cs="Miriam" w:hint="eastAsia"/>
          <w:b/>
          <w:spacing w:val="0"/>
          <w:szCs w:val="24"/>
          <w:rtl/>
        </w:rPr>
        <w:t>ושל</w:t>
      </w:r>
      <w:r w:rsidRPr="00F0010D">
        <w:rPr>
          <w:rFonts w:ascii="Century" w:hAnsi="Century" w:cs="Miriam"/>
          <w:b/>
          <w:spacing w:val="0"/>
          <w:szCs w:val="24"/>
          <w:rtl/>
        </w:rPr>
        <w:t xml:space="preserve"> </w:t>
      </w:r>
      <w:r w:rsidRPr="00F0010D">
        <w:rPr>
          <w:rFonts w:ascii="Century" w:hAnsi="Century" w:cs="Miriam" w:hint="eastAsia"/>
          <w:b/>
          <w:spacing w:val="0"/>
          <w:szCs w:val="24"/>
          <w:rtl/>
        </w:rPr>
        <w:t>נכד</w:t>
      </w:r>
      <w:r w:rsidRPr="00F0010D">
        <w:rPr>
          <w:rFonts w:ascii="Century" w:hAnsi="Century" w:cs="Miriam"/>
          <w:b/>
          <w:spacing w:val="0"/>
          <w:szCs w:val="24"/>
          <w:rtl/>
        </w:rPr>
        <w:t xml:space="preserve"> </w:t>
      </w:r>
      <w:r w:rsidRPr="00F0010D">
        <w:rPr>
          <w:rFonts w:ascii="Century" w:hAnsi="Century" w:cs="Miriam" w:hint="eastAsia"/>
          <w:b/>
          <w:spacing w:val="0"/>
          <w:szCs w:val="24"/>
          <w:rtl/>
        </w:rPr>
        <w:t>של</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להוציא</w:t>
      </w:r>
      <w:r w:rsidRPr="00F0010D">
        <w:rPr>
          <w:rFonts w:ascii="Century" w:hAnsi="Century" w:cs="Miriam"/>
          <w:b/>
          <w:spacing w:val="0"/>
          <w:szCs w:val="24"/>
          <w:rtl/>
        </w:rPr>
        <w:t xml:space="preserve"> </w:t>
      </w:r>
      <w:r w:rsidRPr="00F0010D">
        <w:rPr>
          <w:rFonts w:ascii="Century" w:hAnsi="Century" w:cs="Miriam" w:hint="eastAsia"/>
          <w:b/>
          <w:spacing w:val="0"/>
          <w:szCs w:val="24"/>
          <w:rtl/>
        </w:rPr>
        <w:t>אדם</w:t>
      </w:r>
      <w:r w:rsidRPr="00F0010D">
        <w:rPr>
          <w:rFonts w:ascii="Century" w:hAnsi="Century" w:cs="Miriam"/>
          <w:b/>
          <w:spacing w:val="0"/>
          <w:szCs w:val="24"/>
          <w:rtl/>
        </w:rPr>
        <w:t xml:space="preserve"> </w:t>
      </w:r>
      <w:r w:rsidRPr="00F0010D">
        <w:rPr>
          <w:rFonts w:ascii="Century" w:hAnsi="Century" w:cs="Miriam" w:hint="eastAsia"/>
          <w:b/>
          <w:spacing w:val="0"/>
          <w:szCs w:val="24"/>
          <w:rtl/>
        </w:rPr>
        <w:t>שהיה</w:t>
      </w:r>
      <w:r w:rsidRPr="00F0010D">
        <w:rPr>
          <w:rFonts w:ascii="Century" w:hAnsi="Century" w:cs="Miriam"/>
          <w:b/>
          <w:spacing w:val="0"/>
          <w:szCs w:val="24"/>
          <w:rtl/>
        </w:rPr>
        <w:t xml:space="preserve"> </w:t>
      </w:r>
      <w:r w:rsidRPr="00F0010D">
        <w:rPr>
          <w:rFonts w:ascii="Century" w:hAnsi="Century" w:cs="Miriam" w:hint="eastAsia"/>
          <w:b/>
          <w:spacing w:val="0"/>
          <w:szCs w:val="24"/>
          <w:rtl/>
        </w:rPr>
        <w:t>יהודי</w:t>
      </w:r>
      <w:r w:rsidRPr="00F0010D">
        <w:rPr>
          <w:rFonts w:ascii="Century" w:hAnsi="Century" w:cs="Miriam"/>
          <w:b/>
          <w:spacing w:val="0"/>
          <w:szCs w:val="24"/>
          <w:rtl/>
        </w:rPr>
        <w:t xml:space="preserve"> </w:t>
      </w:r>
      <w:r w:rsidRPr="00F0010D">
        <w:rPr>
          <w:rFonts w:ascii="Century" w:hAnsi="Century" w:cs="Miriam" w:hint="eastAsia"/>
          <w:b/>
          <w:spacing w:val="0"/>
          <w:szCs w:val="24"/>
          <w:rtl/>
        </w:rPr>
        <w:t>והמיר</w:t>
      </w:r>
      <w:r w:rsidRPr="00F0010D">
        <w:rPr>
          <w:rFonts w:ascii="Century" w:hAnsi="Century" w:cs="Miriam"/>
          <w:b/>
          <w:spacing w:val="0"/>
          <w:szCs w:val="24"/>
          <w:rtl/>
        </w:rPr>
        <w:t xml:space="preserve"> </w:t>
      </w:r>
      <w:r w:rsidRPr="00F0010D">
        <w:rPr>
          <w:rFonts w:ascii="Century" w:hAnsi="Century" w:cs="Miriam" w:hint="eastAsia"/>
          <w:b/>
          <w:spacing w:val="0"/>
          <w:szCs w:val="24"/>
          <w:rtl/>
        </w:rPr>
        <w:t>דתו</w:t>
      </w:r>
      <w:r w:rsidRPr="00F0010D">
        <w:rPr>
          <w:rFonts w:ascii="Century" w:hAnsi="Century" w:cs="Miriam"/>
          <w:b/>
          <w:spacing w:val="0"/>
          <w:szCs w:val="24"/>
          <w:rtl/>
        </w:rPr>
        <w:t xml:space="preserve"> </w:t>
      </w:r>
      <w:r w:rsidRPr="00F0010D">
        <w:rPr>
          <w:rFonts w:ascii="Century" w:hAnsi="Century" w:cs="Miriam" w:hint="eastAsia"/>
          <w:b/>
          <w:spacing w:val="0"/>
          <w:szCs w:val="24"/>
          <w:rtl/>
        </w:rPr>
        <w:t>מרצון</w:t>
      </w:r>
      <w:r w:rsidRPr="00F0010D">
        <w:rPr>
          <w:rFonts w:ascii="Century" w:hAnsi="Century" w:cs="Miriam"/>
          <w:b/>
          <w:spacing w:val="0"/>
          <w:szCs w:val="24"/>
          <w:rtl/>
        </w:rPr>
        <w:t>.</w:t>
      </w:r>
    </w:p>
    <w:p w:rsidR="00872589" w:rsidRDefault="00872589" w:rsidP="00872589">
      <w:pPr>
        <w:pStyle w:val="Ruller41"/>
        <w:rPr>
          <w:rtl/>
        </w:rPr>
      </w:pPr>
    </w:p>
    <w:p w:rsidR="00872589" w:rsidRPr="00D17C64" w:rsidRDefault="00872589" w:rsidP="00872589">
      <w:pPr>
        <w:pStyle w:val="Ruller4"/>
        <w:rPr>
          <w:rtl/>
        </w:rPr>
      </w:pPr>
      <w:r w:rsidRPr="00D17C64">
        <w:rPr>
          <w:rFonts w:hint="cs"/>
          <w:rtl/>
        </w:rPr>
        <w:t xml:space="preserve">על מנת </w:t>
      </w:r>
      <w:r w:rsidRPr="00744FB6">
        <w:rPr>
          <w:rFonts w:hint="cs"/>
          <w:rtl/>
        </w:rPr>
        <w:t>לעמוד</w:t>
      </w:r>
      <w:r>
        <w:rPr>
          <w:rFonts w:hint="cs"/>
          <w:rtl/>
        </w:rPr>
        <w:t xml:space="preserve"> על מבנה הזכאות שמייצר הסעיף, אֵ</w:t>
      </w:r>
      <w:r w:rsidRPr="00744FB6">
        <w:rPr>
          <w:rFonts w:hint="cs"/>
          <w:rtl/>
        </w:rPr>
        <w:t xml:space="preserve">עזר בתרשים שהציג חברי, השופט </w:t>
      </w:r>
      <w:r w:rsidRPr="00744FB6">
        <w:rPr>
          <w:rFonts w:ascii="Century" w:hAnsi="Century" w:cs="Miriam" w:hint="cs"/>
          <w:b/>
          <w:spacing w:val="0"/>
          <w:sz w:val="22"/>
          <w:szCs w:val="24"/>
          <w:rtl/>
        </w:rPr>
        <w:t>י' עמית</w:t>
      </w:r>
      <w:r>
        <w:rPr>
          <w:rFonts w:ascii="Century" w:hAnsi="Century" w:hint="cs"/>
          <w:sz w:val="22"/>
          <w:rtl/>
        </w:rPr>
        <w:t>, בפסק הדין נושא הדיון הנוסף (פסקה 20):</w:t>
      </w:r>
    </w:p>
    <w:p w:rsidR="00872589" w:rsidRDefault="00872589" w:rsidP="00872589">
      <w:pPr>
        <w:pStyle w:val="Ruller41"/>
        <w:rPr>
          <w:rtl/>
        </w:rPr>
      </w:pPr>
      <w:r>
        <w:rPr>
          <w:noProof/>
          <w:sz w:val="18"/>
          <w:szCs w:val="18"/>
          <w:rtl/>
        </w:rPr>
        <w:lastRenderedPageBreak/>
        <mc:AlternateContent>
          <mc:Choice Requires="wpg">
            <w:drawing>
              <wp:anchor distT="0" distB="0" distL="114300" distR="114300" simplePos="0" relativeHeight="251659264" behindDoc="1" locked="0" layoutInCell="1" allowOverlap="1" wp14:anchorId="4CE9C49B" wp14:editId="3F283F4E">
                <wp:simplePos x="0" y="0"/>
                <wp:positionH relativeFrom="margin">
                  <wp:posOffset>747313</wp:posOffset>
                </wp:positionH>
                <wp:positionV relativeFrom="paragraph">
                  <wp:posOffset>289956</wp:posOffset>
                </wp:positionV>
                <wp:extent cx="3339576" cy="1734185"/>
                <wp:effectExtent l="0" t="0" r="13335" b="18415"/>
                <wp:wrapTopAndBottom/>
                <wp:docPr id="2" name="קבוצה 2"/>
                <wp:cNvGraphicFramePr/>
                <a:graphic xmlns:a="http://schemas.openxmlformats.org/drawingml/2006/main">
                  <a:graphicData uri="http://schemas.microsoft.com/office/word/2010/wordprocessingGroup">
                    <wpg:wgp>
                      <wpg:cNvGrpSpPr/>
                      <wpg:grpSpPr>
                        <a:xfrm>
                          <a:off x="0" y="0"/>
                          <a:ext cx="3339576" cy="1734185"/>
                          <a:chOff x="6525" y="6828"/>
                          <a:chExt cx="7531" cy="3214"/>
                        </a:xfrm>
                      </wpg:grpSpPr>
                      <wps:wsp>
                        <wps:cNvPr id="3" name="Rectangle 3"/>
                        <wps:cNvSpPr>
                          <a:spLocks noChangeArrowheads="1"/>
                        </wps:cNvSpPr>
                        <wps:spPr bwMode="auto">
                          <a:xfrm>
                            <a:off x="12181" y="6828"/>
                            <a:ext cx="1875"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יהודי</w:t>
                              </w:r>
                            </w:p>
                          </w:txbxContent>
                        </wps:txbx>
                        <wps:bodyPr rot="0" vert="horz" wrap="square" lIns="91440" tIns="45720" rIns="91440" bIns="45720" anchor="ctr" anchorCtr="0" upright="1"/>
                      </wps:wsp>
                      <wps:wsp>
                        <wps:cNvPr id="4" name="Rectangle 4"/>
                        <wps:cNvSpPr>
                          <a:spLocks noChangeArrowheads="1"/>
                        </wps:cNvSpPr>
                        <wps:spPr bwMode="auto">
                          <a:xfrm>
                            <a:off x="9731" y="6828"/>
                            <a:ext cx="1875"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נוכריה</w:t>
                              </w:r>
                            </w:p>
                          </w:txbxContent>
                        </wps:txbx>
                        <wps:bodyPr rot="0" vert="horz" wrap="square" lIns="91440" tIns="45720" rIns="91440" bIns="45720" anchor="ctr" anchorCtr="0" upright="1"/>
                      </wps:wsp>
                      <wps:wsp>
                        <wps:cNvPr id="5" name="Rectangle 5"/>
                        <wps:cNvSpPr>
                          <a:spLocks noChangeArrowheads="1"/>
                        </wps:cNvSpPr>
                        <wps:spPr bwMode="auto">
                          <a:xfrm>
                            <a:off x="9591" y="9245"/>
                            <a:ext cx="1875"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נכד ליהודי</w:t>
                              </w:r>
                            </w:p>
                            <w:p w:rsidR="00872589" w:rsidRPr="009B2DC2" w:rsidRDefault="00872589" w:rsidP="00872589">
                              <w:pPr>
                                <w:jc w:val="center"/>
                                <w:rPr>
                                  <w:sz w:val="18"/>
                                  <w:szCs w:val="18"/>
                                </w:rPr>
                              </w:pPr>
                              <w:r w:rsidRPr="009B2DC2">
                                <w:rPr>
                                  <w:rFonts w:hint="cs"/>
                                  <w:sz w:val="18"/>
                                  <w:szCs w:val="18"/>
                                  <w:rtl/>
                                </w:rPr>
                                <w:t>(זכאי שבות)</w:t>
                              </w:r>
                            </w:p>
                          </w:txbxContent>
                        </wps:txbx>
                        <wps:bodyPr rot="0" vert="horz" wrap="square" lIns="91440" tIns="45720" rIns="91440" bIns="45720" anchor="ctr" anchorCtr="0" upright="1"/>
                      </wps:wsp>
                      <wps:wsp>
                        <wps:cNvPr id="6" name="Rectangle 6"/>
                        <wps:cNvSpPr>
                          <a:spLocks noChangeArrowheads="1"/>
                        </wps:cNvSpPr>
                        <wps:spPr bwMode="auto">
                          <a:xfrm>
                            <a:off x="10921" y="7987"/>
                            <a:ext cx="1875"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בן ליהודי</w:t>
                              </w:r>
                            </w:p>
                            <w:p w:rsidR="00872589" w:rsidRPr="009B2DC2" w:rsidRDefault="00872589" w:rsidP="00872589">
                              <w:pPr>
                                <w:jc w:val="center"/>
                                <w:rPr>
                                  <w:sz w:val="18"/>
                                  <w:szCs w:val="18"/>
                                </w:rPr>
                              </w:pPr>
                              <w:r w:rsidRPr="009B2DC2">
                                <w:rPr>
                                  <w:rFonts w:hint="cs"/>
                                  <w:sz w:val="18"/>
                                  <w:szCs w:val="18"/>
                                  <w:rtl/>
                                </w:rPr>
                                <w:t>(זכאי שבות)</w:t>
                              </w:r>
                            </w:p>
                          </w:txbxContent>
                        </wps:txbx>
                        <wps:bodyPr rot="0" vert="horz" wrap="square" lIns="91440" tIns="45720" rIns="91440" bIns="45720" anchor="ctr" anchorCtr="0" upright="1"/>
                      </wps:wsp>
                      <wps:wsp>
                        <wps:cNvPr id="7" name="Rectangle 7"/>
                        <wps:cNvSpPr>
                          <a:spLocks noChangeArrowheads="1"/>
                        </wps:cNvSpPr>
                        <wps:spPr bwMode="auto">
                          <a:xfrm>
                            <a:off x="7824" y="7987"/>
                            <a:ext cx="2522"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נוכריה</w:t>
                              </w:r>
                            </w:p>
                            <w:p w:rsidR="00872589" w:rsidRPr="009B2DC2" w:rsidRDefault="00872589" w:rsidP="00872589">
                              <w:pPr>
                                <w:jc w:val="center"/>
                                <w:rPr>
                                  <w:sz w:val="18"/>
                                  <w:szCs w:val="18"/>
                                </w:rPr>
                              </w:pPr>
                              <w:r w:rsidRPr="009B2DC2">
                                <w:rPr>
                                  <w:rFonts w:hint="cs"/>
                                  <w:sz w:val="18"/>
                                  <w:szCs w:val="18"/>
                                  <w:rtl/>
                                </w:rPr>
                                <w:t>(בת זוג של</w:t>
                              </w:r>
                              <w:r>
                                <w:rPr>
                                  <w:rFonts w:hint="cs"/>
                                  <w:sz w:val="18"/>
                                  <w:szCs w:val="18"/>
                                  <w:rtl/>
                                </w:rPr>
                                <w:t xml:space="preserve"> זכאי)</w:t>
                              </w:r>
                              <w:r w:rsidRPr="009B2DC2">
                                <w:rPr>
                                  <w:rFonts w:hint="cs"/>
                                  <w:sz w:val="18"/>
                                  <w:szCs w:val="18"/>
                                  <w:rtl/>
                                </w:rPr>
                                <w:t xml:space="preserve"> זכאי)</w:t>
                              </w:r>
                            </w:p>
                          </w:txbxContent>
                        </wps:txbx>
                        <wps:bodyPr rot="0" vert="horz" wrap="square" lIns="91440" tIns="45720" rIns="91440" bIns="45720" anchor="ctr" anchorCtr="0" upright="1"/>
                      </wps:wsp>
                      <wps:wsp>
                        <wps:cNvPr id="8" name="Rectangle 8"/>
                        <wps:cNvSpPr>
                          <a:spLocks noChangeArrowheads="1"/>
                        </wps:cNvSpPr>
                        <wps:spPr bwMode="auto">
                          <a:xfrm>
                            <a:off x="6525" y="9245"/>
                            <a:ext cx="2491" cy="797"/>
                          </a:xfrm>
                          <a:prstGeom prst="rect">
                            <a:avLst/>
                          </a:prstGeom>
                          <a:solidFill>
                            <a:srgbClr val="FFFFFF"/>
                          </a:solidFill>
                          <a:ln w="9525">
                            <a:solidFill>
                              <a:srgbClr val="000000"/>
                            </a:solidFill>
                            <a:miter lim="800000"/>
                            <a:headEnd/>
                            <a:tailEnd/>
                          </a:ln>
                        </wps:spPr>
                        <wps:txbx>
                          <w:txbxContent>
                            <w:p w:rsidR="00872589" w:rsidRPr="009B2DC2" w:rsidRDefault="00872589" w:rsidP="00872589">
                              <w:pPr>
                                <w:jc w:val="center"/>
                                <w:rPr>
                                  <w:sz w:val="18"/>
                                  <w:szCs w:val="18"/>
                                </w:rPr>
                              </w:pPr>
                              <w:r w:rsidRPr="009B2DC2">
                                <w:rPr>
                                  <w:rFonts w:hint="cs"/>
                                  <w:sz w:val="18"/>
                                  <w:szCs w:val="18"/>
                                  <w:rtl/>
                                </w:rPr>
                                <w:t>נוכריה</w:t>
                              </w:r>
                            </w:p>
                            <w:p w:rsidR="00872589" w:rsidRPr="009B2DC2" w:rsidRDefault="00872589" w:rsidP="00872589">
                              <w:pPr>
                                <w:jc w:val="center"/>
                                <w:rPr>
                                  <w:sz w:val="18"/>
                                  <w:szCs w:val="18"/>
                                </w:rPr>
                              </w:pPr>
                              <w:r w:rsidRPr="009B2DC2">
                                <w:rPr>
                                  <w:rFonts w:hint="cs"/>
                                  <w:sz w:val="18"/>
                                  <w:szCs w:val="18"/>
                                  <w:rtl/>
                                </w:rPr>
                                <w:t>(בת זוג של זכאי)</w:t>
                              </w:r>
                            </w:p>
                          </w:txbxContent>
                        </wps:txbx>
                        <wps:bodyPr rot="0" vert="horz" wrap="square" lIns="91440" tIns="45720" rIns="91440" bIns="45720" anchor="ctr" anchorCtr="0" upright="1"/>
                      </wps:wsp>
                      <wps:wsp>
                        <wps:cNvPr id="9" name="AutoShape 9"/>
                        <wps:cNvCnPr>
                          <a:cxnSpLocks noChangeShapeType="1"/>
                        </wps:cNvCnPr>
                        <wps:spPr bwMode="auto">
                          <a:xfrm flipH="1">
                            <a:off x="11606" y="7186"/>
                            <a:ext cx="5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0"/>
                        <wps:cNvCnPr>
                          <a:cxnSpLocks noChangeShapeType="1"/>
                        </wps:cNvCnPr>
                        <wps:spPr bwMode="auto">
                          <a:xfrm flipH="1">
                            <a:off x="10336" y="8334"/>
                            <a:ext cx="5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1"/>
                        <wps:cNvCnPr>
                          <a:cxnSpLocks noChangeShapeType="1"/>
                        </wps:cNvCnPr>
                        <wps:spPr bwMode="auto">
                          <a:xfrm flipH="1">
                            <a:off x="9016" y="9612"/>
                            <a:ext cx="5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2"/>
                        <wps:cNvCnPr>
                          <a:cxnSpLocks noChangeShapeType="1"/>
                        </wps:cNvCnPr>
                        <wps:spPr bwMode="auto">
                          <a:xfrm>
                            <a:off x="11892" y="7186"/>
                            <a:ext cx="1" cy="801"/>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3"/>
                        <wps:cNvCnPr>
                          <a:cxnSpLocks noChangeShapeType="1"/>
                        </wps:cNvCnPr>
                        <wps:spPr bwMode="auto">
                          <a:xfrm>
                            <a:off x="10621" y="8334"/>
                            <a:ext cx="0" cy="888"/>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E9C49B" id="קבוצה 2" o:spid="_x0000_s1026" style="position:absolute;left:0;text-align:left;margin-left:58.85pt;margin-top:22.85pt;width:262.95pt;height:136.55pt;z-index:-251657216;mso-position-horizontal-relative:margin" coordorigin="6525,6828" coordsize="7531,3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">
                <v:rect id="Rectangle 3" o:spid="_x0000_s1027" style="position:absolute;left:12181;top:6828;width:1875;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O4TxAAAANoAAAAPAAAAZHJzL2Rvd25yZXYueG1sRI9Ba8JA&#10;FITvhf6H5RW8SN1YQU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GEA7hP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יהודי</w:t>
                        </w:r>
                      </w:p>
                    </w:txbxContent>
                  </v:textbox>
                </v:rect>
                <v:rect id="Rectangle 4" o:spid="_x0000_s1028" style="position:absolute;left:9731;top:6828;width:1875;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XZnxAAAANoAAAAPAAAAZHJzL2Rvd25yZXYueG1sRI9Ba8JA&#10;FITvhf6H5RW8SN1YRE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O7pdmf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נוכריה</w:t>
                        </w:r>
                      </w:p>
                    </w:txbxContent>
                  </v:textbox>
                </v:rect>
                <v:rect id="Rectangle 5" o:spid="_x0000_s1029" style="position:absolute;left:9591;top:9245;width:1875;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dP8xAAAANoAAAAPAAAAZHJzL2Rvd25yZXYueG1sRI9Ba8JA&#10;FITvhf6H5RW8SN1YUE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IGl0/z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נכד ליהודי</w:t>
                        </w:r>
                      </w:p>
                      <w:p w:rsidR="00872589" w:rsidRPr="009B2DC2" w:rsidRDefault="00872589" w:rsidP="00872589">
                        <w:pPr>
                          <w:jc w:val="center"/>
                          <w:rPr>
                            <w:sz w:val="18"/>
                            <w:szCs w:val="18"/>
                          </w:rPr>
                        </w:pPr>
                        <w:r w:rsidRPr="009B2DC2">
                          <w:rPr>
                            <w:rFonts w:hint="cs"/>
                            <w:sz w:val="18"/>
                            <w:szCs w:val="18"/>
                            <w:rtl/>
                          </w:rPr>
                          <w:t>(זכאי שבות)</w:t>
                        </w:r>
                      </w:p>
                    </w:txbxContent>
                  </v:textbox>
                </v:rect>
                <v:rect id="Rectangle 6" o:spid="_x0000_s1030" style="position:absolute;left:10921;top:7987;width:1875;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בן ליהודי</w:t>
                        </w:r>
                      </w:p>
                      <w:p w:rsidR="00872589" w:rsidRPr="009B2DC2" w:rsidRDefault="00872589" w:rsidP="00872589">
                        <w:pPr>
                          <w:jc w:val="center"/>
                          <w:rPr>
                            <w:sz w:val="18"/>
                            <w:szCs w:val="18"/>
                          </w:rPr>
                        </w:pPr>
                        <w:r w:rsidRPr="009B2DC2">
                          <w:rPr>
                            <w:rFonts w:hint="cs"/>
                            <w:sz w:val="18"/>
                            <w:szCs w:val="18"/>
                            <w:rtl/>
                          </w:rPr>
                          <w:t>(זכאי שבות)</w:t>
                        </w:r>
                      </w:p>
                    </w:txbxContent>
                  </v:textbox>
                </v:rect>
                <v:rect id="Rectangle 7" o:spid="_x0000_s1031" style="position:absolute;left:7824;top:7987;width:2522;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">
                  <v:textbox>
                    <w:txbxContent>
                      <w:p w:rsidR="00872589" w:rsidRPr="009B2DC2" w:rsidRDefault="00872589" w:rsidP="00872589">
                        <w:pPr>
                          <w:jc w:val="center"/>
                          <w:rPr>
                            <w:sz w:val="18"/>
                            <w:szCs w:val="18"/>
                          </w:rPr>
                        </w:pPr>
                        <w:r w:rsidRPr="009B2DC2">
                          <w:rPr>
                            <w:rFonts w:hint="cs"/>
                            <w:sz w:val="18"/>
                            <w:szCs w:val="18"/>
                            <w:rtl/>
                          </w:rPr>
                          <w:t>נוכריה</w:t>
                        </w:r>
                      </w:p>
                      <w:p w:rsidR="00872589" w:rsidRPr="009B2DC2" w:rsidRDefault="00872589" w:rsidP="00872589">
                        <w:pPr>
                          <w:jc w:val="center"/>
                          <w:rPr>
                            <w:sz w:val="18"/>
                            <w:szCs w:val="18"/>
                          </w:rPr>
                        </w:pPr>
                        <w:r w:rsidRPr="009B2DC2">
                          <w:rPr>
                            <w:rFonts w:hint="cs"/>
                            <w:sz w:val="18"/>
                            <w:szCs w:val="18"/>
                            <w:rtl/>
                          </w:rPr>
                          <w:t>(בת זוג של</w:t>
                        </w:r>
                        <w:r>
                          <w:rPr>
                            <w:rFonts w:hint="cs"/>
                            <w:sz w:val="18"/>
                            <w:szCs w:val="18"/>
                            <w:rtl/>
                          </w:rPr>
                          <w:t xml:space="preserve"> זכאי)</w:t>
                        </w:r>
                        <w:r w:rsidRPr="009B2DC2">
                          <w:rPr>
                            <w:rFonts w:hint="cs"/>
                            <w:sz w:val="18"/>
                            <w:szCs w:val="18"/>
                            <w:rtl/>
                          </w:rPr>
                          <w:t xml:space="preserve"> זכאי)</w:t>
                        </w:r>
                      </w:p>
                    </w:txbxContent>
                  </v:textbox>
                </v:rect>
                <v:rect id="Rectangle 8" o:spid="_x0000_s1032" style="position:absolute;left:6525;top:9245;width:2491;height: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">
                  <v:textbox>
                    <w:txbxContent>
                      <w:p w:rsidR="00872589" w:rsidRPr="009B2DC2" w:rsidRDefault="00872589" w:rsidP="00872589">
                        <w:pPr>
                          <w:jc w:val="center"/>
                          <w:rPr>
                            <w:sz w:val="18"/>
                            <w:szCs w:val="18"/>
                          </w:rPr>
                        </w:pPr>
                        <w:r w:rsidRPr="009B2DC2">
                          <w:rPr>
                            <w:rFonts w:hint="cs"/>
                            <w:sz w:val="18"/>
                            <w:szCs w:val="18"/>
                            <w:rtl/>
                          </w:rPr>
                          <w:t>נוכריה</w:t>
                        </w:r>
                      </w:p>
                      <w:p w:rsidR="00872589" w:rsidRPr="009B2DC2" w:rsidRDefault="00872589" w:rsidP="00872589">
                        <w:pPr>
                          <w:jc w:val="center"/>
                          <w:rPr>
                            <w:sz w:val="18"/>
                            <w:szCs w:val="18"/>
                          </w:rPr>
                        </w:pPr>
                        <w:r w:rsidRPr="009B2DC2">
                          <w:rPr>
                            <w:rFonts w:hint="cs"/>
                            <w:sz w:val="18"/>
                            <w:szCs w:val="18"/>
                            <w:rtl/>
                          </w:rPr>
                          <w:t>(בת זוג של זכאי)</w:t>
                        </w:r>
                      </w:p>
                    </w:txbxContent>
                  </v:textbox>
                </v:rect>
                <v:shapetype id="_x0000_t32" coordsize="21600,21600" o:spt="32" o:oned="t" path="m,l21600,21600e" filled="f">
                  <v:path arrowok="t" fillok="f" o:connecttype="none"/>
                  <o:lock v:ext="edit" shapetype="t"/>
                </v:shapetype>
                <v:shape id="AutoShape 9" o:spid="_x0000_s1033" type="#_x0000_t32" style="position:absolute;left:11606;top:7186;width:5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" strokeweight="2.25pt"/>
                <v:shape id="AutoShape 10" o:spid="_x0000_s1034" type="#_x0000_t32" style="position:absolute;left:10336;top:8334;width:5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" strokeweight="2.25pt"/>
                <v:shape id="AutoShape 11" o:spid="_x0000_s1035" type="#_x0000_t32" style="position:absolute;left:9016;top:9612;width:5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" strokeweight="2.25pt"/>
                <v:shape id="AutoShape 12" o:spid="_x0000_s1036" type="#_x0000_t32" style="position:absolute;left:11892;top:7186;width:1;height:8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" strokeweight="2.25pt"/>
                <v:shape id="AutoShape 13" o:spid="_x0000_s1037" type="#_x0000_t32" style="position:absolute;left:10621;top:8334;width:0;height:8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" strokeweight="2.25pt"/>
                <w10:wrap type="topAndBottom" anchorx="margin"/>
              </v:group>
            </w:pict>
          </mc:Fallback>
        </mc:AlternateContent>
      </w:r>
    </w:p>
    <w:p w:rsidR="00872589" w:rsidRDefault="00872589" w:rsidP="00872589">
      <w:pPr>
        <w:pStyle w:val="Ruller41"/>
        <w:rPr>
          <w:rtl/>
        </w:rPr>
      </w:pPr>
    </w:p>
    <w:p w:rsidR="00872589" w:rsidRDefault="00872589" w:rsidP="00872589">
      <w:pPr>
        <w:pStyle w:val="Ruller41"/>
        <w:rPr>
          <w:rtl/>
        </w:rPr>
      </w:pPr>
      <w:r>
        <w:rPr>
          <w:rtl/>
        </w:rPr>
        <w:tab/>
      </w:r>
      <w:r w:rsidRPr="00D17C64">
        <w:rPr>
          <w:rFonts w:hint="cs"/>
          <w:rtl/>
        </w:rPr>
        <w:t>ה</w:t>
      </w:r>
      <w:r>
        <w:rPr>
          <w:rFonts w:hint="cs"/>
          <w:rtl/>
        </w:rPr>
        <w:t>יהודי</w:t>
      </w:r>
      <w:r w:rsidRPr="00D17C64">
        <w:rPr>
          <w:rFonts w:hint="cs"/>
          <w:rtl/>
        </w:rPr>
        <w:t xml:space="preserve"> הוא כמובן הנקודה הארכימדית שעליה נבנה מבנה השבות כולו; אלמלא הוא, כלל לא מתעוררת זכאות מעיקרא.</w:t>
      </w:r>
      <w:r>
        <w:rPr>
          <w:rFonts w:hint="cs"/>
          <w:rtl/>
        </w:rPr>
        <w:t xml:space="preserve"> ממנו, מוסיפה הזכות והולכת גם לצאצאיו, עד לדור שלישי (בנו ונכדו), כמו גם לבן הזוג של היהודי, ולבני הזוג של הצאצאים הזכאים. על כך אוסיף </w:t>
      </w:r>
      <w:r>
        <w:rPr>
          <w:rtl/>
        </w:rPr>
        <w:t>–</w:t>
      </w:r>
      <w:r>
        <w:rPr>
          <w:rFonts w:hint="cs"/>
          <w:rtl/>
        </w:rPr>
        <w:t xml:space="preserve"> בשלב זה כעניין תיאורי בלבד, מבלי להידרש לשאלה אם טמונה בדבר משמעות משפטית, אם לאו </w:t>
      </w:r>
      <w:r>
        <w:rPr>
          <w:rtl/>
        </w:rPr>
        <w:t>–</w:t>
      </w:r>
      <w:r>
        <w:rPr>
          <w:rFonts w:hint="cs"/>
          <w:rtl/>
        </w:rPr>
        <w:t xml:space="preserve"> כי את זכאותם רוכשים בני הזוג של זכאי השבות כתוצאה מהתחברות ישירה הנעשית עם אחד מ</w:t>
      </w:r>
      <w:r w:rsidRPr="00A67A11">
        <w:rPr>
          <w:rFonts w:hint="cs"/>
          <w:rtl/>
        </w:rPr>
        <w:t>זכאֵי</w:t>
      </w:r>
      <w:r>
        <w:rPr>
          <w:rFonts w:hint="cs"/>
          <w:rtl/>
        </w:rPr>
        <w:t xml:space="preserve"> השבות, שעִמו באים הם בקשרי חיתון. בניסוח מעט שונה: מי שאין 'יהודי' בין הוריו וסביו, יֵעשה לזכאי שבות רק אם יבוא בגדר 'בן זוג' של יהודי או של זכאי שבות. </w:t>
      </w:r>
    </w:p>
    <w:p w:rsidR="00872589" w:rsidRDefault="00872589" w:rsidP="00872589">
      <w:pPr>
        <w:pStyle w:val="Ruller41"/>
        <w:rPr>
          <w:rtl/>
        </w:rPr>
      </w:pPr>
    </w:p>
    <w:p w:rsidR="00872589" w:rsidRDefault="00872589" w:rsidP="00872589">
      <w:pPr>
        <w:pStyle w:val="Ruller4"/>
        <w:textAlignment w:val="baseline"/>
      </w:pPr>
      <w:r>
        <w:rPr>
          <w:rFonts w:hint="cs"/>
          <w:rtl/>
        </w:rPr>
        <w:t>בהינתן האמור, זוהי אפוא השאלה שלפנינו: האם התיבות</w:t>
      </w:r>
      <w:r w:rsidRPr="00575BC0">
        <w:rPr>
          <w:rFonts w:ascii="Century" w:hAnsi="Century" w:cs="Miriam" w:hint="cs"/>
          <w:b/>
          <w:spacing w:val="0"/>
          <w:sz w:val="22"/>
          <w:szCs w:val="24"/>
          <w:rtl/>
        </w:rPr>
        <w:t xml:space="preserve"> "בן זוג של ילד ושל נכד של יהודי"</w:t>
      </w:r>
      <w:r>
        <w:rPr>
          <w:rFonts w:hint="cs"/>
          <w:rtl/>
        </w:rPr>
        <w:t xml:space="preserve">, כוללות בתוכן גם </w:t>
      </w:r>
      <w:r w:rsidRPr="003B35C0">
        <w:rPr>
          <w:rFonts w:hint="cs"/>
          <w:rtl/>
        </w:rPr>
        <w:t>את האלמן או האלמנה של זכאי</w:t>
      </w:r>
      <w:r>
        <w:rPr>
          <w:rFonts w:hint="cs"/>
          <w:rtl/>
        </w:rPr>
        <w:t xml:space="preserve"> שבות שנפטר, אם לאו? כפי שתיאר חברי, שאלות לגבי פרשנותו </w:t>
      </w:r>
      <w:r w:rsidRPr="00B56B2E">
        <w:rPr>
          <w:rFonts w:hint="cs"/>
          <w:rtl/>
        </w:rPr>
        <w:t>של המונח 'בן זוג', ובתוכ</w:t>
      </w:r>
      <w:r>
        <w:rPr>
          <w:rFonts w:hint="cs"/>
          <w:rtl/>
        </w:rPr>
        <w:t>ן</w:t>
      </w:r>
      <w:r w:rsidRPr="00B56B2E">
        <w:rPr>
          <w:rFonts w:hint="cs"/>
          <w:rtl/>
        </w:rPr>
        <w:t xml:space="preserve"> לעִתִים גם </w:t>
      </w:r>
      <w:r>
        <w:rPr>
          <w:rFonts w:hint="cs"/>
          <w:rtl/>
        </w:rPr>
        <w:t>שאלות בדבר קשרי אלמנוּת</w:t>
      </w:r>
      <w:r w:rsidRPr="00B56B2E">
        <w:rPr>
          <w:rFonts w:hint="cs"/>
          <w:rtl/>
        </w:rPr>
        <w:t>, התעורר</w:t>
      </w:r>
      <w:r>
        <w:rPr>
          <w:rFonts w:hint="cs"/>
          <w:rtl/>
        </w:rPr>
        <w:t xml:space="preserve">ו בהתייחס למגוון דברי חקיקה שבהם נעשה שימוש במונח 'בן זוג', והפסיקה הגיעה בסוגיה זו למסקנות שונות, בהקשרים שונים (ראו: עניין </w:t>
      </w:r>
      <w:r w:rsidRPr="00B56B2E">
        <w:rPr>
          <w:rFonts w:ascii="Century" w:hAnsi="Century" w:cs="Miriam" w:hint="cs"/>
          <w:b/>
          <w:spacing w:val="0"/>
          <w:sz w:val="22"/>
          <w:szCs w:val="24"/>
          <w:rtl/>
        </w:rPr>
        <w:t>גורודצקי</w:t>
      </w:r>
      <w:r>
        <w:rPr>
          <w:rFonts w:hint="cs"/>
          <w:rtl/>
        </w:rPr>
        <w:t xml:space="preserve">, פסקה 23 והאסמכתאות שם; עניין </w:t>
      </w:r>
      <w:r w:rsidRPr="00E84622">
        <w:rPr>
          <w:rFonts w:ascii="Century" w:hAnsi="Century" w:cs="Miriam" w:hint="cs"/>
          <w:b/>
          <w:spacing w:val="0"/>
          <w:sz w:val="22"/>
          <w:szCs w:val="24"/>
          <w:rtl/>
        </w:rPr>
        <w:t>נח'אש</w:t>
      </w:r>
      <w:r>
        <w:rPr>
          <w:rFonts w:hint="cs"/>
          <w:rtl/>
        </w:rPr>
        <w:t xml:space="preserve">, פסקה 8 לפסק הדין של השופטת </w:t>
      </w:r>
      <w:r w:rsidRPr="00E84622">
        <w:rPr>
          <w:rFonts w:ascii="Century" w:hAnsi="Century" w:cs="Miriam" w:hint="cs"/>
          <w:b/>
          <w:spacing w:val="0"/>
          <w:sz w:val="22"/>
          <w:szCs w:val="24"/>
          <w:rtl/>
        </w:rPr>
        <w:t>נאור</w:t>
      </w:r>
      <w:r>
        <w:rPr>
          <w:rFonts w:hint="cs"/>
          <w:rtl/>
        </w:rPr>
        <w:t xml:space="preserve">, ומנגד פסקה </w:t>
      </w:r>
      <w:r w:rsidRPr="00E64E5C">
        <w:rPr>
          <w:rFonts w:hint="cs"/>
          <w:rtl/>
        </w:rPr>
        <w:t>8 לפסק הדין של</w:t>
      </w:r>
      <w:r>
        <w:rPr>
          <w:rFonts w:hint="cs"/>
          <w:rtl/>
        </w:rPr>
        <w:t xml:space="preserve"> השופטת </w:t>
      </w:r>
      <w:r w:rsidRPr="00E84622">
        <w:rPr>
          <w:rFonts w:ascii="Century" w:hAnsi="Century" w:cs="Miriam" w:hint="cs"/>
          <w:b/>
          <w:spacing w:val="0"/>
          <w:sz w:val="22"/>
          <w:szCs w:val="24"/>
          <w:rtl/>
        </w:rPr>
        <w:t>ארבל</w:t>
      </w:r>
      <w:r>
        <w:rPr>
          <w:rFonts w:hint="cs"/>
          <w:rtl/>
        </w:rPr>
        <w:t xml:space="preserve"> (במיעוט); </w:t>
      </w:r>
      <w:r w:rsidRPr="00B56B2E">
        <w:rPr>
          <w:rFonts w:hint="eastAsia"/>
          <w:rtl/>
        </w:rPr>
        <w:t>בע</w:t>
      </w:r>
      <w:r w:rsidRPr="00B56B2E">
        <w:rPr>
          <w:rtl/>
        </w:rPr>
        <w:t>"</w:t>
      </w:r>
      <w:r w:rsidRPr="00B56B2E">
        <w:rPr>
          <w:rFonts w:hint="eastAsia"/>
          <w:rtl/>
        </w:rPr>
        <w:t>מ</w:t>
      </w:r>
      <w:r w:rsidRPr="00B56B2E">
        <w:rPr>
          <w:rtl/>
        </w:rPr>
        <w:t xml:space="preserve"> 164/11 </w:t>
      </w:r>
      <w:r w:rsidRPr="00B56B2E">
        <w:rPr>
          <w:rFonts w:ascii="Century" w:hAnsi="Century" w:cs="Miriam" w:hint="eastAsia"/>
          <w:b/>
          <w:spacing w:val="0"/>
          <w:sz w:val="22"/>
          <w:szCs w:val="24"/>
          <w:rtl/>
        </w:rPr>
        <w:t>פלונית</w:t>
      </w:r>
      <w:r w:rsidRPr="00B56B2E">
        <w:rPr>
          <w:rFonts w:ascii="Century" w:hAnsi="Century" w:cs="Miriam"/>
          <w:b/>
          <w:spacing w:val="0"/>
          <w:sz w:val="22"/>
          <w:szCs w:val="24"/>
          <w:rtl/>
        </w:rPr>
        <w:t xml:space="preserve"> </w:t>
      </w:r>
      <w:r w:rsidRPr="00B56B2E">
        <w:rPr>
          <w:rFonts w:ascii="Century" w:hAnsi="Century" w:cs="Miriam" w:hint="eastAsia"/>
          <w:b/>
          <w:spacing w:val="0"/>
          <w:sz w:val="22"/>
          <w:szCs w:val="24"/>
          <w:rtl/>
        </w:rPr>
        <w:t>נ</w:t>
      </w:r>
      <w:r w:rsidRPr="00B56B2E">
        <w:rPr>
          <w:rFonts w:ascii="Century" w:hAnsi="Century" w:cs="Miriam"/>
          <w:b/>
          <w:spacing w:val="0"/>
          <w:sz w:val="22"/>
          <w:szCs w:val="24"/>
          <w:rtl/>
        </w:rPr>
        <w:t xml:space="preserve">' </w:t>
      </w:r>
      <w:r w:rsidRPr="00B56B2E">
        <w:rPr>
          <w:rFonts w:ascii="Century" w:hAnsi="Century" w:cs="Miriam" w:hint="eastAsia"/>
          <w:b/>
          <w:spacing w:val="0"/>
          <w:sz w:val="22"/>
          <w:szCs w:val="24"/>
          <w:rtl/>
        </w:rPr>
        <w:t>פלוני</w:t>
      </w:r>
      <w:r w:rsidRPr="00B56B2E">
        <w:rPr>
          <w:rFonts w:ascii="Century" w:hAnsi="Century" w:cs="Miriam"/>
          <w:b/>
          <w:spacing w:val="0"/>
          <w:sz w:val="22"/>
          <w:szCs w:val="24"/>
          <w:rtl/>
        </w:rPr>
        <w:t xml:space="preserve"> </w:t>
      </w:r>
      <w:r w:rsidRPr="00B56B2E">
        <w:rPr>
          <w:rtl/>
        </w:rPr>
        <w:t>(29.</w:t>
      </w:r>
      <w:r>
        <w:rPr>
          <w:rFonts w:hint="cs"/>
          <w:rtl/>
        </w:rPr>
        <w:t>4.</w:t>
      </w:r>
      <w:r w:rsidRPr="00B56B2E">
        <w:rPr>
          <w:rtl/>
        </w:rPr>
        <w:t>2012)</w:t>
      </w:r>
      <w:r>
        <w:rPr>
          <w:rFonts w:hint="cs"/>
          <w:rtl/>
        </w:rPr>
        <w:t xml:space="preserve">). מקובלים עלי אפוא דברי חברִי, הנסמכים על פסקי הדין הנ"ל, שלפיהם פעמים רבות משמעותו הלשונית של הביטוי 'בן זוג' לא תוכל לסייע להכרעה בשאלות פרשניות המתעוררות לגבי ביטוי זה, כך שנדרש יהיה לפרשו על-פי הקשר הדברים ובהתאם לתכלית החקיקה. </w:t>
      </w:r>
    </w:p>
    <w:p w:rsidR="00872589" w:rsidRDefault="00872589" w:rsidP="00872589">
      <w:pPr>
        <w:pStyle w:val="Ruller4"/>
        <w:numPr>
          <w:ilvl w:val="0"/>
          <w:numId w:val="0"/>
        </w:numPr>
      </w:pPr>
    </w:p>
    <w:p w:rsidR="00872589" w:rsidRDefault="00872589" w:rsidP="00872589">
      <w:pPr>
        <w:pStyle w:val="Ruller4"/>
        <w:textAlignment w:val="baseline"/>
      </w:pPr>
      <w:r>
        <w:rPr>
          <w:rFonts w:hint="cs"/>
          <w:rtl/>
        </w:rPr>
        <w:t>עם זאת, סבורני כי שונים הם פני הדברים בענייננ</w:t>
      </w:r>
      <w:r w:rsidRPr="00A67A11">
        <w:rPr>
          <w:rFonts w:hint="cs"/>
          <w:rtl/>
        </w:rPr>
        <w:t xml:space="preserve">ו. כך, שכן אין להתבונן על התיבות 'בן זוג' שבסעיף 4א(א) ב'ראיה צינורית', משל הסעיף עומד בחלל ריק. כידוע, את לשון החוק יש לפרש בראי ההקשר הטקסטואלי הכללי, תוך הלימה להגיונו הפנימי של החוק, ועל רקע מכלול הוראותיו (אהרן </w:t>
      </w:r>
      <w:r w:rsidRPr="00A67A11">
        <w:rPr>
          <w:rFonts w:hint="eastAsia"/>
          <w:rtl/>
        </w:rPr>
        <w:t>ברק</w:t>
      </w:r>
      <w:r w:rsidRPr="00A67A11">
        <w:rPr>
          <w:rtl/>
        </w:rPr>
        <w:t xml:space="preserve"> </w:t>
      </w:r>
      <w:r w:rsidRPr="00A67A11">
        <w:rPr>
          <w:rFonts w:ascii="Century" w:hAnsi="Century" w:cs="Miriam" w:hint="cs"/>
          <w:b/>
          <w:spacing w:val="0"/>
          <w:sz w:val="22"/>
          <w:szCs w:val="24"/>
          <w:rtl/>
        </w:rPr>
        <w:t xml:space="preserve">פרשנות במשפט </w:t>
      </w:r>
      <w:r w:rsidRPr="00A67A11">
        <w:rPr>
          <w:rFonts w:ascii="Century" w:hAnsi="Century"/>
          <w:sz w:val="22"/>
          <w:rtl/>
        </w:rPr>
        <w:t>–</w:t>
      </w:r>
      <w:r w:rsidRPr="00A67A11">
        <w:rPr>
          <w:rFonts w:ascii="Century" w:hAnsi="Century" w:cs="Miriam" w:hint="cs"/>
          <w:b/>
          <w:spacing w:val="0"/>
          <w:sz w:val="22"/>
          <w:szCs w:val="24"/>
          <w:rtl/>
        </w:rPr>
        <w:t xml:space="preserve"> תורת הפרשנות הכללית</w:t>
      </w:r>
      <w:r w:rsidRPr="00A67A11">
        <w:rPr>
          <w:rFonts w:hint="cs"/>
          <w:rtl/>
        </w:rPr>
        <w:t xml:space="preserve"> </w:t>
      </w:r>
      <w:r w:rsidRPr="00A67A11">
        <w:rPr>
          <w:rFonts w:hint="cs"/>
          <w:rtl/>
        </w:rPr>
        <w:lastRenderedPageBreak/>
        <w:t xml:space="preserve">257-255 (1992)). בענייננו, אינני סבור כי </w:t>
      </w:r>
      <w:r>
        <w:rPr>
          <w:rFonts w:hint="cs"/>
          <w:rtl/>
        </w:rPr>
        <w:t>לשון החוק נעדרת הכוונה ביחס לשאלה הפרשנית שעל הפרק; ההיפך הוא הנכון. בניגוד לפרשנות המונח 'בן זוג' שנדונה בפסקי הדין שנזכרו לעי</w:t>
      </w:r>
      <w:r w:rsidRPr="00542A01">
        <w:rPr>
          <w:rFonts w:hint="cs"/>
          <w:rtl/>
        </w:rPr>
        <w:t>ל</w:t>
      </w:r>
      <w:r>
        <w:rPr>
          <w:rFonts w:hint="cs"/>
          <w:rtl/>
        </w:rPr>
        <w:t xml:space="preserve"> </w:t>
      </w:r>
      <w:r>
        <w:rPr>
          <w:rtl/>
        </w:rPr>
        <w:t>–</w:t>
      </w:r>
      <w:r w:rsidRPr="00542A01">
        <w:rPr>
          <w:rFonts w:hint="cs"/>
          <w:rtl/>
        </w:rPr>
        <w:t xml:space="preserve"> </w:t>
      </w:r>
      <w:r>
        <w:rPr>
          <w:rFonts w:hint="cs"/>
          <w:rtl/>
        </w:rPr>
        <w:t>ש</w:t>
      </w:r>
      <w:r w:rsidRPr="00542A01">
        <w:rPr>
          <w:rFonts w:hint="cs"/>
          <w:rtl/>
        </w:rPr>
        <w:t xml:space="preserve">בהם </w:t>
      </w:r>
      <w:r>
        <w:rPr>
          <w:rFonts w:hint="cs"/>
          <w:rtl/>
        </w:rPr>
        <w:t xml:space="preserve">המחוקק </w:t>
      </w:r>
      <w:r w:rsidRPr="00542A01">
        <w:rPr>
          <w:rFonts w:hint="cs"/>
          <w:rtl/>
        </w:rPr>
        <w:t xml:space="preserve">לא התייחס </w:t>
      </w:r>
      <w:r>
        <w:rPr>
          <w:rFonts w:hint="cs"/>
          <w:rtl/>
        </w:rPr>
        <w:t xml:space="preserve">במפורש </w:t>
      </w:r>
      <w:r w:rsidRPr="00542A01">
        <w:rPr>
          <w:rFonts w:hint="cs"/>
          <w:rtl/>
        </w:rPr>
        <w:t>למצבי</w:t>
      </w:r>
      <w:r>
        <w:rPr>
          <w:rFonts w:hint="cs"/>
          <w:rtl/>
        </w:rPr>
        <w:t>ם שבהם אחד מבני הזוג הלך לבית עולמו, ובן הזוג הנותר הפך</w:t>
      </w:r>
      <w:r w:rsidRPr="00542A01">
        <w:rPr>
          <w:rFonts w:hint="cs"/>
          <w:rtl/>
        </w:rPr>
        <w:t xml:space="preserve"> </w:t>
      </w:r>
      <w:r>
        <w:rPr>
          <w:rFonts w:hint="cs"/>
          <w:rtl/>
        </w:rPr>
        <w:t xml:space="preserve">לאלמן </w:t>
      </w:r>
      <w:r>
        <w:rPr>
          <w:rtl/>
        </w:rPr>
        <w:t>–</w:t>
      </w:r>
      <w:r>
        <w:rPr>
          <w:rFonts w:hint="cs"/>
          <w:rtl/>
        </w:rPr>
        <w:t xml:space="preserve"> </w:t>
      </w:r>
      <w:r w:rsidRPr="00542A01">
        <w:rPr>
          <w:rFonts w:hint="cs"/>
          <w:rtl/>
        </w:rPr>
        <w:t>ב</w:t>
      </w:r>
      <w:r>
        <w:rPr>
          <w:rFonts w:hint="cs"/>
          <w:rtl/>
        </w:rPr>
        <w:t xml:space="preserve">ענייננו נתן המחוקק דעתו המפורשת, בהקשר קרוב ביותר, לשאלה שבה עסקינן, קרי: שאלת השפעתו, או אי-השפעתו, של מות מקנה השבות על אלה אשר באים מכוח זיקתם אליו. המחוקק עשה כן במסגרת הוראה נוספת, הסמוכה לסעיף 4א(א) הנ"ל, שגם היא עוגנה בחוק השבות בתיקון משנת 1970 </w:t>
      </w:r>
      <w:r>
        <w:rPr>
          <w:rtl/>
        </w:rPr>
        <w:t>–</w:t>
      </w:r>
      <w:r>
        <w:rPr>
          <w:rFonts w:hint="cs"/>
          <w:rtl/>
        </w:rPr>
        <w:t xml:space="preserve"> סעיף 4א(ב) לחוק, המורֶה כדלקמן:</w:t>
      </w:r>
    </w:p>
    <w:p w:rsidR="00872589" w:rsidRPr="00C03022" w:rsidRDefault="00872589" w:rsidP="00872589">
      <w:pPr>
        <w:pStyle w:val="Ruller4"/>
        <w:numPr>
          <w:ilvl w:val="0"/>
          <w:numId w:val="0"/>
        </w:numPr>
        <w:rPr>
          <w:rtl/>
        </w:rPr>
      </w:pPr>
    </w:p>
    <w:p w:rsidR="00872589" w:rsidRPr="00751FD7" w:rsidRDefault="00872589" w:rsidP="00872589">
      <w:pPr>
        <w:pStyle w:val="Ruller5"/>
        <w:spacing w:line="360" w:lineRule="auto"/>
        <w:rPr>
          <w:rFonts w:ascii="Century" w:hAnsi="Century"/>
          <w:rtl/>
        </w:rPr>
      </w:pPr>
      <w:r>
        <w:rPr>
          <w:rFonts w:ascii="Century" w:hAnsi="Century" w:cs="Miriam" w:hint="cs"/>
          <w:b/>
          <w:spacing w:val="0"/>
          <w:szCs w:val="24"/>
          <w:rtl/>
        </w:rPr>
        <w:t>"</w:t>
      </w:r>
      <w:r w:rsidRPr="00751FD7">
        <w:rPr>
          <w:rFonts w:ascii="Century" w:hAnsi="Century" w:cs="Miriam" w:hint="eastAsia"/>
          <w:b/>
          <w:spacing w:val="0"/>
          <w:szCs w:val="24"/>
          <w:rtl/>
        </w:rPr>
        <w:t>אין</w:t>
      </w:r>
      <w:r w:rsidRPr="00751FD7">
        <w:rPr>
          <w:rFonts w:ascii="Century" w:hAnsi="Century" w:cs="Miriam"/>
          <w:b/>
          <w:spacing w:val="0"/>
          <w:szCs w:val="24"/>
          <w:rtl/>
        </w:rPr>
        <w:t xml:space="preserve"> </w:t>
      </w:r>
      <w:r w:rsidRPr="00751FD7">
        <w:rPr>
          <w:rFonts w:ascii="Century" w:hAnsi="Century" w:cs="Miriam" w:hint="eastAsia"/>
          <w:b/>
          <w:spacing w:val="0"/>
          <w:szCs w:val="24"/>
          <w:rtl/>
        </w:rPr>
        <w:t>נפקא</w:t>
      </w:r>
      <w:r w:rsidRPr="00751FD7">
        <w:rPr>
          <w:rFonts w:ascii="Century" w:hAnsi="Century" w:cs="Miriam"/>
          <w:b/>
          <w:spacing w:val="0"/>
          <w:szCs w:val="24"/>
          <w:rtl/>
        </w:rPr>
        <w:t xml:space="preserve"> </w:t>
      </w:r>
      <w:r w:rsidRPr="00751FD7">
        <w:rPr>
          <w:rFonts w:ascii="Century" w:hAnsi="Century" w:cs="Miriam" w:hint="eastAsia"/>
          <w:b/>
          <w:spacing w:val="0"/>
          <w:szCs w:val="24"/>
          <w:rtl/>
        </w:rPr>
        <w:t>מינה</w:t>
      </w:r>
      <w:r w:rsidRPr="00751FD7">
        <w:rPr>
          <w:rFonts w:ascii="Century" w:hAnsi="Century" w:cs="Miriam"/>
          <w:b/>
          <w:spacing w:val="0"/>
          <w:szCs w:val="24"/>
          <w:rtl/>
        </w:rPr>
        <w:t xml:space="preserve"> </w:t>
      </w:r>
      <w:r w:rsidRPr="00751FD7">
        <w:rPr>
          <w:rFonts w:ascii="Century" w:hAnsi="Century" w:cs="Miriam" w:hint="eastAsia"/>
          <w:b/>
          <w:spacing w:val="0"/>
          <w:szCs w:val="24"/>
          <w:rtl/>
        </w:rPr>
        <w:t>אם</w:t>
      </w:r>
      <w:r w:rsidRPr="00751FD7">
        <w:rPr>
          <w:rFonts w:ascii="Century" w:hAnsi="Century" w:cs="Miriam"/>
          <w:b/>
          <w:spacing w:val="0"/>
          <w:szCs w:val="24"/>
          <w:rtl/>
        </w:rPr>
        <w:t xml:space="preserve"> </w:t>
      </w:r>
      <w:r w:rsidRPr="00751FD7">
        <w:rPr>
          <w:rFonts w:ascii="Century" w:hAnsi="Century" w:cs="Miriam" w:hint="eastAsia"/>
          <w:b/>
          <w:spacing w:val="0"/>
          <w:szCs w:val="24"/>
          <w:u w:val="single"/>
          <w:rtl/>
        </w:rPr>
        <w:t>יהודי</w:t>
      </w:r>
      <w:r w:rsidRPr="00751FD7">
        <w:rPr>
          <w:rFonts w:ascii="Century" w:hAnsi="Century" w:cs="Miriam"/>
          <w:b/>
          <w:spacing w:val="0"/>
          <w:szCs w:val="24"/>
          <w:rtl/>
        </w:rPr>
        <w:t xml:space="preserve"> </w:t>
      </w:r>
      <w:r w:rsidRPr="00751FD7">
        <w:rPr>
          <w:rFonts w:ascii="Century" w:hAnsi="Century" w:cs="Miriam" w:hint="eastAsia"/>
          <w:b/>
          <w:spacing w:val="0"/>
          <w:szCs w:val="24"/>
          <w:rtl/>
        </w:rPr>
        <w:t>שמכוחו</w:t>
      </w:r>
      <w:r w:rsidRPr="00751FD7">
        <w:rPr>
          <w:rFonts w:ascii="Century" w:hAnsi="Century" w:cs="Miriam"/>
          <w:b/>
          <w:spacing w:val="0"/>
          <w:szCs w:val="24"/>
          <w:rtl/>
        </w:rPr>
        <w:t xml:space="preserve"> </w:t>
      </w:r>
      <w:r w:rsidRPr="00751FD7">
        <w:rPr>
          <w:rFonts w:ascii="Century" w:hAnsi="Century" w:cs="Miriam" w:hint="eastAsia"/>
          <w:b/>
          <w:spacing w:val="0"/>
          <w:szCs w:val="24"/>
          <w:rtl/>
        </w:rPr>
        <w:t>נתבעת</w:t>
      </w:r>
      <w:r w:rsidRPr="00751FD7">
        <w:rPr>
          <w:rFonts w:ascii="Century" w:hAnsi="Century" w:cs="Miriam"/>
          <w:b/>
          <w:spacing w:val="0"/>
          <w:szCs w:val="24"/>
          <w:rtl/>
        </w:rPr>
        <w:t xml:space="preserve"> </w:t>
      </w:r>
      <w:r w:rsidRPr="00751FD7">
        <w:rPr>
          <w:rFonts w:ascii="Century" w:hAnsi="Century" w:cs="Miriam" w:hint="eastAsia"/>
          <w:b/>
          <w:spacing w:val="0"/>
          <w:szCs w:val="24"/>
          <w:rtl/>
        </w:rPr>
        <w:t>זכות</w:t>
      </w:r>
      <w:r w:rsidRPr="00751FD7">
        <w:rPr>
          <w:rFonts w:ascii="Century" w:hAnsi="Century" w:cs="Miriam"/>
          <w:b/>
          <w:spacing w:val="0"/>
          <w:szCs w:val="24"/>
          <w:rtl/>
        </w:rPr>
        <w:t xml:space="preserve"> </w:t>
      </w:r>
      <w:r w:rsidRPr="00751FD7">
        <w:rPr>
          <w:rFonts w:ascii="Century" w:hAnsi="Century" w:cs="Miriam" w:hint="eastAsia"/>
          <w:b/>
          <w:spacing w:val="0"/>
          <w:szCs w:val="24"/>
          <w:rtl/>
        </w:rPr>
        <w:t>לפי</w:t>
      </w:r>
      <w:r w:rsidRPr="00751FD7">
        <w:rPr>
          <w:rFonts w:ascii="Century" w:hAnsi="Century" w:cs="Miriam"/>
          <w:b/>
          <w:spacing w:val="0"/>
          <w:szCs w:val="24"/>
          <w:rtl/>
        </w:rPr>
        <w:t xml:space="preserve"> </w:t>
      </w:r>
      <w:r w:rsidRPr="00751FD7">
        <w:rPr>
          <w:rFonts w:ascii="Century" w:hAnsi="Century" w:cs="Miriam" w:hint="eastAsia"/>
          <w:b/>
          <w:spacing w:val="0"/>
          <w:szCs w:val="24"/>
          <w:rtl/>
        </w:rPr>
        <w:t>סעיף</w:t>
      </w:r>
      <w:r w:rsidRPr="00751FD7">
        <w:rPr>
          <w:rFonts w:ascii="Century" w:hAnsi="Century" w:cs="Miriam"/>
          <w:b/>
          <w:spacing w:val="0"/>
          <w:szCs w:val="24"/>
          <w:rtl/>
        </w:rPr>
        <w:t xml:space="preserve"> </w:t>
      </w:r>
      <w:r w:rsidRPr="00751FD7">
        <w:rPr>
          <w:rFonts w:ascii="Century" w:hAnsi="Century" w:cs="Miriam" w:hint="eastAsia"/>
          <w:b/>
          <w:spacing w:val="0"/>
          <w:szCs w:val="24"/>
          <w:rtl/>
        </w:rPr>
        <w:t>קטן</w:t>
      </w:r>
      <w:r w:rsidRPr="00751FD7">
        <w:rPr>
          <w:rFonts w:ascii="Century" w:hAnsi="Century" w:cs="Miriam"/>
          <w:b/>
          <w:spacing w:val="0"/>
          <w:szCs w:val="24"/>
          <w:rtl/>
        </w:rPr>
        <w:t xml:space="preserve"> (</w:t>
      </w:r>
      <w:r w:rsidRPr="00751FD7">
        <w:rPr>
          <w:rFonts w:ascii="Century" w:hAnsi="Century" w:cs="Miriam" w:hint="eastAsia"/>
          <w:b/>
          <w:spacing w:val="0"/>
          <w:szCs w:val="24"/>
          <w:rtl/>
        </w:rPr>
        <w:t>א</w:t>
      </w:r>
      <w:r w:rsidRPr="00751FD7">
        <w:rPr>
          <w:rFonts w:ascii="Century" w:hAnsi="Century" w:cs="Miriam"/>
          <w:b/>
          <w:spacing w:val="0"/>
          <w:szCs w:val="24"/>
          <w:rtl/>
        </w:rPr>
        <w:t xml:space="preserve">) </w:t>
      </w:r>
      <w:r w:rsidRPr="00751FD7">
        <w:rPr>
          <w:rFonts w:ascii="Century" w:hAnsi="Century" w:cs="Miriam" w:hint="eastAsia"/>
          <w:b/>
          <w:spacing w:val="0"/>
          <w:szCs w:val="24"/>
          <w:rtl/>
        </w:rPr>
        <w:t>עודו</w:t>
      </w:r>
      <w:r w:rsidRPr="00751FD7">
        <w:rPr>
          <w:rFonts w:ascii="Century" w:hAnsi="Century" w:cs="Miriam"/>
          <w:b/>
          <w:spacing w:val="0"/>
          <w:szCs w:val="24"/>
          <w:rtl/>
        </w:rPr>
        <w:t xml:space="preserve"> </w:t>
      </w:r>
      <w:r w:rsidRPr="00751FD7">
        <w:rPr>
          <w:rFonts w:ascii="Century" w:hAnsi="Century" w:cs="Miriam" w:hint="eastAsia"/>
          <w:b/>
          <w:spacing w:val="0"/>
          <w:szCs w:val="24"/>
          <w:rtl/>
        </w:rPr>
        <w:t>בחיים</w:t>
      </w:r>
      <w:r w:rsidRPr="00751FD7">
        <w:rPr>
          <w:rFonts w:ascii="Century" w:hAnsi="Century" w:cs="Miriam"/>
          <w:b/>
          <w:spacing w:val="0"/>
          <w:szCs w:val="24"/>
          <w:rtl/>
        </w:rPr>
        <w:t xml:space="preserve"> </w:t>
      </w:r>
      <w:r w:rsidRPr="00751FD7">
        <w:rPr>
          <w:rFonts w:ascii="Century" w:hAnsi="Century" w:cs="Miriam" w:hint="eastAsia"/>
          <w:b/>
          <w:spacing w:val="0"/>
          <w:szCs w:val="24"/>
          <w:rtl/>
        </w:rPr>
        <w:t>או</w:t>
      </w:r>
      <w:r w:rsidRPr="00751FD7">
        <w:rPr>
          <w:rFonts w:ascii="Century" w:hAnsi="Century" w:cs="Miriam"/>
          <w:b/>
          <w:spacing w:val="0"/>
          <w:szCs w:val="24"/>
          <w:rtl/>
        </w:rPr>
        <w:t xml:space="preserve"> </w:t>
      </w:r>
      <w:r w:rsidRPr="00751FD7">
        <w:rPr>
          <w:rFonts w:ascii="Century" w:hAnsi="Century" w:cs="Miriam" w:hint="eastAsia"/>
          <w:b/>
          <w:spacing w:val="0"/>
          <w:szCs w:val="24"/>
          <w:rtl/>
        </w:rPr>
        <w:t>לאו</w:t>
      </w:r>
      <w:r w:rsidRPr="00751FD7">
        <w:rPr>
          <w:rFonts w:ascii="Century" w:hAnsi="Century" w:cs="Miriam"/>
          <w:b/>
          <w:spacing w:val="0"/>
          <w:szCs w:val="24"/>
          <w:rtl/>
        </w:rPr>
        <w:t xml:space="preserve"> </w:t>
      </w:r>
      <w:r w:rsidRPr="00751FD7">
        <w:rPr>
          <w:rFonts w:ascii="Century" w:hAnsi="Century" w:cs="Miriam" w:hint="eastAsia"/>
          <w:b/>
          <w:spacing w:val="0"/>
          <w:szCs w:val="24"/>
          <w:rtl/>
        </w:rPr>
        <w:t>ואם</w:t>
      </w:r>
      <w:r w:rsidRPr="00751FD7">
        <w:rPr>
          <w:rFonts w:ascii="Century" w:hAnsi="Century" w:cs="Miriam"/>
          <w:b/>
          <w:spacing w:val="0"/>
          <w:szCs w:val="24"/>
          <w:rtl/>
        </w:rPr>
        <w:t xml:space="preserve"> </w:t>
      </w:r>
      <w:r w:rsidRPr="00751FD7">
        <w:rPr>
          <w:rFonts w:ascii="Century" w:hAnsi="Century" w:cs="Miriam" w:hint="eastAsia"/>
          <w:b/>
          <w:spacing w:val="0"/>
          <w:szCs w:val="24"/>
          <w:rtl/>
        </w:rPr>
        <w:t>עלה</w:t>
      </w:r>
      <w:r w:rsidRPr="00751FD7">
        <w:rPr>
          <w:rFonts w:ascii="Century" w:hAnsi="Century" w:cs="Miriam"/>
          <w:b/>
          <w:spacing w:val="0"/>
          <w:szCs w:val="24"/>
          <w:rtl/>
        </w:rPr>
        <w:t xml:space="preserve"> </w:t>
      </w:r>
      <w:r w:rsidRPr="00751FD7">
        <w:rPr>
          <w:rFonts w:ascii="Century" w:hAnsi="Century" w:cs="Miriam" w:hint="eastAsia"/>
          <w:b/>
          <w:spacing w:val="0"/>
          <w:szCs w:val="24"/>
          <w:rtl/>
        </w:rPr>
        <w:t>ארצה</w:t>
      </w:r>
      <w:r w:rsidRPr="00751FD7">
        <w:rPr>
          <w:rFonts w:ascii="Century" w:hAnsi="Century" w:cs="Miriam"/>
          <w:b/>
          <w:spacing w:val="0"/>
          <w:szCs w:val="24"/>
          <w:rtl/>
        </w:rPr>
        <w:t xml:space="preserve"> </w:t>
      </w:r>
      <w:r w:rsidRPr="00751FD7">
        <w:rPr>
          <w:rFonts w:ascii="Century" w:hAnsi="Century" w:cs="Miriam" w:hint="eastAsia"/>
          <w:b/>
          <w:spacing w:val="0"/>
          <w:szCs w:val="24"/>
          <w:rtl/>
        </w:rPr>
        <w:t>או</w:t>
      </w:r>
      <w:r w:rsidRPr="00751FD7">
        <w:rPr>
          <w:rFonts w:ascii="Century" w:hAnsi="Century" w:cs="Miriam"/>
          <w:b/>
          <w:spacing w:val="0"/>
          <w:szCs w:val="24"/>
          <w:rtl/>
        </w:rPr>
        <w:t xml:space="preserve"> </w:t>
      </w:r>
      <w:r w:rsidRPr="00751FD7">
        <w:rPr>
          <w:rFonts w:ascii="Century" w:hAnsi="Century" w:cs="Miriam" w:hint="eastAsia"/>
          <w:b/>
          <w:spacing w:val="0"/>
          <w:szCs w:val="24"/>
          <w:rtl/>
        </w:rPr>
        <w:t>לאו</w:t>
      </w:r>
      <w:r>
        <w:rPr>
          <w:rFonts w:ascii="Century" w:hAnsi="Century" w:cs="Miriam" w:hint="cs"/>
          <w:b/>
          <w:spacing w:val="0"/>
          <w:szCs w:val="24"/>
          <w:rtl/>
        </w:rPr>
        <w:t xml:space="preserve">" </w:t>
      </w:r>
      <w:r>
        <w:rPr>
          <w:rFonts w:ascii="Century" w:hAnsi="Century" w:hint="cs"/>
          <w:rtl/>
        </w:rPr>
        <w:t xml:space="preserve">(ההדגשה הוּספה </w:t>
      </w:r>
      <w:r>
        <w:rPr>
          <w:rFonts w:ascii="Century" w:hAnsi="Century"/>
          <w:rtl/>
        </w:rPr>
        <w:t>–</w:t>
      </w:r>
      <w:r>
        <w:rPr>
          <w:rFonts w:ascii="Century" w:hAnsi="Century" w:hint="cs"/>
          <w:rtl/>
        </w:rPr>
        <w:t xml:space="preserve"> נ' ס').</w:t>
      </w:r>
    </w:p>
    <w:p w:rsidR="00872589" w:rsidRDefault="00872589" w:rsidP="00872589">
      <w:pPr>
        <w:pStyle w:val="Ruller41"/>
        <w:rPr>
          <w:rtl/>
        </w:rPr>
      </w:pPr>
    </w:p>
    <w:p w:rsidR="00872589" w:rsidRDefault="00872589" w:rsidP="00872589">
      <w:pPr>
        <w:pStyle w:val="Ruller41"/>
        <w:rPr>
          <w:rtl/>
        </w:rPr>
      </w:pPr>
      <w:r>
        <w:rPr>
          <w:rtl/>
        </w:rPr>
        <w:tab/>
      </w:r>
      <w:r>
        <w:rPr>
          <w:rFonts w:hint="cs"/>
          <w:rtl/>
        </w:rPr>
        <w:t xml:space="preserve">עינינו הרואות, כי מיד לאחר שהרחיב המחוקק את מעגלי זכאות החוק לבנו ולנכדו של היהודי, כמו גם לבני זוגם </w:t>
      </w:r>
      <w:r>
        <w:rPr>
          <w:rtl/>
        </w:rPr>
        <w:t>–</w:t>
      </w:r>
      <w:r>
        <w:rPr>
          <w:rFonts w:hint="cs"/>
          <w:rtl/>
        </w:rPr>
        <w:t xml:space="preserve"> אשר כאמור, זכאותם </w:t>
      </w:r>
      <w:r w:rsidRPr="00542A01">
        <w:rPr>
          <w:rFonts w:hint="cs"/>
          <w:rtl/>
        </w:rPr>
        <w:t>לשבות נוצרת כתוצאה מקשר חיתון</w:t>
      </w:r>
      <w:r>
        <w:rPr>
          <w:rFonts w:hint="cs"/>
          <w:rtl/>
        </w:rPr>
        <w:t xml:space="preserve"> עם אחד מ</w:t>
      </w:r>
      <w:r w:rsidRPr="00542A01">
        <w:rPr>
          <w:rFonts w:hint="cs"/>
          <w:rtl/>
        </w:rPr>
        <w:t xml:space="preserve">זכאי השבות </w:t>
      </w:r>
      <w:r w:rsidRPr="00542A01">
        <w:rPr>
          <w:rtl/>
        </w:rPr>
        <w:t>–</w:t>
      </w:r>
      <w:r w:rsidRPr="00542A01">
        <w:rPr>
          <w:rFonts w:hint="cs"/>
          <w:rtl/>
        </w:rPr>
        <w:t xml:space="preserve"> הוסיף המחוקק והבהיר, </w:t>
      </w:r>
      <w:r>
        <w:rPr>
          <w:rFonts w:hint="cs"/>
          <w:rtl/>
        </w:rPr>
        <w:t>'</w:t>
      </w:r>
      <w:r w:rsidRPr="00542A01">
        <w:rPr>
          <w:rFonts w:hint="cs"/>
          <w:rtl/>
        </w:rPr>
        <w:t>ברחל בתך הקטנה</w:t>
      </w:r>
      <w:r>
        <w:rPr>
          <w:rFonts w:hint="cs"/>
          <w:rtl/>
        </w:rPr>
        <w:t>'</w:t>
      </w:r>
      <w:r w:rsidRPr="00542A01">
        <w:rPr>
          <w:rFonts w:hint="cs"/>
          <w:rtl/>
        </w:rPr>
        <w:t xml:space="preserve">, כי בכל הנוגע </w:t>
      </w:r>
      <w:r w:rsidRPr="0053674C">
        <w:rPr>
          <w:rFonts w:ascii="Century" w:hAnsi="Century" w:cs="Miriam" w:hint="eastAsia"/>
          <w:b/>
          <w:spacing w:val="0"/>
          <w:szCs w:val="24"/>
          <w:rtl/>
        </w:rPr>
        <w:t>ל</w:t>
      </w:r>
      <w:r w:rsidRPr="0053674C">
        <w:rPr>
          <w:rFonts w:ascii="Century" w:hAnsi="Century" w:cs="Miriam"/>
          <w:b/>
          <w:spacing w:val="0"/>
          <w:szCs w:val="24"/>
          <w:rtl/>
        </w:rPr>
        <w:t>'יהודי'</w:t>
      </w:r>
      <w:r>
        <w:rPr>
          <w:rFonts w:hint="cs"/>
          <w:rtl/>
        </w:rPr>
        <w:t>,</w:t>
      </w:r>
      <w:r w:rsidRPr="00542A01">
        <w:rPr>
          <w:rFonts w:hint="cs"/>
          <w:rtl/>
        </w:rPr>
        <w:t xml:space="preserve"> לא תהיה נפקות לשאלה אם זה הא</w:t>
      </w:r>
      <w:r>
        <w:rPr>
          <w:rFonts w:hint="cs"/>
          <w:rtl/>
        </w:rPr>
        <w:t xml:space="preserve">חרון עודנו בחיים, או שמא נפטר. משאלה הם פני הדברים, נוטה אני לדעה שלפיה ה'הן' </w:t>
      </w:r>
      <w:r>
        <w:rPr>
          <w:rtl/>
        </w:rPr>
        <w:t>–</w:t>
      </w:r>
      <w:r>
        <w:rPr>
          <w:rFonts w:hint="cs"/>
          <w:rtl/>
        </w:rPr>
        <w:t xml:space="preserve"> דין מותו של 'היהודי' </w:t>
      </w:r>
      <w:r>
        <w:rPr>
          <w:rtl/>
        </w:rPr>
        <w:t>–</w:t>
      </w:r>
      <w:r>
        <w:rPr>
          <w:rFonts w:hint="cs"/>
          <w:rtl/>
        </w:rPr>
        <w:t xml:space="preserve"> משמיע לנו גם את ה'לאו' </w:t>
      </w:r>
      <w:r>
        <w:rPr>
          <w:rtl/>
        </w:rPr>
        <w:t>–</w:t>
      </w:r>
      <w:r>
        <w:rPr>
          <w:rFonts w:hint="cs"/>
          <w:rtl/>
        </w:rPr>
        <w:t xml:space="preserve"> דין מותו של זכאי השבות; דהיינו: סבורני, כי סעיף 4א(ב) הנ"ל מלמדנו כי בניגוד להעדר הנפקות במקרה של מות היהודי, הרי שמותו של זכַּאי השבות, משפיע גם משפיע על אלה שזכותם לשבות אינה אלא פועל יוצא של קשרי החיתון עמו. בעניין זה רואה אני עין בעין עם חברי, השופט</w:t>
      </w:r>
      <w:r w:rsidRPr="001C102A">
        <w:rPr>
          <w:rFonts w:ascii="Century" w:hAnsi="Century" w:cs="Miriam" w:hint="cs"/>
          <w:b/>
          <w:spacing w:val="0"/>
          <w:szCs w:val="24"/>
          <w:rtl/>
        </w:rPr>
        <w:t xml:space="preserve"> מינץ</w:t>
      </w:r>
      <w:r>
        <w:rPr>
          <w:rFonts w:hint="cs"/>
          <w:rtl/>
        </w:rPr>
        <w:t xml:space="preserve">, אשר ציין בפסק הדין נושא הדיון הנוסף, כי </w:t>
      </w:r>
      <w:r w:rsidRPr="00A851B0">
        <w:rPr>
          <w:rFonts w:ascii="Century" w:hAnsi="Century" w:cs="Miriam" w:hint="cs"/>
          <w:b/>
          <w:spacing w:val="0"/>
          <w:szCs w:val="24"/>
          <w:rtl/>
        </w:rPr>
        <w:t>"</w:t>
      </w:r>
      <w:r w:rsidRPr="00A851B0">
        <w:rPr>
          <w:rFonts w:ascii="Century" w:hAnsi="Century" w:cs="Miriam" w:hint="eastAsia"/>
          <w:b/>
          <w:spacing w:val="0"/>
          <w:szCs w:val="24"/>
          <w:rtl/>
        </w:rPr>
        <w:t>לוּ</w:t>
      </w:r>
      <w:r w:rsidRPr="00A851B0">
        <w:rPr>
          <w:rFonts w:ascii="Century" w:hAnsi="Century" w:cs="Miriam"/>
          <w:b/>
          <w:spacing w:val="0"/>
          <w:szCs w:val="24"/>
          <w:rtl/>
        </w:rPr>
        <w:t xml:space="preserve"> </w:t>
      </w:r>
      <w:r w:rsidRPr="00A851B0">
        <w:rPr>
          <w:rFonts w:ascii="Century" w:hAnsi="Century" w:cs="Miriam" w:hint="eastAsia"/>
          <w:b/>
          <w:spacing w:val="0"/>
          <w:szCs w:val="24"/>
          <w:rtl/>
        </w:rPr>
        <w:t>ביקש</w:t>
      </w:r>
      <w:r w:rsidRPr="00A851B0">
        <w:rPr>
          <w:rFonts w:ascii="Century" w:hAnsi="Century" w:cs="Miriam"/>
          <w:b/>
          <w:spacing w:val="0"/>
          <w:szCs w:val="24"/>
          <w:rtl/>
        </w:rPr>
        <w:t xml:space="preserve"> </w:t>
      </w:r>
      <w:r w:rsidRPr="00A851B0">
        <w:rPr>
          <w:rFonts w:ascii="Century" w:hAnsi="Century" w:cs="Miriam" w:hint="eastAsia"/>
          <w:b/>
          <w:spacing w:val="0"/>
          <w:szCs w:val="24"/>
          <w:rtl/>
        </w:rPr>
        <w:t>המחוקק</w:t>
      </w:r>
      <w:r w:rsidRPr="00A851B0">
        <w:rPr>
          <w:rFonts w:ascii="Century" w:hAnsi="Century" w:cs="Miriam"/>
          <w:b/>
          <w:spacing w:val="0"/>
          <w:szCs w:val="24"/>
          <w:rtl/>
        </w:rPr>
        <w:t xml:space="preserve"> </w:t>
      </w:r>
      <w:r w:rsidRPr="00A851B0">
        <w:rPr>
          <w:rFonts w:ascii="Century" w:hAnsi="Century" w:cs="Miriam" w:hint="eastAsia"/>
          <w:b/>
          <w:spacing w:val="0"/>
          <w:szCs w:val="24"/>
          <w:rtl/>
        </w:rPr>
        <w:t>להרחיב</w:t>
      </w:r>
      <w:r w:rsidRPr="00A851B0">
        <w:rPr>
          <w:rFonts w:ascii="Century" w:hAnsi="Century" w:cs="Miriam"/>
          <w:b/>
          <w:spacing w:val="0"/>
          <w:szCs w:val="24"/>
          <w:rtl/>
        </w:rPr>
        <w:t xml:space="preserve"> </w:t>
      </w:r>
      <w:r w:rsidRPr="00A851B0">
        <w:rPr>
          <w:rFonts w:ascii="Century" w:hAnsi="Century" w:cs="Miriam" w:hint="eastAsia"/>
          <w:b/>
          <w:spacing w:val="0"/>
          <w:szCs w:val="24"/>
          <w:rtl/>
        </w:rPr>
        <w:t>את</w:t>
      </w:r>
      <w:r w:rsidRPr="00A851B0">
        <w:rPr>
          <w:rFonts w:ascii="Century" w:hAnsi="Century" w:cs="Miriam"/>
          <w:b/>
          <w:spacing w:val="0"/>
          <w:szCs w:val="24"/>
          <w:rtl/>
        </w:rPr>
        <w:t xml:space="preserve"> </w:t>
      </w:r>
      <w:r w:rsidRPr="00A851B0">
        <w:rPr>
          <w:rFonts w:ascii="Century" w:hAnsi="Century" w:cs="Miriam" w:hint="eastAsia"/>
          <w:b/>
          <w:spacing w:val="0"/>
          <w:szCs w:val="24"/>
          <w:rtl/>
        </w:rPr>
        <w:t>המעגל</w:t>
      </w:r>
      <w:r w:rsidRPr="00A851B0">
        <w:rPr>
          <w:rFonts w:ascii="Century" w:hAnsi="Century" w:cs="Miriam"/>
          <w:b/>
          <w:spacing w:val="0"/>
          <w:szCs w:val="24"/>
          <w:rtl/>
        </w:rPr>
        <w:t xml:space="preserve"> </w:t>
      </w:r>
      <w:r w:rsidRPr="00A851B0">
        <w:rPr>
          <w:rFonts w:ascii="Century" w:hAnsi="Century" w:cs="Miriam" w:hint="eastAsia"/>
          <w:b/>
          <w:spacing w:val="0"/>
          <w:szCs w:val="24"/>
          <w:rtl/>
        </w:rPr>
        <w:t>לכלל</w:t>
      </w:r>
      <w:r w:rsidRPr="00A851B0">
        <w:rPr>
          <w:rFonts w:ascii="Century" w:hAnsi="Century" w:cs="Miriam"/>
          <w:b/>
          <w:spacing w:val="0"/>
          <w:szCs w:val="24"/>
          <w:rtl/>
        </w:rPr>
        <w:t xml:space="preserve"> </w:t>
      </w:r>
      <w:r w:rsidRPr="00A851B0">
        <w:rPr>
          <w:rFonts w:ascii="Century" w:hAnsi="Century" w:cs="Miriam" w:hint="eastAsia"/>
          <w:b/>
          <w:spacing w:val="0"/>
          <w:szCs w:val="24"/>
          <w:rtl/>
        </w:rPr>
        <w:t>הקטיגוריות</w:t>
      </w:r>
      <w:r w:rsidRPr="00A851B0">
        <w:rPr>
          <w:rFonts w:ascii="Century" w:hAnsi="Century" w:cs="Miriam"/>
          <w:b/>
          <w:spacing w:val="0"/>
          <w:szCs w:val="24"/>
          <w:rtl/>
        </w:rPr>
        <w:t xml:space="preserve"> </w:t>
      </w:r>
      <w:r w:rsidRPr="00A851B0">
        <w:rPr>
          <w:rFonts w:ascii="Century" w:hAnsi="Century" w:cs="Miriam" w:hint="eastAsia"/>
          <w:b/>
          <w:spacing w:val="0"/>
          <w:szCs w:val="24"/>
          <w:rtl/>
        </w:rPr>
        <w:t>המפורטות</w:t>
      </w:r>
      <w:r w:rsidRPr="00A851B0">
        <w:rPr>
          <w:rFonts w:ascii="Century" w:hAnsi="Century" w:cs="Miriam"/>
          <w:b/>
          <w:spacing w:val="0"/>
          <w:szCs w:val="24"/>
          <w:rtl/>
        </w:rPr>
        <w:t xml:space="preserve"> </w:t>
      </w:r>
      <w:r w:rsidRPr="00A851B0">
        <w:rPr>
          <w:rFonts w:ascii="Century" w:hAnsi="Century" w:cs="Miriam" w:hint="eastAsia"/>
          <w:b/>
          <w:spacing w:val="0"/>
          <w:szCs w:val="24"/>
          <w:rtl/>
        </w:rPr>
        <w:t>בסעיף</w:t>
      </w:r>
      <w:r w:rsidRPr="00A851B0">
        <w:rPr>
          <w:rFonts w:ascii="Century" w:hAnsi="Century" w:cs="Miriam"/>
          <w:b/>
          <w:spacing w:val="0"/>
          <w:szCs w:val="24"/>
          <w:rtl/>
        </w:rPr>
        <w:t xml:space="preserve"> </w:t>
      </w:r>
      <w:r w:rsidRPr="00A851B0">
        <w:rPr>
          <w:rFonts w:ascii="Century" w:hAnsi="Century" w:cs="Miriam" w:hint="eastAsia"/>
          <w:b/>
          <w:spacing w:val="0"/>
          <w:szCs w:val="24"/>
          <w:rtl/>
        </w:rPr>
        <w:t>קטן</w:t>
      </w:r>
      <w:r w:rsidRPr="00A851B0">
        <w:rPr>
          <w:rFonts w:ascii="Century" w:hAnsi="Century" w:cs="Miriam"/>
          <w:b/>
          <w:spacing w:val="0"/>
          <w:szCs w:val="24"/>
          <w:rtl/>
        </w:rPr>
        <w:t xml:space="preserve"> (</w:t>
      </w:r>
      <w:r w:rsidRPr="00A851B0">
        <w:rPr>
          <w:rFonts w:ascii="Century" w:hAnsi="Century" w:cs="Miriam" w:hint="eastAsia"/>
          <w:b/>
          <w:spacing w:val="0"/>
          <w:szCs w:val="24"/>
          <w:rtl/>
        </w:rPr>
        <w:t>א</w:t>
      </w:r>
      <w:r w:rsidRPr="00A851B0">
        <w:rPr>
          <w:rFonts w:ascii="Century" w:hAnsi="Century" w:cs="Miriam"/>
          <w:b/>
          <w:spacing w:val="0"/>
          <w:szCs w:val="24"/>
          <w:rtl/>
        </w:rPr>
        <w:t xml:space="preserve">), </w:t>
      </w:r>
      <w:r w:rsidRPr="00A851B0">
        <w:rPr>
          <w:rFonts w:ascii="Century" w:hAnsi="Century" w:cs="Miriam" w:hint="eastAsia"/>
          <w:b/>
          <w:spacing w:val="0"/>
          <w:szCs w:val="24"/>
          <w:rtl/>
        </w:rPr>
        <w:t>חזקה</w:t>
      </w:r>
      <w:r w:rsidRPr="00A851B0">
        <w:rPr>
          <w:rFonts w:ascii="Century" w:hAnsi="Century" w:cs="Miriam"/>
          <w:b/>
          <w:spacing w:val="0"/>
          <w:szCs w:val="24"/>
          <w:rtl/>
        </w:rPr>
        <w:t xml:space="preserve"> </w:t>
      </w:r>
      <w:r w:rsidRPr="00A851B0">
        <w:rPr>
          <w:rFonts w:ascii="Century" w:hAnsi="Century" w:cs="Miriam" w:hint="eastAsia"/>
          <w:b/>
          <w:spacing w:val="0"/>
          <w:szCs w:val="24"/>
          <w:rtl/>
        </w:rPr>
        <w:t>עליו</w:t>
      </w:r>
      <w:r w:rsidRPr="00A851B0">
        <w:rPr>
          <w:rFonts w:ascii="Century" w:hAnsi="Century" w:cs="Miriam"/>
          <w:b/>
          <w:spacing w:val="0"/>
          <w:szCs w:val="24"/>
          <w:rtl/>
        </w:rPr>
        <w:t xml:space="preserve"> </w:t>
      </w:r>
      <w:r w:rsidRPr="00A851B0">
        <w:rPr>
          <w:rFonts w:ascii="Century" w:hAnsi="Century" w:cs="Miriam" w:hint="eastAsia"/>
          <w:b/>
          <w:spacing w:val="0"/>
          <w:szCs w:val="24"/>
          <w:rtl/>
        </w:rPr>
        <w:t>כי</w:t>
      </w:r>
      <w:r w:rsidRPr="00A851B0">
        <w:rPr>
          <w:rFonts w:ascii="Century" w:hAnsi="Century" w:cs="Miriam"/>
          <w:b/>
          <w:spacing w:val="0"/>
          <w:szCs w:val="24"/>
          <w:rtl/>
        </w:rPr>
        <w:t xml:space="preserve"> </w:t>
      </w:r>
      <w:r w:rsidRPr="00A851B0">
        <w:rPr>
          <w:rFonts w:ascii="Century" w:hAnsi="Century" w:cs="Miriam" w:hint="eastAsia"/>
          <w:b/>
          <w:spacing w:val="0"/>
          <w:szCs w:val="24"/>
          <w:rtl/>
        </w:rPr>
        <w:t>היה</w:t>
      </w:r>
      <w:r w:rsidRPr="00A851B0">
        <w:rPr>
          <w:rFonts w:ascii="Century" w:hAnsi="Century" w:cs="Miriam"/>
          <w:b/>
          <w:spacing w:val="0"/>
          <w:szCs w:val="24"/>
          <w:rtl/>
        </w:rPr>
        <w:t xml:space="preserve"> </w:t>
      </w:r>
      <w:r w:rsidRPr="00A851B0">
        <w:rPr>
          <w:rFonts w:ascii="Century" w:hAnsi="Century" w:cs="Miriam" w:hint="eastAsia"/>
          <w:b/>
          <w:spacing w:val="0"/>
          <w:szCs w:val="24"/>
          <w:rtl/>
        </w:rPr>
        <w:t>כותב</w:t>
      </w:r>
      <w:r w:rsidRPr="00A851B0">
        <w:rPr>
          <w:rFonts w:ascii="Century" w:hAnsi="Century" w:cs="Miriam"/>
          <w:b/>
          <w:spacing w:val="0"/>
          <w:szCs w:val="24"/>
          <w:rtl/>
        </w:rPr>
        <w:t xml:space="preserve"> </w:t>
      </w:r>
      <w:r w:rsidRPr="00A851B0">
        <w:rPr>
          <w:rFonts w:ascii="Century" w:hAnsi="Century" w:cs="Miriam" w:hint="eastAsia"/>
          <w:b/>
          <w:spacing w:val="0"/>
          <w:szCs w:val="24"/>
          <w:rtl/>
        </w:rPr>
        <w:t>בסעיף</w:t>
      </w:r>
      <w:r w:rsidRPr="00A851B0">
        <w:rPr>
          <w:rFonts w:ascii="Century" w:hAnsi="Century" w:cs="Miriam"/>
          <w:b/>
          <w:spacing w:val="0"/>
          <w:szCs w:val="24"/>
          <w:rtl/>
        </w:rPr>
        <w:t xml:space="preserve"> </w:t>
      </w:r>
      <w:r w:rsidRPr="00A851B0">
        <w:rPr>
          <w:rFonts w:ascii="Century" w:hAnsi="Century" w:cs="Miriam" w:hint="eastAsia"/>
          <w:b/>
          <w:spacing w:val="0"/>
          <w:szCs w:val="24"/>
          <w:rtl/>
        </w:rPr>
        <w:t>קטן</w:t>
      </w:r>
      <w:r w:rsidRPr="00A851B0">
        <w:rPr>
          <w:rFonts w:ascii="Century" w:hAnsi="Century" w:cs="Miriam"/>
          <w:b/>
          <w:spacing w:val="0"/>
          <w:szCs w:val="24"/>
          <w:rtl/>
        </w:rPr>
        <w:t xml:space="preserve"> (</w:t>
      </w:r>
      <w:r w:rsidRPr="00A851B0">
        <w:rPr>
          <w:rFonts w:ascii="Century" w:hAnsi="Century" w:cs="Miriam" w:hint="eastAsia"/>
          <w:b/>
          <w:spacing w:val="0"/>
          <w:szCs w:val="24"/>
          <w:rtl/>
        </w:rPr>
        <w:t>ב</w:t>
      </w:r>
      <w:r w:rsidRPr="00A851B0">
        <w:rPr>
          <w:rFonts w:ascii="Century" w:hAnsi="Century" w:cs="Miriam"/>
          <w:b/>
          <w:spacing w:val="0"/>
          <w:szCs w:val="24"/>
          <w:rtl/>
        </w:rPr>
        <w:t xml:space="preserve">): </w:t>
      </w:r>
      <w:r w:rsidRPr="00A851B0">
        <w:rPr>
          <w:rFonts w:ascii="Century" w:hAnsi="Century" w:cs="Miriam" w:hint="cs"/>
          <w:b/>
          <w:spacing w:val="0"/>
          <w:szCs w:val="24"/>
          <w:rtl/>
        </w:rPr>
        <w:t>'</w:t>
      </w:r>
      <w:r w:rsidRPr="00A851B0">
        <w:rPr>
          <w:rFonts w:ascii="Century" w:hAnsi="Century" w:cs="Miriam" w:hint="eastAsia"/>
          <w:b/>
          <w:spacing w:val="0"/>
          <w:szCs w:val="24"/>
          <w:rtl/>
        </w:rPr>
        <w:t>אין</w:t>
      </w:r>
      <w:r w:rsidRPr="00A851B0">
        <w:rPr>
          <w:rFonts w:ascii="Century" w:hAnsi="Century" w:cs="Miriam"/>
          <w:b/>
          <w:spacing w:val="0"/>
          <w:szCs w:val="24"/>
          <w:rtl/>
        </w:rPr>
        <w:t xml:space="preserve"> </w:t>
      </w:r>
      <w:r w:rsidRPr="00A851B0">
        <w:rPr>
          <w:rFonts w:ascii="Century" w:hAnsi="Century" w:cs="Miriam" w:hint="eastAsia"/>
          <w:b/>
          <w:spacing w:val="0"/>
          <w:szCs w:val="24"/>
          <w:rtl/>
        </w:rPr>
        <w:t>נפקא</w:t>
      </w:r>
      <w:r w:rsidRPr="00A851B0">
        <w:rPr>
          <w:rFonts w:ascii="Century" w:hAnsi="Century" w:cs="Miriam"/>
          <w:b/>
          <w:spacing w:val="0"/>
          <w:szCs w:val="24"/>
          <w:rtl/>
        </w:rPr>
        <w:t xml:space="preserve"> </w:t>
      </w:r>
      <w:r w:rsidRPr="00A851B0">
        <w:rPr>
          <w:rFonts w:ascii="Century" w:hAnsi="Century" w:cs="Miriam" w:hint="eastAsia"/>
          <w:b/>
          <w:spacing w:val="0"/>
          <w:szCs w:val="24"/>
          <w:rtl/>
        </w:rPr>
        <w:t>מינה</w:t>
      </w:r>
      <w:r w:rsidRPr="00A851B0">
        <w:rPr>
          <w:rFonts w:ascii="Century" w:hAnsi="Century" w:cs="Miriam"/>
          <w:b/>
          <w:spacing w:val="0"/>
          <w:szCs w:val="24"/>
          <w:rtl/>
        </w:rPr>
        <w:t xml:space="preserve"> </w:t>
      </w:r>
      <w:r w:rsidRPr="00A851B0">
        <w:rPr>
          <w:rFonts w:ascii="Century" w:hAnsi="Century" w:cs="Miriam" w:hint="eastAsia"/>
          <w:b/>
          <w:spacing w:val="0"/>
          <w:szCs w:val="24"/>
          <w:rtl/>
        </w:rPr>
        <w:t>אם</w:t>
      </w:r>
      <w:r w:rsidRPr="00A851B0">
        <w:rPr>
          <w:rFonts w:ascii="Century" w:hAnsi="Century" w:cs="Miriam"/>
          <w:b/>
          <w:spacing w:val="0"/>
          <w:szCs w:val="24"/>
          <w:rtl/>
        </w:rPr>
        <w:t xml:space="preserve"> </w:t>
      </w:r>
      <w:r w:rsidRPr="00A851B0">
        <w:rPr>
          <w:rFonts w:ascii="Century" w:hAnsi="Century" w:cs="Miriam" w:hint="eastAsia"/>
          <w:b/>
          <w:spacing w:val="0"/>
          <w:szCs w:val="24"/>
          <w:u w:val="single"/>
          <w:rtl/>
        </w:rPr>
        <w:t>אדם</w:t>
      </w:r>
      <w:r w:rsidRPr="00A851B0">
        <w:rPr>
          <w:rFonts w:ascii="Century" w:hAnsi="Century" w:cs="Miriam"/>
          <w:b/>
          <w:spacing w:val="0"/>
          <w:szCs w:val="24"/>
          <w:rtl/>
        </w:rPr>
        <w:t xml:space="preserve"> </w:t>
      </w:r>
      <w:r w:rsidRPr="00A851B0">
        <w:rPr>
          <w:rFonts w:ascii="Century" w:hAnsi="Century" w:cs="Miriam" w:hint="eastAsia"/>
          <w:b/>
          <w:spacing w:val="0"/>
          <w:szCs w:val="24"/>
          <w:rtl/>
        </w:rPr>
        <w:t>שמכוחו</w:t>
      </w:r>
      <w:r w:rsidRPr="00A851B0">
        <w:rPr>
          <w:rFonts w:ascii="Century" w:hAnsi="Century" w:cs="Miriam"/>
          <w:b/>
          <w:spacing w:val="0"/>
          <w:szCs w:val="24"/>
          <w:rtl/>
        </w:rPr>
        <w:t xml:space="preserve"> </w:t>
      </w:r>
      <w:r w:rsidRPr="00A851B0">
        <w:rPr>
          <w:rFonts w:ascii="Century" w:hAnsi="Century" w:cs="Miriam" w:hint="eastAsia"/>
          <w:b/>
          <w:spacing w:val="0"/>
          <w:szCs w:val="24"/>
          <w:rtl/>
        </w:rPr>
        <w:t>נתבעת</w:t>
      </w:r>
      <w:r w:rsidRPr="00A851B0">
        <w:rPr>
          <w:rFonts w:ascii="Century" w:hAnsi="Century" w:cs="Miriam"/>
          <w:b/>
          <w:spacing w:val="0"/>
          <w:szCs w:val="24"/>
          <w:rtl/>
        </w:rPr>
        <w:t xml:space="preserve"> </w:t>
      </w:r>
      <w:r w:rsidRPr="00A851B0">
        <w:rPr>
          <w:rFonts w:ascii="Century" w:hAnsi="Century" w:cs="Miriam" w:hint="eastAsia"/>
          <w:b/>
          <w:spacing w:val="0"/>
          <w:szCs w:val="24"/>
          <w:rtl/>
        </w:rPr>
        <w:t>זכות</w:t>
      </w:r>
      <w:r w:rsidRPr="00A851B0">
        <w:rPr>
          <w:rFonts w:ascii="Century" w:hAnsi="Century" w:cs="Miriam"/>
          <w:b/>
          <w:spacing w:val="0"/>
          <w:szCs w:val="24"/>
          <w:rtl/>
        </w:rPr>
        <w:t xml:space="preserve"> ... </w:t>
      </w:r>
      <w:r w:rsidRPr="00A851B0">
        <w:rPr>
          <w:rFonts w:ascii="Century" w:hAnsi="Century" w:cs="Miriam" w:hint="eastAsia"/>
          <w:b/>
          <w:spacing w:val="0"/>
          <w:szCs w:val="24"/>
          <w:rtl/>
        </w:rPr>
        <w:t>עודו</w:t>
      </w:r>
      <w:r w:rsidRPr="00A851B0">
        <w:rPr>
          <w:rFonts w:ascii="Century" w:hAnsi="Century" w:cs="Miriam"/>
          <w:b/>
          <w:spacing w:val="0"/>
          <w:szCs w:val="24"/>
          <w:rtl/>
        </w:rPr>
        <w:t xml:space="preserve"> </w:t>
      </w:r>
      <w:r w:rsidRPr="00A67A11">
        <w:rPr>
          <w:rFonts w:ascii="Century" w:hAnsi="Century" w:cs="Miriam" w:hint="eastAsia"/>
          <w:b/>
          <w:spacing w:val="0"/>
          <w:szCs w:val="24"/>
          <w:rtl/>
        </w:rPr>
        <w:t>בחיים</w:t>
      </w:r>
      <w:r w:rsidRPr="00A67A11">
        <w:rPr>
          <w:rFonts w:ascii="Century" w:hAnsi="Century" w:cs="Miriam" w:hint="cs"/>
          <w:b/>
          <w:spacing w:val="0"/>
          <w:szCs w:val="24"/>
          <w:rtl/>
        </w:rPr>
        <w:t xml:space="preserve"> ... '"</w:t>
      </w:r>
      <w:r w:rsidRPr="00A67A11">
        <w:rPr>
          <w:rFonts w:hint="cs"/>
          <w:rtl/>
        </w:rPr>
        <w:t xml:space="preserve"> (ההדגשה</w:t>
      </w:r>
      <w:r>
        <w:rPr>
          <w:rFonts w:hint="cs"/>
          <w:rtl/>
        </w:rPr>
        <w:t xml:space="preserve"> במקור </w:t>
      </w:r>
      <w:r>
        <w:rPr>
          <w:rtl/>
        </w:rPr>
        <w:t>–</w:t>
      </w:r>
      <w:r>
        <w:rPr>
          <w:rFonts w:hint="cs"/>
          <w:rtl/>
        </w:rPr>
        <w:t xml:space="preserve"> נ' ס')</w:t>
      </w:r>
      <w:r w:rsidRPr="00A851B0">
        <w:rPr>
          <w:rtl/>
        </w:rPr>
        <w:t>.</w:t>
      </w:r>
      <w:r>
        <w:rPr>
          <w:rFonts w:hint="cs"/>
          <w:rtl/>
        </w:rPr>
        <w:t xml:space="preserve"> </w:t>
      </w:r>
    </w:p>
    <w:p w:rsidR="00872589" w:rsidRDefault="00872589" w:rsidP="00872589">
      <w:pPr>
        <w:pStyle w:val="Ruller41"/>
        <w:rPr>
          <w:rtl/>
        </w:rPr>
      </w:pPr>
    </w:p>
    <w:p w:rsidR="00872589" w:rsidRDefault="00872589" w:rsidP="00872589">
      <w:pPr>
        <w:pStyle w:val="Ruller4"/>
        <w:textAlignment w:val="baseline"/>
        <w:rPr>
          <w:rtl/>
        </w:rPr>
      </w:pPr>
      <w:r>
        <w:rPr>
          <w:rFonts w:hint="cs"/>
          <w:rtl/>
        </w:rPr>
        <w:t xml:space="preserve">אמנם, שמיעת ה'לאו' </w:t>
      </w:r>
      <w:r w:rsidRPr="008C56DB">
        <w:rPr>
          <w:rFonts w:hint="cs"/>
          <w:rtl/>
        </w:rPr>
        <w:t xml:space="preserve">מכלל </w:t>
      </w:r>
      <w:r w:rsidRPr="00814903">
        <w:rPr>
          <w:rFonts w:hint="cs"/>
          <w:rtl/>
        </w:rPr>
        <w:t xml:space="preserve">ה'הן' </w:t>
      </w:r>
      <w:r w:rsidRPr="00814903">
        <w:rPr>
          <w:rtl/>
        </w:rPr>
        <w:t>–</w:t>
      </w:r>
      <w:r w:rsidRPr="00814903">
        <w:rPr>
          <w:rFonts w:hint="cs"/>
          <w:rtl/>
        </w:rPr>
        <w:t xml:space="preserve"> אינה עניין של מה בכך, ונדרשת לגביה זהירות פרשנית (ראו, למשל, בג"ץ 6446/96 </w:t>
      </w:r>
      <w:r w:rsidRPr="00814903">
        <w:rPr>
          <w:rFonts w:ascii="Century" w:hAnsi="Century" w:cs="Miriam" w:hint="cs"/>
          <w:b/>
          <w:spacing w:val="0"/>
          <w:sz w:val="22"/>
          <w:szCs w:val="24"/>
          <w:rtl/>
        </w:rPr>
        <w:t>העמותה למען החתול נ' עיריית ערד</w:t>
      </w:r>
      <w:r w:rsidRPr="00814903">
        <w:rPr>
          <w:rFonts w:hint="cs"/>
          <w:rtl/>
        </w:rPr>
        <w:t>, פ"ד נה(1) 769, 791 (2001))</w:t>
      </w:r>
      <w:r>
        <w:rPr>
          <w:rFonts w:hint="cs"/>
          <w:rtl/>
        </w:rPr>
        <w:t>;</w:t>
      </w:r>
      <w:r w:rsidRPr="00814903">
        <w:rPr>
          <w:rFonts w:hint="cs"/>
          <w:rtl/>
        </w:rPr>
        <w:t xml:space="preserve"> מהלך כגון דא, מצוי בשדה פרשנותה המשתמעת של החקיקה, להבדיל ממשמעותה המפורשת, שהעבודה עִמה 'נוחה' יותר עבור השופט-הפרשן</w:t>
      </w:r>
      <w:r>
        <w:rPr>
          <w:rFonts w:hint="cs"/>
          <w:rtl/>
        </w:rPr>
        <w:t>.</w:t>
      </w:r>
      <w:r w:rsidRPr="00814903">
        <w:rPr>
          <w:rFonts w:hint="cs"/>
          <w:rtl/>
        </w:rPr>
        <w:t xml:space="preserve"> עם זאת, מובן שאין נובע מכך</w:t>
      </w:r>
      <w:r>
        <w:rPr>
          <w:rFonts w:hint="cs"/>
          <w:rtl/>
        </w:rPr>
        <w:t xml:space="preserve"> שניתן להוציא אל מחוץ לגדר את המשמעות המשתמעת, שגם באמצעותה מעביר המחוקק את מסריו: </w:t>
      </w:r>
      <w:r w:rsidRPr="003F6537">
        <w:rPr>
          <w:rFonts w:ascii="Century" w:hAnsi="Century" w:cs="Miriam" w:hint="cs"/>
          <w:b/>
          <w:spacing w:val="0"/>
          <w:sz w:val="22"/>
          <w:szCs w:val="24"/>
          <w:rtl/>
        </w:rPr>
        <w:t>"המשמעות המשתמעת היא חלק מהחוק באותה מידה שהמשמעות המפורשת היא חלק מהחוק. בחשיפת הפרשנות המשתמעת, אין השופט ממלא חסר (לאקונה) בחוק; הוא אך חושף מה שטמון בחוק 'בין השיטין'. [...] השופט רשאי</w:t>
      </w:r>
      <w:r w:rsidRPr="00C55EF4">
        <w:rPr>
          <w:rFonts w:ascii="Century" w:hAnsi="Century" w:hint="cs"/>
          <w:sz w:val="22"/>
          <w:rtl/>
        </w:rPr>
        <w:t xml:space="preserve"> </w:t>
      </w:r>
      <w:r w:rsidRPr="00C55EF4">
        <w:rPr>
          <w:rFonts w:ascii="Century" w:hAnsi="Century"/>
          <w:sz w:val="22"/>
          <w:rtl/>
        </w:rPr>
        <w:lastRenderedPageBreak/>
        <w:t>–</w:t>
      </w:r>
      <w:r w:rsidRPr="00C55EF4">
        <w:rPr>
          <w:rFonts w:ascii="Century" w:hAnsi="Century" w:cs="Miriam" w:hint="cs"/>
          <w:b/>
          <w:spacing w:val="0"/>
          <w:sz w:val="22"/>
          <w:szCs w:val="24"/>
          <w:rtl/>
        </w:rPr>
        <w:t xml:space="preserve"> </w:t>
      </w:r>
      <w:r w:rsidRPr="003F6537">
        <w:rPr>
          <w:rFonts w:ascii="Century" w:hAnsi="Century" w:cs="Miriam" w:hint="cs"/>
          <w:b/>
          <w:spacing w:val="0"/>
          <w:sz w:val="22"/>
          <w:szCs w:val="24"/>
          <w:rtl/>
        </w:rPr>
        <w:t xml:space="preserve">ואף חייב </w:t>
      </w:r>
      <w:r w:rsidRPr="00C55EF4">
        <w:rPr>
          <w:rFonts w:ascii="Century" w:hAnsi="Century"/>
          <w:sz w:val="22"/>
          <w:rtl/>
        </w:rPr>
        <w:t>–</w:t>
      </w:r>
      <w:r w:rsidRPr="003F6537">
        <w:rPr>
          <w:rFonts w:ascii="Century" w:hAnsi="Century" w:cs="Miriam" w:hint="cs"/>
          <w:b/>
          <w:spacing w:val="0"/>
          <w:sz w:val="22"/>
          <w:szCs w:val="24"/>
          <w:rtl/>
        </w:rPr>
        <w:t xml:space="preserve"> להסיק </w:t>
      </w:r>
      <w:r>
        <w:rPr>
          <w:rFonts w:ascii="Century" w:hAnsi="Century" w:cs="Miriam" w:hint="cs"/>
          <w:b/>
          <w:spacing w:val="0"/>
          <w:sz w:val="22"/>
          <w:szCs w:val="24"/>
          <w:rtl/>
        </w:rPr>
        <w:t>משמעות משתמע</w:t>
      </w:r>
      <w:r w:rsidRPr="003F6537">
        <w:rPr>
          <w:rFonts w:ascii="Century" w:hAnsi="Century" w:cs="Miriam" w:hint="cs"/>
          <w:b/>
          <w:spacing w:val="0"/>
          <w:sz w:val="22"/>
          <w:szCs w:val="24"/>
          <w:rtl/>
        </w:rPr>
        <w:t>ת בכל מקרה שהדבר מתבקש מהבנת הטקסט על רקע ההקשר"</w:t>
      </w:r>
      <w:r>
        <w:rPr>
          <w:rFonts w:hint="cs"/>
          <w:rtl/>
        </w:rPr>
        <w:t xml:space="preserve"> (</w:t>
      </w:r>
      <w:r w:rsidRPr="008C56DB">
        <w:rPr>
          <w:rFonts w:ascii="Century" w:hAnsi="Century" w:cs="Miriam" w:hint="cs"/>
          <w:b/>
          <w:spacing w:val="0"/>
          <w:sz w:val="22"/>
          <w:szCs w:val="24"/>
          <w:rtl/>
        </w:rPr>
        <w:t>ברק</w:t>
      </w:r>
      <w:r w:rsidRPr="00814903">
        <w:rPr>
          <w:rFonts w:hint="cs"/>
          <w:rtl/>
        </w:rPr>
        <w:t xml:space="preserve">, עמודים 112-110). הוא הדין גם לגבי סוג המשמעות המשתמעת שבו עסקינן </w:t>
      </w:r>
      <w:r w:rsidRPr="00814903">
        <w:rPr>
          <w:rtl/>
        </w:rPr>
        <w:t>–</w:t>
      </w:r>
      <w:r w:rsidRPr="00814903">
        <w:rPr>
          <w:rFonts w:hint="cs"/>
          <w:rtl/>
        </w:rPr>
        <w:t xml:space="preserve"> השתמ</w:t>
      </w:r>
      <w:r>
        <w:rPr>
          <w:rFonts w:hint="cs"/>
          <w:rtl/>
        </w:rPr>
        <w:t xml:space="preserve">עות שלילית, אשר </w:t>
      </w:r>
      <w:r w:rsidRPr="00067615">
        <w:rPr>
          <w:rFonts w:ascii="Century" w:hAnsi="Century" w:cs="Miriam" w:hint="cs"/>
          <w:b/>
          <w:spacing w:val="0"/>
          <w:sz w:val="22"/>
          <w:szCs w:val="24"/>
          <w:rtl/>
        </w:rPr>
        <w:t>"מתרחשת כאשר מהעניינים אשר המחוקק הסדירם בחוק מסוים, משתמע הסדר שונה לעניינים שלא הוסדרו בחוק"</w:t>
      </w:r>
      <w:r>
        <w:rPr>
          <w:rFonts w:hint="cs"/>
          <w:rtl/>
        </w:rPr>
        <w:t xml:space="preserve"> (</w:t>
      </w:r>
      <w:r w:rsidRPr="00067615">
        <w:rPr>
          <w:rFonts w:ascii="Century" w:hAnsi="Century" w:cs="Miriam" w:hint="cs"/>
          <w:b/>
          <w:spacing w:val="0"/>
          <w:sz w:val="22"/>
          <w:szCs w:val="24"/>
          <w:rtl/>
        </w:rPr>
        <w:t>שם</w:t>
      </w:r>
      <w:r>
        <w:rPr>
          <w:rFonts w:hint="cs"/>
          <w:rtl/>
        </w:rPr>
        <w:t>, עמוד 113). הבחינה אם כזה הוא ההסדר החקוק שניצב על הפרק, נעשית בהתאם לכללי הפרשנות הרגילים, כאשר השאלה היא אם שתיקתו של המחוקק היא מכוּונת, 'שתיקה מדעת', או שמא מדובר בהשמטה שאינה מדעת, המייצרת בחוק 'חלל' נורמטיבי, חֶסֶר הטעון השלמה (</w:t>
      </w:r>
      <w:r w:rsidRPr="00FE4038">
        <w:rPr>
          <w:rFonts w:hint="eastAsia"/>
          <w:rtl/>
        </w:rPr>
        <w:t>דנ</w:t>
      </w:r>
      <w:r w:rsidRPr="00FE4038">
        <w:rPr>
          <w:rtl/>
        </w:rPr>
        <w:t>"</w:t>
      </w:r>
      <w:r w:rsidRPr="00FE4038">
        <w:rPr>
          <w:rFonts w:hint="eastAsia"/>
          <w:rtl/>
        </w:rPr>
        <w:t>מ</w:t>
      </w:r>
      <w:r w:rsidRPr="00FE4038">
        <w:rPr>
          <w:rtl/>
        </w:rPr>
        <w:t xml:space="preserve"> 5519/15 </w:t>
      </w:r>
      <w:r w:rsidRPr="00FE4038">
        <w:rPr>
          <w:rFonts w:ascii="Century" w:hAnsi="Century" w:cs="Miriam" w:hint="eastAsia"/>
          <w:b/>
          <w:spacing w:val="0"/>
          <w:sz w:val="22"/>
          <w:szCs w:val="24"/>
          <w:rtl/>
        </w:rPr>
        <w:t>יונס</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נ</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מי</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הגליל</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תאגיד</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המים</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והביוב</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האזורי</w:t>
      </w:r>
      <w:r w:rsidRPr="00FE4038">
        <w:rPr>
          <w:rFonts w:ascii="Century" w:hAnsi="Century" w:cs="Miriam"/>
          <w:b/>
          <w:spacing w:val="0"/>
          <w:sz w:val="22"/>
          <w:szCs w:val="24"/>
          <w:rtl/>
        </w:rPr>
        <w:t xml:space="preserve"> </w:t>
      </w:r>
      <w:r w:rsidRPr="00FE4038">
        <w:rPr>
          <w:rFonts w:ascii="Century" w:hAnsi="Century" w:cs="Miriam" w:hint="eastAsia"/>
          <w:b/>
          <w:spacing w:val="0"/>
          <w:sz w:val="22"/>
          <w:szCs w:val="24"/>
          <w:rtl/>
        </w:rPr>
        <w:t>בע</w:t>
      </w:r>
      <w:r w:rsidRPr="00FE4038">
        <w:rPr>
          <w:rFonts w:ascii="Century" w:hAnsi="Century" w:cs="Miriam"/>
          <w:b/>
          <w:spacing w:val="0"/>
          <w:sz w:val="22"/>
          <w:szCs w:val="24"/>
          <w:rtl/>
        </w:rPr>
        <w:t>"</w:t>
      </w:r>
      <w:r w:rsidRPr="00FE4038">
        <w:rPr>
          <w:rFonts w:ascii="Century" w:hAnsi="Century" w:cs="Miriam" w:hint="eastAsia"/>
          <w:b/>
          <w:spacing w:val="0"/>
          <w:sz w:val="22"/>
          <w:szCs w:val="24"/>
          <w:rtl/>
        </w:rPr>
        <w:t>מ</w:t>
      </w:r>
      <w:r>
        <w:rPr>
          <w:rFonts w:hint="cs"/>
          <w:rtl/>
        </w:rPr>
        <w:t xml:space="preserve">, פסקה 32 לפסק הדין של הנשיאה </w:t>
      </w:r>
      <w:r w:rsidRPr="00FE4038">
        <w:rPr>
          <w:rFonts w:ascii="Century" w:hAnsi="Century" w:cs="Miriam" w:hint="cs"/>
          <w:b/>
          <w:spacing w:val="0"/>
          <w:sz w:val="22"/>
          <w:szCs w:val="24"/>
          <w:rtl/>
        </w:rPr>
        <w:t>א' חיות</w:t>
      </w:r>
      <w:r w:rsidRPr="00FE4038">
        <w:rPr>
          <w:rtl/>
        </w:rPr>
        <w:t xml:space="preserve"> (17.12.2019)</w:t>
      </w:r>
      <w:r>
        <w:rPr>
          <w:rFonts w:hint="cs"/>
          <w:rtl/>
        </w:rPr>
        <w:t xml:space="preserve">; </w:t>
      </w:r>
      <w:r w:rsidRPr="0034264E">
        <w:rPr>
          <w:rFonts w:hint="eastAsia"/>
          <w:rtl/>
        </w:rPr>
        <w:t>דנ</w:t>
      </w:r>
      <w:r w:rsidRPr="0034264E">
        <w:rPr>
          <w:rtl/>
        </w:rPr>
        <w:t>"</w:t>
      </w:r>
      <w:r w:rsidRPr="0034264E">
        <w:rPr>
          <w:rFonts w:hint="eastAsia"/>
          <w:rtl/>
        </w:rPr>
        <w:t>א</w:t>
      </w:r>
      <w:r w:rsidRPr="0034264E">
        <w:rPr>
          <w:rtl/>
        </w:rPr>
        <w:t xml:space="preserve"> 2308/15 </w:t>
      </w:r>
      <w:r w:rsidRPr="0034264E">
        <w:rPr>
          <w:rFonts w:ascii="Century" w:hAnsi="Century" w:cs="Miriam" w:hint="eastAsia"/>
          <w:b/>
          <w:spacing w:val="0"/>
          <w:sz w:val="22"/>
          <w:szCs w:val="24"/>
          <w:rtl/>
        </w:rPr>
        <w:t>פקיד</w:t>
      </w:r>
      <w:r w:rsidRPr="0034264E">
        <w:rPr>
          <w:rFonts w:ascii="Century" w:hAnsi="Century" w:cs="Miriam"/>
          <w:b/>
          <w:spacing w:val="0"/>
          <w:sz w:val="22"/>
          <w:szCs w:val="24"/>
          <w:rtl/>
        </w:rPr>
        <w:t xml:space="preserve"> </w:t>
      </w:r>
      <w:r w:rsidRPr="0034264E">
        <w:rPr>
          <w:rFonts w:ascii="Century" w:hAnsi="Century" w:cs="Miriam" w:hint="eastAsia"/>
          <w:b/>
          <w:spacing w:val="0"/>
          <w:sz w:val="22"/>
          <w:szCs w:val="24"/>
          <w:rtl/>
        </w:rPr>
        <w:t>השומה</w:t>
      </w:r>
      <w:r w:rsidRPr="0034264E">
        <w:rPr>
          <w:rFonts w:ascii="Century" w:hAnsi="Century" w:cs="Miriam"/>
          <w:b/>
          <w:spacing w:val="0"/>
          <w:sz w:val="22"/>
          <w:szCs w:val="24"/>
          <w:rtl/>
        </w:rPr>
        <w:t xml:space="preserve"> </w:t>
      </w:r>
      <w:r w:rsidRPr="0034264E">
        <w:rPr>
          <w:rFonts w:ascii="Century" w:hAnsi="Century" w:cs="Miriam" w:hint="eastAsia"/>
          <w:b/>
          <w:spacing w:val="0"/>
          <w:sz w:val="22"/>
          <w:szCs w:val="24"/>
          <w:rtl/>
        </w:rPr>
        <w:t>רחובות</w:t>
      </w:r>
      <w:r w:rsidRPr="0034264E">
        <w:rPr>
          <w:rFonts w:ascii="Century" w:hAnsi="Century" w:cs="Miriam"/>
          <w:b/>
          <w:spacing w:val="0"/>
          <w:sz w:val="22"/>
          <w:szCs w:val="24"/>
          <w:rtl/>
        </w:rPr>
        <w:t xml:space="preserve"> </w:t>
      </w:r>
      <w:r w:rsidRPr="0034264E">
        <w:rPr>
          <w:rFonts w:ascii="Century" w:hAnsi="Century" w:cs="Miriam" w:hint="eastAsia"/>
          <w:b/>
          <w:spacing w:val="0"/>
          <w:sz w:val="22"/>
          <w:szCs w:val="24"/>
          <w:rtl/>
        </w:rPr>
        <w:t>נ</w:t>
      </w:r>
      <w:r w:rsidRPr="0034264E">
        <w:rPr>
          <w:rFonts w:ascii="Century" w:hAnsi="Century" w:cs="Miriam"/>
          <w:b/>
          <w:spacing w:val="0"/>
          <w:sz w:val="22"/>
          <w:szCs w:val="24"/>
          <w:rtl/>
        </w:rPr>
        <w:t xml:space="preserve">' </w:t>
      </w:r>
      <w:r w:rsidRPr="0034264E">
        <w:rPr>
          <w:rFonts w:ascii="Century" w:hAnsi="Century" w:cs="Miriam" w:hint="eastAsia"/>
          <w:b/>
          <w:spacing w:val="0"/>
          <w:sz w:val="22"/>
          <w:szCs w:val="24"/>
          <w:rtl/>
        </w:rPr>
        <w:t>דמארי</w:t>
      </w:r>
      <w:r>
        <w:rPr>
          <w:rFonts w:hint="cs"/>
          <w:rtl/>
        </w:rPr>
        <w:t xml:space="preserve">, פסקאות 22-21 לפסק הדין של הנשיאה </w:t>
      </w:r>
      <w:r w:rsidRPr="0034264E">
        <w:rPr>
          <w:rFonts w:ascii="Century" w:hAnsi="Century" w:cs="Miriam" w:hint="cs"/>
          <w:b/>
          <w:spacing w:val="0"/>
          <w:sz w:val="22"/>
          <w:szCs w:val="24"/>
          <w:rtl/>
        </w:rPr>
        <w:t>נאור</w:t>
      </w:r>
      <w:r w:rsidRPr="0034264E">
        <w:rPr>
          <w:rtl/>
        </w:rPr>
        <w:t xml:space="preserve"> (12</w:t>
      </w:r>
      <w:r>
        <w:rPr>
          <w:rFonts w:hint="cs"/>
          <w:rtl/>
        </w:rPr>
        <w:t>.</w:t>
      </w:r>
      <w:r w:rsidRPr="0034264E">
        <w:rPr>
          <w:rtl/>
        </w:rPr>
        <w:t>9.2017)</w:t>
      </w:r>
      <w:r>
        <w:rPr>
          <w:rFonts w:hint="cs"/>
          <w:rtl/>
        </w:rPr>
        <w:t xml:space="preserve"> והאסמכתאות שם). בדנן, משהתייחס המחוקק בפירוש לסוגיית מותו של מעביר שבות, אך עשה כן בהתייחס ליהודי בלבד, וקבע לגביה את אשר קבע, עמדתי היא שלפנינו שתיקה מדעת, בכל הנוגע למותו של זכאי השבות, ואין עסקינן ב'הוראת זהירות' שהשתבשה או </w:t>
      </w:r>
      <w:r w:rsidRPr="00B46751">
        <w:rPr>
          <w:rFonts w:hint="cs"/>
          <w:rtl/>
        </w:rPr>
        <w:t>ב</w:t>
      </w:r>
      <w:r w:rsidRPr="00B46751">
        <w:rPr>
          <w:rFonts w:ascii="Century" w:hAnsi="Century" w:cs="Miriam" w:hint="cs"/>
          <w:b/>
          <w:spacing w:val="0"/>
          <w:sz w:val="22"/>
          <w:szCs w:val="24"/>
          <w:rtl/>
        </w:rPr>
        <w:t>"'</w:t>
      </w:r>
      <w:r w:rsidRPr="00B46751">
        <w:rPr>
          <w:rFonts w:ascii="Century" w:hAnsi="Century" w:cs="Miriam"/>
          <w:b/>
          <w:spacing w:val="0"/>
          <w:sz w:val="22"/>
          <w:szCs w:val="24"/>
          <w:rtl/>
        </w:rPr>
        <w:t>תקלה חקיקתית</w:t>
      </w:r>
      <w:r w:rsidRPr="00B46751">
        <w:rPr>
          <w:rFonts w:ascii="Century" w:hAnsi="Century" w:cs="Miriam" w:hint="cs"/>
          <w:b/>
          <w:spacing w:val="0"/>
          <w:sz w:val="22"/>
          <w:szCs w:val="24"/>
          <w:rtl/>
        </w:rPr>
        <w:t>'</w:t>
      </w:r>
      <w:r w:rsidRPr="00B46751">
        <w:rPr>
          <w:rFonts w:ascii="Century" w:hAnsi="Century" w:cs="Miriam"/>
          <w:b/>
          <w:spacing w:val="0"/>
          <w:sz w:val="22"/>
          <w:szCs w:val="24"/>
          <w:rtl/>
        </w:rPr>
        <w:t xml:space="preserve"> כלשהי כגון שכחה או חוסר תשומת לב</w:t>
      </w:r>
      <w:r w:rsidRPr="00B46751">
        <w:rPr>
          <w:rFonts w:ascii="Century" w:hAnsi="Century" w:cs="Miriam" w:hint="cs"/>
          <w:b/>
          <w:spacing w:val="0"/>
          <w:sz w:val="22"/>
          <w:szCs w:val="24"/>
          <w:rtl/>
        </w:rPr>
        <w:t>"</w:t>
      </w:r>
      <w:r w:rsidRPr="00B46751">
        <w:rPr>
          <w:rFonts w:hint="cs"/>
          <w:rtl/>
        </w:rPr>
        <w:t>, כדברי</w:t>
      </w:r>
      <w:r>
        <w:rPr>
          <w:rFonts w:hint="cs"/>
          <w:rtl/>
        </w:rPr>
        <w:t xml:space="preserve"> חברי, מ"מ הנשיא (וראו גם: ע"פ 406/69 </w:t>
      </w:r>
      <w:r w:rsidRPr="00B46751">
        <w:rPr>
          <w:rFonts w:ascii="Century" w:hAnsi="Century" w:cs="Miriam" w:hint="cs"/>
          <w:b/>
          <w:spacing w:val="0"/>
          <w:sz w:val="22"/>
          <w:szCs w:val="24"/>
          <w:rtl/>
        </w:rPr>
        <w:t>ברנדל נ' מדינת ישראל</w:t>
      </w:r>
      <w:r>
        <w:rPr>
          <w:rFonts w:hint="cs"/>
          <w:rtl/>
        </w:rPr>
        <w:t>, פ"ד כד(1) 210, 212 (1970</w:t>
      </w:r>
      <w:r w:rsidRPr="00814903">
        <w:rPr>
          <w:rFonts w:hint="cs"/>
          <w:rtl/>
        </w:rPr>
        <w:t xml:space="preserve">); </w:t>
      </w:r>
      <w:r w:rsidRPr="00814903">
        <w:rPr>
          <w:rFonts w:ascii="Century" w:hAnsi="Century" w:cs="Miriam" w:hint="cs"/>
          <w:b/>
          <w:spacing w:val="0"/>
          <w:sz w:val="22"/>
          <w:szCs w:val="24"/>
          <w:rtl/>
        </w:rPr>
        <w:t>ברק</w:t>
      </w:r>
      <w:r w:rsidRPr="00E50804">
        <w:rPr>
          <w:rFonts w:ascii="Century" w:hAnsi="Century" w:hint="cs"/>
          <w:sz w:val="22"/>
          <w:rtl/>
        </w:rPr>
        <w:t>,</w:t>
      </w:r>
      <w:r>
        <w:rPr>
          <w:rFonts w:ascii="Century" w:hAnsi="Century" w:cs="Miriam" w:hint="cs"/>
          <w:b/>
          <w:spacing w:val="0"/>
          <w:sz w:val="22"/>
          <w:szCs w:val="24"/>
          <w:rtl/>
        </w:rPr>
        <w:t xml:space="preserve"> </w:t>
      </w:r>
      <w:r w:rsidRPr="00814903">
        <w:rPr>
          <w:rFonts w:hint="cs"/>
          <w:rtl/>
        </w:rPr>
        <w:t>עמודים 115-114</w:t>
      </w:r>
      <w:r>
        <w:rPr>
          <w:rFonts w:hint="cs"/>
          <w:rtl/>
        </w:rPr>
        <w:t xml:space="preserve">, 599-597). </w:t>
      </w:r>
    </w:p>
    <w:p w:rsidR="00872589" w:rsidRDefault="00872589" w:rsidP="00872589">
      <w:pPr>
        <w:pStyle w:val="Ruller41"/>
        <w:rPr>
          <w:rtl/>
        </w:rPr>
      </w:pPr>
    </w:p>
    <w:p w:rsidR="00872589" w:rsidRPr="00DE44D4" w:rsidRDefault="00872589" w:rsidP="00872589">
      <w:pPr>
        <w:pStyle w:val="Ruller4"/>
        <w:textAlignment w:val="baseline"/>
      </w:pPr>
      <w:r>
        <w:rPr>
          <w:rFonts w:hint="cs"/>
          <w:rtl/>
        </w:rPr>
        <w:t xml:space="preserve">זאת ועוד. גילוי הדעת המתואר של המחוקק, שמצא לנכון לעגן במפורש את ההוראה שלפיה למות היהודי </w:t>
      </w:r>
      <w:r w:rsidRPr="009040E9">
        <w:rPr>
          <w:rFonts w:hint="cs"/>
          <w:rtl/>
        </w:rPr>
        <w:t>'אין נפקא מינה' ביחס לזכויות הבאים מכוחו, מלמדנו גם על המשמעות שייחס המחוקק עצמו</w:t>
      </w:r>
      <w:r>
        <w:rPr>
          <w:rFonts w:hint="cs"/>
          <w:rtl/>
        </w:rPr>
        <w:t xml:space="preserve"> למונח 'בן זוג' שבסעיף 4א(א). כך, אילו סבר המחוקק כי מונח זה כולל, כבר כשלעצמו, גם את האלמן, חזקה עליו שלא היה משחית מילותיו לריק ומבהיר, בכל זאת, כי מות היהודי אינו מעלה ואינו מוריד (לגבי חזקה זו, ראו: </w:t>
      </w:r>
      <w:r w:rsidRPr="0094354B">
        <w:rPr>
          <w:rFonts w:hint="eastAsia"/>
          <w:rtl/>
        </w:rPr>
        <w:t>עע</w:t>
      </w:r>
      <w:r w:rsidRPr="0094354B">
        <w:rPr>
          <w:rtl/>
        </w:rPr>
        <w:t>"</w:t>
      </w:r>
      <w:r w:rsidRPr="0094354B">
        <w:rPr>
          <w:rFonts w:hint="eastAsia"/>
          <w:rtl/>
        </w:rPr>
        <w:t>מ</w:t>
      </w:r>
      <w:r w:rsidRPr="0094354B">
        <w:rPr>
          <w:rtl/>
        </w:rPr>
        <w:t xml:space="preserve"> 4105/09</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עיריית</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חיפה</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נ</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עמותת</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העדה</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היהודית</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הספרדית</w:t>
      </w:r>
      <w:r w:rsidRPr="0094354B">
        <w:rPr>
          <w:rFonts w:ascii="Century" w:hAnsi="Century" w:cs="Miriam"/>
          <w:b/>
          <w:spacing w:val="0"/>
          <w:sz w:val="22"/>
          <w:szCs w:val="24"/>
          <w:rtl/>
        </w:rPr>
        <w:t xml:space="preserve"> </w:t>
      </w:r>
      <w:r w:rsidRPr="0094354B">
        <w:rPr>
          <w:rFonts w:ascii="Century" w:hAnsi="Century" w:cs="Miriam" w:hint="eastAsia"/>
          <w:b/>
          <w:spacing w:val="0"/>
          <w:sz w:val="22"/>
          <w:szCs w:val="24"/>
          <w:rtl/>
        </w:rPr>
        <w:t>בחיפה</w:t>
      </w:r>
      <w:r>
        <w:rPr>
          <w:rFonts w:hint="cs"/>
          <w:rtl/>
        </w:rPr>
        <w:t>, פסקה 47</w:t>
      </w:r>
      <w:r w:rsidRPr="0094354B">
        <w:rPr>
          <w:rtl/>
        </w:rPr>
        <w:t xml:space="preserve"> (</w:t>
      </w:r>
      <w:r>
        <w:rPr>
          <w:rFonts w:hint="cs"/>
          <w:rtl/>
        </w:rPr>
        <w:t>2.2</w:t>
      </w:r>
      <w:r w:rsidRPr="0094354B">
        <w:rPr>
          <w:rtl/>
        </w:rPr>
        <w:t>.2012)</w:t>
      </w:r>
      <w:r>
        <w:rPr>
          <w:rFonts w:hint="cs"/>
          <w:rtl/>
        </w:rPr>
        <w:t xml:space="preserve">; </w:t>
      </w:r>
      <w:r w:rsidRPr="008C56DB">
        <w:rPr>
          <w:rFonts w:hint="eastAsia"/>
          <w:rtl/>
        </w:rPr>
        <w:t>ע</w:t>
      </w:r>
      <w:r w:rsidRPr="008C56DB">
        <w:rPr>
          <w:rtl/>
        </w:rPr>
        <w:t>"</w:t>
      </w:r>
      <w:r w:rsidRPr="008C56DB">
        <w:rPr>
          <w:rFonts w:hint="eastAsia"/>
          <w:rtl/>
        </w:rPr>
        <w:t>א</w:t>
      </w:r>
      <w:r w:rsidRPr="008C56DB">
        <w:rPr>
          <w:rtl/>
        </w:rPr>
        <w:t xml:space="preserve"> 461/61 </w:t>
      </w:r>
      <w:r w:rsidRPr="008C56DB">
        <w:rPr>
          <w:rFonts w:ascii="Century" w:hAnsi="Century" w:cs="Miriam" w:hint="eastAsia"/>
          <w:b/>
          <w:spacing w:val="0"/>
          <w:sz w:val="22"/>
          <w:szCs w:val="24"/>
          <w:rtl/>
        </w:rPr>
        <w:t>מנהל</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אגף</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המכס</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והבלו</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נ</w:t>
      </w:r>
      <w:r w:rsidRPr="008C56DB">
        <w:rPr>
          <w:rFonts w:ascii="Century" w:hAnsi="Century" w:cs="Miriam"/>
          <w:b/>
          <w:spacing w:val="0"/>
          <w:sz w:val="22"/>
          <w:szCs w:val="24"/>
          <w:rtl/>
        </w:rPr>
        <w:t xml:space="preserve">' </w:t>
      </w:r>
      <w:r w:rsidRPr="008C56DB">
        <w:rPr>
          <w:rFonts w:ascii="Century" w:hAnsi="Century" w:cs="Miriam" w:hint="eastAsia"/>
          <w:b/>
          <w:spacing w:val="0"/>
          <w:sz w:val="22"/>
          <w:szCs w:val="24"/>
          <w:rtl/>
        </w:rPr>
        <w:t>לוינסון</w:t>
      </w:r>
      <w:r w:rsidRPr="008C56DB">
        <w:rPr>
          <w:rtl/>
        </w:rPr>
        <w:t xml:space="preserve">, </w:t>
      </w:r>
      <w:r w:rsidRPr="008C56DB">
        <w:rPr>
          <w:rFonts w:hint="eastAsia"/>
          <w:rtl/>
        </w:rPr>
        <w:t>פ</w:t>
      </w:r>
      <w:r w:rsidRPr="008C56DB">
        <w:rPr>
          <w:rtl/>
        </w:rPr>
        <w:t>"</w:t>
      </w:r>
      <w:r w:rsidRPr="008C56DB">
        <w:rPr>
          <w:rFonts w:hint="eastAsia"/>
          <w:rtl/>
        </w:rPr>
        <w:t>ד</w:t>
      </w:r>
      <w:r w:rsidRPr="008C56DB">
        <w:rPr>
          <w:rtl/>
        </w:rPr>
        <w:t xml:space="preserve"> </w:t>
      </w:r>
      <w:r w:rsidRPr="008C56DB">
        <w:rPr>
          <w:rFonts w:hint="eastAsia"/>
          <w:rtl/>
        </w:rPr>
        <w:t>טו</w:t>
      </w:r>
      <w:r w:rsidRPr="008C56DB">
        <w:rPr>
          <w:rtl/>
        </w:rPr>
        <w:t xml:space="preserve">(3) 2226, 2236 (1961); </w:t>
      </w:r>
      <w:r w:rsidRPr="008C56DB">
        <w:rPr>
          <w:rFonts w:ascii="Century" w:hAnsi="Century" w:cs="Miriam" w:hint="cs"/>
          <w:b/>
          <w:spacing w:val="0"/>
          <w:sz w:val="22"/>
          <w:szCs w:val="24"/>
          <w:rtl/>
        </w:rPr>
        <w:t>ברק</w:t>
      </w:r>
      <w:r w:rsidRPr="008C56DB">
        <w:rPr>
          <w:rtl/>
        </w:rPr>
        <w:t xml:space="preserve">, </w:t>
      </w:r>
      <w:r>
        <w:rPr>
          <w:rFonts w:hint="cs"/>
          <w:rtl/>
        </w:rPr>
        <w:t xml:space="preserve">עמודים </w:t>
      </w:r>
      <w:r w:rsidRPr="008C56DB">
        <w:rPr>
          <w:rtl/>
        </w:rPr>
        <w:t>59</w:t>
      </w:r>
      <w:r>
        <w:rPr>
          <w:rFonts w:hint="cs"/>
          <w:rtl/>
        </w:rPr>
        <w:t>9</w:t>
      </w:r>
      <w:r w:rsidRPr="008C56DB">
        <w:rPr>
          <w:rtl/>
        </w:rPr>
        <w:t>-59</w:t>
      </w:r>
      <w:r>
        <w:rPr>
          <w:rFonts w:hint="cs"/>
          <w:rtl/>
        </w:rPr>
        <w:t xml:space="preserve">5). ומן הכיוון ההפוך: בחירת המחוקק לציין בפירוש כי למות </w:t>
      </w:r>
      <w:r w:rsidRPr="00303B98">
        <w:rPr>
          <w:rFonts w:ascii="Century" w:hAnsi="Century" w:cs="Miriam" w:hint="eastAsia"/>
          <w:b/>
          <w:spacing w:val="0"/>
          <w:sz w:val="22"/>
          <w:szCs w:val="24"/>
          <w:rtl/>
        </w:rPr>
        <w:t>היהודי</w:t>
      </w:r>
      <w:r w:rsidRPr="00252049">
        <w:rPr>
          <w:rFonts w:hint="cs"/>
          <w:rtl/>
        </w:rPr>
        <w:t xml:space="preserve"> </w:t>
      </w:r>
      <w:r>
        <w:rPr>
          <w:rFonts w:hint="cs"/>
          <w:rtl/>
        </w:rPr>
        <w:t xml:space="preserve">אין השפעה על זכאותם של הבאים מכוחו, מלמדתנו כי לגבי זכאֵי השבות </w:t>
      </w:r>
      <w:r>
        <w:rPr>
          <w:rtl/>
        </w:rPr>
        <w:t>–</w:t>
      </w:r>
      <w:r>
        <w:rPr>
          <w:rFonts w:hint="cs"/>
          <w:rtl/>
        </w:rPr>
        <w:t xml:space="preserve"> בהעדר קביעה דומה </w:t>
      </w:r>
      <w:r>
        <w:rPr>
          <w:rtl/>
        </w:rPr>
        <w:t>–</w:t>
      </w:r>
      <w:r>
        <w:rPr>
          <w:rFonts w:hint="cs"/>
          <w:rtl/>
        </w:rPr>
        <w:t xml:space="preserve"> המונח 'בן זוג' שבסעיף 4א(א) לחוק, </w:t>
      </w:r>
      <w:r w:rsidRPr="007E56FA">
        <w:rPr>
          <w:rFonts w:ascii="Century" w:hAnsi="Century" w:cs="Miriam" w:hint="cs"/>
          <w:b/>
          <w:spacing w:val="0"/>
          <w:sz w:val="22"/>
          <w:szCs w:val="24"/>
          <w:rtl/>
        </w:rPr>
        <w:t>אינו</w:t>
      </w:r>
      <w:r w:rsidRPr="007E56FA">
        <w:rPr>
          <w:rFonts w:hint="cs"/>
          <w:rtl/>
        </w:rPr>
        <w:t xml:space="preserve"> </w:t>
      </w:r>
      <w:r>
        <w:rPr>
          <w:rFonts w:hint="cs"/>
          <w:rtl/>
        </w:rPr>
        <w:t xml:space="preserve">כולל את האלמן (לעניין פרשנותו של סעיף חוק על-פי סביבתו, ראו למשל דברי </w:t>
      </w:r>
      <w:r w:rsidRPr="002E4F0C">
        <w:rPr>
          <w:rFonts w:hint="cs"/>
          <w:rtl/>
        </w:rPr>
        <w:t xml:space="preserve">השופט </w:t>
      </w:r>
      <w:r w:rsidRPr="002E4F0C">
        <w:rPr>
          <w:rFonts w:ascii="Century" w:hAnsi="Century" w:cs="Miriam" w:hint="cs"/>
          <w:b/>
          <w:spacing w:val="0"/>
          <w:szCs w:val="24"/>
          <w:rtl/>
        </w:rPr>
        <w:t>ח' כהן</w:t>
      </w:r>
      <w:r w:rsidRPr="002E4F0C">
        <w:rPr>
          <w:rFonts w:hint="cs"/>
          <w:rtl/>
        </w:rPr>
        <w:t xml:space="preserve"> בע"פ 428/74 </w:t>
      </w:r>
      <w:r w:rsidRPr="002E4F0C">
        <w:rPr>
          <w:rFonts w:ascii="Century" w:hAnsi="Century" w:cs="Miriam" w:hint="cs"/>
          <w:b/>
          <w:spacing w:val="0"/>
          <w:szCs w:val="24"/>
          <w:rtl/>
        </w:rPr>
        <w:t>דבש נ' עיריית ירושלים</w:t>
      </w:r>
      <w:r w:rsidRPr="002E4F0C">
        <w:rPr>
          <w:rFonts w:hint="cs"/>
          <w:rtl/>
        </w:rPr>
        <w:t xml:space="preserve">, פ"ד כט(2) 23, 25 (1975): </w:t>
      </w:r>
      <w:r w:rsidRPr="002E4F0C">
        <w:rPr>
          <w:rFonts w:ascii="Century" w:hAnsi="Century" w:cs="Miriam" w:hint="cs"/>
          <w:b/>
          <w:spacing w:val="0"/>
          <w:szCs w:val="24"/>
          <w:rtl/>
        </w:rPr>
        <w:t>"כלל גדול הוא שיש לפרש חוק [...] כחטיבה שלמה אחת [...] 'הפרשנות הטבעית ביותר והנכונה ביותר של חוק היא לפרש חלקו האחד על-ידי חלק אחר של אותו החוק, כי בכך מובעת על הצד הטוב ביותר כוונת המחוקק [...]'"</w:t>
      </w:r>
      <w:r w:rsidRPr="002E4F0C">
        <w:rPr>
          <w:rFonts w:hint="cs"/>
          <w:rtl/>
        </w:rPr>
        <w:t xml:space="preserve">; </w:t>
      </w:r>
      <w:r w:rsidRPr="002E4F0C">
        <w:rPr>
          <w:rFonts w:ascii="Century" w:hAnsi="Century" w:cs="Miriam" w:hint="cs"/>
          <w:b/>
          <w:spacing w:val="0"/>
          <w:szCs w:val="24"/>
          <w:rtl/>
        </w:rPr>
        <w:t>ברק</w:t>
      </w:r>
      <w:r w:rsidRPr="002E4F0C">
        <w:rPr>
          <w:rFonts w:hint="cs"/>
          <w:rtl/>
        </w:rPr>
        <w:t>, עמודים 108-106).</w:t>
      </w:r>
      <w:r>
        <w:rPr>
          <w:rFonts w:hint="cs"/>
          <w:rtl/>
        </w:rPr>
        <w:t xml:space="preserve"> </w:t>
      </w:r>
    </w:p>
    <w:p w:rsidR="00872589" w:rsidRDefault="00872589" w:rsidP="00872589">
      <w:pPr>
        <w:pStyle w:val="Ruller4"/>
        <w:numPr>
          <w:ilvl w:val="0"/>
          <w:numId w:val="0"/>
        </w:numPr>
        <w:rPr>
          <w:rtl/>
        </w:rPr>
      </w:pPr>
    </w:p>
    <w:p w:rsidR="00872589" w:rsidRDefault="00872589" w:rsidP="00872589">
      <w:pPr>
        <w:pStyle w:val="Ruller4"/>
        <w:textAlignment w:val="baseline"/>
        <w:rPr>
          <w:rtl/>
        </w:rPr>
      </w:pPr>
      <w:r>
        <w:rPr>
          <w:rFonts w:hint="cs"/>
          <w:rtl/>
        </w:rPr>
        <w:t xml:space="preserve">סיכומו של דבר: מקובלת עלי טענת המבקשים, שלפיה כבר לשון החוק מטה לשלילת האפשרות הפרשנית שבה מצדדים המשיבים. אין מדובר אפוא באחד מן המקרים </w:t>
      </w:r>
      <w:r>
        <w:rPr>
          <w:rFonts w:hint="cs"/>
          <w:rtl/>
        </w:rPr>
        <w:lastRenderedPageBreak/>
        <w:t xml:space="preserve">שבהם חסך מעמנו המחוקק את משמעותו ומובנו של המונח 'בן זוג', אלא להפך </w:t>
      </w:r>
      <w:r>
        <w:rPr>
          <w:rtl/>
        </w:rPr>
        <w:t>–</w:t>
      </w:r>
      <w:r>
        <w:rPr>
          <w:rFonts w:hint="cs"/>
          <w:rtl/>
        </w:rPr>
        <w:t xml:space="preserve"> מצויה לנו התייחסות מפורשת לסוג הקשר והזוגיות שניצבים על הפרק, כאשר התייחסות זו ניתנה בעניין היהודי לבדו, אך לא </w:t>
      </w:r>
      <w:r w:rsidRPr="00A67A11">
        <w:rPr>
          <w:rFonts w:hint="cs"/>
          <w:rtl/>
        </w:rPr>
        <w:t>לגבי זכאֵי השבות</w:t>
      </w:r>
      <w:r>
        <w:rPr>
          <w:rFonts w:hint="cs"/>
          <w:rtl/>
        </w:rPr>
        <w:t xml:space="preserve">. משמעות הדבר היא, לעמדתי, כי יש לפרש את החוק כמתווה הסדר שלילי בכל הנוגע לאחרונים </w:t>
      </w:r>
      <w:r>
        <w:rPr>
          <w:rtl/>
        </w:rPr>
        <w:t>–</w:t>
      </w:r>
      <w:r>
        <w:rPr>
          <w:rFonts w:hint="cs"/>
          <w:rtl/>
        </w:rPr>
        <w:t xml:space="preserve"> הסדר המורנו כי משעה שמת זכַּאי השבות, פגה זכאותו של בן הזוג הבא מכוחו. </w:t>
      </w:r>
    </w:p>
    <w:p w:rsidR="00872589" w:rsidRDefault="00872589" w:rsidP="00872589">
      <w:pPr>
        <w:pStyle w:val="Ruller41"/>
        <w:rPr>
          <w:rtl/>
        </w:rPr>
      </w:pPr>
    </w:p>
    <w:p w:rsidR="00872589" w:rsidRDefault="00872589" w:rsidP="00872589">
      <w:pPr>
        <w:pStyle w:val="Ruller4"/>
        <w:numPr>
          <w:ilvl w:val="0"/>
          <w:numId w:val="0"/>
        </w:numPr>
      </w:pPr>
      <w:r>
        <w:rPr>
          <w:rtl/>
        </w:rPr>
        <w:tab/>
      </w:r>
      <w:r>
        <w:rPr>
          <w:rFonts w:hint="cs"/>
          <w:rtl/>
        </w:rPr>
        <w:t xml:space="preserve">למעשה, די באמור על מנת להביא את דרכנו הפרשנית אל סופה, שכן כנזכר, </w:t>
      </w:r>
      <w:r w:rsidRPr="00FE78C3">
        <w:rPr>
          <w:rFonts w:ascii="Century" w:hAnsi="Century" w:cs="Miriam" w:hint="cs"/>
          <w:b/>
          <w:spacing w:val="0"/>
          <w:szCs w:val="24"/>
          <w:rtl/>
        </w:rPr>
        <w:t>"אין ליתן ללשון החוק משמעות שהיא אינה יכולה לסבול</w:t>
      </w:r>
      <w:r>
        <w:rPr>
          <w:rFonts w:ascii="Century" w:hAnsi="Century" w:cs="Miriam" w:hint="cs"/>
          <w:b/>
          <w:spacing w:val="0"/>
          <w:szCs w:val="24"/>
          <w:rtl/>
        </w:rPr>
        <w:t>"</w:t>
      </w:r>
      <w:r w:rsidRPr="00FE78C3">
        <w:rPr>
          <w:rFonts w:ascii="Century" w:hAnsi="Century" w:cs="Miriam" w:hint="cs"/>
          <w:b/>
          <w:spacing w:val="0"/>
          <w:szCs w:val="24"/>
          <w:rtl/>
        </w:rPr>
        <w:t xml:space="preserve"> </w:t>
      </w:r>
      <w:r>
        <w:rPr>
          <w:rtl/>
        </w:rPr>
        <w:t>–</w:t>
      </w:r>
      <w:r>
        <w:rPr>
          <w:rFonts w:hint="cs"/>
          <w:rtl/>
        </w:rPr>
        <w:t xml:space="preserve"> כלל שיסודו ב</w:t>
      </w:r>
      <w:r w:rsidRPr="00A851B0">
        <w:rPr>
          <w:rFonts w:ascii="Century" w:hAnsi="Century" w:cs="Miriam" w:hint="cs"/>
          <w:b/>
          <w:spacing w:val="0"/>
          <w:szCs w:val="24"/>
          <w:rtl/>
        </w:rPr>
        <w:t>"עקרונות חוקתיים של דמוקרטיה, הפרדת רשויות, מבנה חוקתי ושיטתי, שלטון החוק ואמון הציבור בשפיטה"</w:t>
      </w:r>
      <w:r>
        <w:rPr>
          <w:rFonts w:hint="cs"/>
          <w:rtl/>
        </w:rPr>
        <w:t xml:space="preserve"> (</w:t>
      </w:r>
      <w:r w:rsidRPr="008C56DB">
        <w:rPr>
          <w:rFonts w:ascii="Century" w:hAnsi="Century" w:cs="Miriam" w:hint="cs"/>
          <w:b/>
          <w:spacing w:val="0"/>
          <w:sz w:val="22"/>
          <w:szCs w:val="24"/>
          <w:rtl/>
        </w:rPr>
        <w:t>ברק</w:t>
      </w:r>
      <w:r w:rsidRPr="00814903">
        <w:rPr>
          <w:rFonts w:hint="cs"/>
          <w:rtl/>
        </w:rPr>
        <w:t>, עמודים 98-97</w:t>
      </w:r>
      <w:r>
        <w:rPr>
          <w:rFonts w:hint="cs"/>
          <w:rtl/>
        </w:rPr>
        <w:t xml:space="preserve">). אכן, לגבי דידי, ניתן היה לעצור את המסע הפרשני כבר בנקודה זו. ואולם, המשיבים טוענים כי סעיף 4א(ב) אינו יוצר הסדר שלילי, לגבי מקרה של מות אחד מזכאֵי השבות, ואת עמדתם זו מקבל חברִי מ"מ הנשיא, בדומה לשופטי הרוב בפסק הדין נושא הדיון הנוסף </w:t>
      </w:r>
      <w:r>
        <w:rPr>
          <w:rtl/>
        </w:rPr>
        <w:t>–</w:t>
      </w:r>
      <w:r>
        <w:rPr>
          <w:rFonts w:hint="cs"/>
          <w:rtl/>
        </w:rPr>
        <w:t xml:space="preserve"> כל אחד מטעמים שונים קמעא. המשיבים </w:t>
      </w:r>
      <w:r>
        <w:rPr>
          <w:rtl/>
        </w:rPr>
        <w:t>–</w:t>
      </w:r>
      <w:r>
        <w:rPr>
          <w:rFonts w:hint="cs"/>
          <w:rtl/>
        </w:rPr>
        <w:t xml:space="preserve"> שאת עמדתם קיבלה חברתי, השופטת (בדימ') </w:t>
      </w:r>
      <w:r w:rsidRPr="009040E9">
        <w:rPr>
          <w:rFonts w:ascii="Century" w:hAnsi="Century" w:cs="Miriam" w:hint="eastAsia"/>
          <w:b/>
          <w:spacing w:val="0"/>
          <w:sz w:val="22"/>
          <w:szCs w:val="24"/>
          <w:rtl/>
        </w:rPr>
        <w:t>ע</w:t>
      </w:r>
      <w:r w:rsidRPr="009040E9">
        <w:rPr>
          <w:rFonts w:ascii="Century" w:hAnsi="Century" w:cs="Miriam"/>
          <w:b/>
          <w:spacing w:val="0"/>
          <w:sz w:val="22"/>
          <w:szCs w:val="24"/>
          <w:rtl/>
        </w:rPr>
        <w:t xml:space="preserve">' </w:t>
      </w:r>
      <w:r w:rsidRPr="009040E9">
        <w:rPr>
          <w:rFonts w:ascii="Century" w:hAnsi="Century" w:cs="Miriam" w:hint="eastAsia"/>
          <w:b/>
          <w:spacing w:val="0"/>
          <w:sz w:val="22"/>
          <w:szCs w:val="24"/>
          <w:rtl/>
        </w:rPr>
        <w:t>ברון</w:t>
      </w:r>
      <w:r>
        <w:rPr>
          <w:rFonts w:hint="cs"/>
          <w:rtl/>
        </w:rPr>
        <w:t xml:space="preserve">, בפסק הדין נושא הדיון הנוסף </w:t>
      </w:r>
      <w:r>
        <w:rPr>
          <w:rtl/>
        </w:rPr>
        <w:t>–</w:t>
      </w:r>
      <w:r>
        <w:rPr>
          <w:rFonts w:hint="cs"/>
          <w:rtl/>
        </w:rPr>
        <w:t xml:space="preserve"> מנמקים גישה זו, בעיקרו של דבר, בשלילת ההשקפה שלפיה זכאות בן הזוג 'עוברת דרך' זכאי השבות, או נחותה בדרגתה ביחס לזכאותו של האחרון. על-פי שיטה זו, לכל אחד מן המנויים בסעיף 4א(א) </w:t>
      </w:r>
      <w:r w:rsidRPr="007D0503">
        <w:rPr>
          <w:rFonts w:ascii="Century" w:hAnsi="Century" w:cs="Miriam" w:hint="cs"/>
          <w:b/>
          <w:spacing w:val="0"/>
          <w:sz w:val="22"/>
          <w:szCs w:val="24"/>
          <w:rtl/>
        </w:rPr>
        <w:t>"זכויות עצמאיות לא מדורגות"</w:t>
      </w:r>
      <w:r>
        <w:rPr>
          <w:rFonts w:hint="cs"/>
          <w:rtl/>
        </w:rPr>
        <w:t xml:space="preserve"> לשבות, כך שגם את זכויות בני זוגם של זכאֵי השבות, יש לראות ככאלה שמגיעות אליהם ישירות מן היהודי. מטעם זה, אותן זכויות עצמאיות, לא תושפענה מ'מותו של השליח' </w:t>
      </w:r>
      <w:r>
        <w:rPr>
          <w:rtl/>
        </w:rPr>
        <w:t>–</w:t>
      </w:r>
      <w:r>
        <w:rPr>
          <w:rFonts w:hint="cs"/>
          <w:rtl/>
        </w:rPr>
        <w:t xml:space="preserve"> זכאי השבות. בגישה קרובה צידד השופט </w:t>
      </w:r>
      <w:r w:rsidRPr="007D0503">
        <w:rPr>
          <w:rFonts w:ascii="Century" w:hAnsi="Century" w:cs="Miriam" w:hint="cs"/>
          <w:b/>
          <w:spacing w:val="0"/>
          <w:sz w:val="22"/>
          <w:szCs w:val="24"/>
          <w:rtl/>
        </w:rPr>
        <w:t>עמית</w:t>
      </w:r>
      <w:r>
        <w:rPr>
          <w:rFonts w:hint="cs"/>
          <w:rtl/>
        </w:rPr>
        <w:t xml:space="preserve"> בפסק הדין נושא הדיון הנוסף, וזאת בעיקר על יסוד ניתוח לשונו של סעיף 4א(א) (פסקה 26 לחוות דעתו, אך ראו גם את דבריו </w:t>
      </w:r>
      <w:r w:rsidRPr="000E4D99">
        <w:rPr>
          <w:rFonts w:ascii="Century" w:hAnsi="Century" w:cs="Miriam" w:hint="cs"/>
          <w:b/>
          <w:spacing w:val="0"/>
          <w:sz w:val="22"/>
          <w:szCs w:val="24"/>
          <w:rtl/>
        </w:rPr>
        <w:t>שם</w:t>
      </w:r>
      <w:r>
        <w:rPr>
          <w:rFonts w:hint="cs"/>
          <w:rtl/>
        </w:rPr>
        <w:t xml:space="preserve">, בפסקאות 40, 47). מ"מ הנשיא, לעומת זאת, הטעים שיטתו בכך ששאלת פטירת הבן או הנכד, </w:t>
      </w:r>
      <w:r w:rsidRPr="007D0503">
        <w:rPr>
          <w:rFonts w:ascii="Century" w:hAnsi="Century" w:cs="Miriam" w:hint="cs"/>
          <w:b/>
          <w:spacing w:val="0"/>
          <w:sz w:val="22"/>
          <w:szCs w:val="24"/>
          <w:rtl/>
        </w:rPr>
        <w:t>"אינה מעוררת שאלה שעומדת בליבת החוק"</w:t>
      </w:r>
      <w:r>
        <w:rPr>
          <w:rFonts w:hint="cs"/>
          <w:rtl/>
        </w:rPr>
        <w:t xml:space="preserve">, בניגוד לשאלת מותו של היהודי, ומשכך, לדבריו, אין להסיק מאי-התייחסותו של המחוקק אליה על קיומו של הסדר שלילי (פסקה 23 לחוות דעתו; באשר לעמדתו בסוגיית מדרג הזכויות, ראו פסקאות 44-41 לחוות דעתו). </w:t>
      </w:r>
    </w:p>
    <w:p w:rsidR="00872589" w:rsidRDefault="00872589" w:rsidP="00872589">
      <w:pPr>
        <w:pStyle w:val="Ruller41"/>
        <w:rPr>
          <w:rtl/>
        </w:rPr>
      </w:pPr>
    </w:p>
    <w:p w:rsidR="00872589" w:rsidRDefault="00872589" w:rsidP="00872589">
      <w:pPr>
        <w:pStyle w:val="Ruller41"/>
        <w:rPr>
          <w:rtl/>
        </w:rPr>
      </w:pPr>
      <w:r>
        <w:rPr>
          <w:rtl/>
        </w:rPr>
        <w:tab/>
      </w:r>
      <w:r>
        <w:rPr>
          <w:rFonts w:hint="cs"/>
          <w:rtl/>
        </w:rPr>
        <w:t xml:space="preserve">על רקע גישות אלה, הכוללות גם זליגת-מה לעולם תכליות החוק, </w:t>
      </w:r>
      <w:r w:rsidRPr="002E4F0C">
        <w:rPr>
          <w:rFonts w:hint="cs"/>
          <w:rtl/>
        </w:rPr>
        <w:t xml:space="preserve">מצאתי מקום להמשיך </w:t>
      </w:r>
      <w:r>
        <w:rPr>
          <w:rFonts w:hint="cs"/>
          <w:rtl/>
        </w:rPr>
        <w:t xml:space="preserve">את </w:t>
      </w:r>
      <w:r w:rsidRPr="002E4F0C">
        <w:rPr>
          <w:rFonts w:hint="cs"/>
          <w:rtl/>
        </w:rPr>
        <w:t xml:space="preserve">מסע הפרשנות גם לשלב </w:t>
      </w:r>
      <w:r>
        <w:rPr>
          <w:rFonts w:hint="cs"/>
          <w:rtl/>
        </w:rPr>
        <w:t>זה, של בחינת התכליות; אעבור אפוא לכך.</w:t>
      </w:r>
    </w:p>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0D5017">
        <w:rPr>
          <w:rFonts w:ascii="Century" w:hAnsi="Century" w:cs="Miriam" w:hint="cs"/>
          <w:b/>
          <w:spacing w:val="0"/>
          <w:szCs w:val="24"/>
          <w:rtl/>
        </w:rPr>
        <w:t>תכלית סובייקטיבית</w:t>
      </w:r>
    </w:p>
    <w:p w:rsidR="00216C97" w:rsidRDefault="00216C97" w:rsidP="00872589">
      <w:pPr>
        <w:pStyle w:val="Ruller41"/>
        <w:rPr>
          <w:rFonts w:ascii="Century" w:hAnsi="Century" w:cs="Miriam"/>
          <w:b/>
          <w:spacing w:val="0"/>
          <w:szCs w:val="24"/>
          <w:rtl/>
        </w:rPr>
      </w:pPr>
    </w:p>
    <w:p w:rsidR="00872589" w:rsidRDefault="00872589" w:rsidP="00872589">
      <w:pPr>
        <w:pStyle w:val="Ruller4"/>
        <w:textAlignment w:val="baseline"/>
        <w:rPr>
          <w:rtl/>
        </w:rPr>
      </w:pPr>
      <w:r>
        <w:rPr>
          <w:rFonts w:hint="eastAsia"/>
          <w:rtl/>
        </w:rPr>
        <w:t>המהלכים</w:t>
      </w:r>
      <w:r>
        <w:rPr>
          <w:rtl/>
        </w:rPr>
        <w:t xml:space="preserve"> </w:t>
      </w:r>
      <w:r>
        <w:rPr>
          <w:rFonts w:hint="eastAsia"/>
          <w:rtl/>
        </w:rPr>
        <w:t>שקדמו</w:t>
      </w:r>
      <w:r>
        <w:rPr>
          <w:rtl/>
        </w:rPr>
        <w:t xml:space="preserve"> </w:t>
      </w:r>
      <w:r>
        <w:rPr>
          <w:rFonts w:hint="eastAsia"/>
          <w:rtl/>
        </w:rPr>
        <w:t>לחקיקת</w:t>
      </w:r>
      <w:r>
        <w:rPr>
          <w:rtl/>
        </w:rPr>
        <w:t xml:space="preserve"> </w:t>
      </w:r>
      <w:r>
        <w:rPr>
          <w:rFonts w:hint="eastAsia"/>
          <w:rtl/>
        </w:rPr>
        <w:t>התיקון</w:t>
      </w:r>
      <w:r>
        <w:rPr>
          <w:rtl/>
        </w:rPr>
        <w:t xml:space="preserve">, </w:t>
      </w:r>
      <w:r>
        <w:rPr>
          <w:rFonts w:hint="eastAsia"/>
          <w:rtl/>
        </w:rPr>
        <w:t>כמו</w:t>
      </w:r>
      <w:r>
        <w:rPr>
          <w:rtl/>
        </w:rPr>
        <w:t xml:space="preserve"> </w:t>
      </w:r>
      <w:r>
        <w:rPr>
          <w:rFonts w:hint="eastAsia"/>
          <w:rtl/>
        </w:rPr>
        <w:t>גם</w:t>
      </w:r>
      <w:r>
        <w:rPr>
          <w:rtl/>
        </w:rPr>
        <w:t xml:space="preserve"> </w:t>
      </w:r>
      <w:r>
        <w:rPr>
          <w:rFonts w:hint="eastAsia"/>
          <w:rtl/>
        </w:rPr>
        <w:t>התכליות</w:t>
      </w:r>
      <w:r>
        <w:rPr>
          <w:rtl/>
        </w:rPr>
        <w:t xml:space="preserve"> </w:t>
      </w:r>
      <w:r>
        <w:rPr>
          <w:rFonts w:hint="eastAsia"/>
          <w:rtl/>
        </w:rPr>
        <w:t>שניתן</w:t>
      </w:r>
      <w:r>
        <w:rPr>
          <w:rtl/>
        </w:rPr>
        <w:t xml:space="preserve"> </w:t>
      </w:r>
      <w:r>
        <w:rPr>
          <w:rFonts w:hint="eastAsia"/>
          <w:rtl/>
        </w:rPr>
        <w:t>לדלות</w:t>
      </w:r>
      <w:r>
        <w:rPr>
          <w:rtl/>
        </w:rPr>
        <w:t xml:space="preserve"> </w:t>
      </w:r>
      <w:r>
        <w:rPr>
          <w:rFonts w:hint="eastAsia"/>
          <w:rtl/>
        </w:rPr>
        <w:t>מדברי</w:t>
      </w:r>
      <w:r>
        <w:rPr>
          <w:rtl/>
        </w:rPr>
        <w:t xml:space="preserve"> </w:t>
      </w:r>
      <w:r>
        <w:rPr>
          <w:rFonts w:hint="cs"/>
          <w:rtl/>
        </w:rPr>
        <w:t>אֵלו</w:t>
      </w:r>
      <w:r>
        <w:rPr>
          <w:rtl/>
        </w:rPr>
        <w:t xml:space="preserve"> </w:t>
      </w:r>
      <w:r>
        <w:rPr>
          <w:rFonts w:hint="eastAsia"/>
          <w:rtl/>
        </w:rPr>
        <w:t>שעסקו</w:t>
      </w:r>
      <w:r>
        <w:rPr>
          <w:rtl/>
        </w:rPr>
        <w:t xml:space="preserve"> </w:t>
      </w:r>
      <w:r>
        <w:rPr>
          <w:rFonts w:hint="eastAsia"/>
          <w:rtl/>
        </w:rPr>
        <w:t>במלאכה</w:t>
      </w:r>
      <w:r>
        <w:rPr>
          <w:rtl/>
        </w:rPr>
        <w:t xml:space="preserve"> – </w:t>
      </w:r>
      <w:r>
        <w:rPr>
          <w:rFonts w:hint="eastAsia"/>
          <w:rtl/>
        </w:rPr>
        <w:t>נדונו</w:t>
      </w:r>
      <w:r>
        <w:rPr>
          <w:rtl/>
        </w:rPr>
        <w:t xml:space="preserve"> </w:t>
      </w:r>
      <w:r>
        <w:rPr>
          <w:rFonts w:hint="eastAsia"/>
          <w:rtl/>
        </w:rPr>
        <w:t>כולם</w:t>
      </w:r>
      <w:r>
        <w:rPr>
          <w:rtl/>
        </w:rPr>
        <w:t xml:space="preserve">, </w:t>
      </w:r>
      <w:r>
        <w:rPr>
          <w:rFonts w:hint="eastAsia"/>
          <w:rtl/>
        </w:rPr>
        <w:t>בפירוט</w:t>
      </w:r>
      <w:r>
        <w:rPr>
          <w:rtl/>
        </w:rPr>
        <w:t xml:space="preserve">, </w:t>
      </w:r>
      <w:r>
        <w:rPr>
          <w:rFonts w:hint="eastAsia"/>
          <w:rtl/>
        </w:rPr>
        <w:t>בחוות</w:t>
      </w:r>
      <w:r>
        <w:rPr>
          <w:rtl/>
        </w:rPr>
        <w:t xml:space="preserve"> </w:t>
      </w:r>
      <w:r>
        <w:rPr>
          <w:rFonts w:hint="eastAsia"/>
          <w:rtl/>
        </w:rPr>
        <w:t>דעתו</w:t>
      </w:r>
      <w:r>
        <w:rPr>
          <w:rtl/>
        </w:rPr>
        <w:t xml:space="preserve"> </w:t>
      </w:r>
      <w:r>
        <w:rPr>
          <w:rFonts w:hint="eastAsia"/>
          <w:rtl/>
        </w:rPr>
        <w:t>של</w:t>
      </w:r>
      <w:r>
        <w:rPr>
          <w:rtl/>
        </w:rPr>
        <w:t xml:space="preserve"> </w:t>
      </w:r>
      <w:r>
        <w:rPr>
          <w:rFonts w:hint="eastAsia"/>
          <w:rtl/>
        </w:rPr>
        <w:t>חברי</w:t>
      </w:r>
      <w:r>
        <w:rPr>
          <w:rtl/>
        </w:rPr>
        <w:t xml:space="preserve">. </w:t>
      </w:r>
      <w:r>
        <w:rPr>
          <w:rFonts w:hint="eastAsia"/>
          <w:rtl/>
        </w:rPr>
        <w:t>בתוך</w:t>
      </w:r>
      <w:r>
        <w:rPr>
          <w:rtl/>
        </w:rPr>
        <w:t xml:space="preserve"> </w:t>
      </w:r>
      <w:r>
        <w:rPr>
          <w:rFonts w:hint="eastAsia"/>
          <w:rtl/>
        </w:rPr>
        <w:t>כך</w:t>
      </w:r>
      <w:r>
        <w:rPr>
          <w:rtl/>
        </w:rPr>
        <w:t xml:space="preserve">, </w:t>
      </w:r>
      <w:r>
        <w:rPr>
          <w:rFonts w:hint="eastAsia"/>
          <w:rtl/>
        </w:rPr>
        <w:t>עמד</w:t>
      </w:r>
      <w:r>
        <w:rPr>
          <w:rtl/>
        </w:rPr>
        <w:t xml:space="preserve"> </w:t>
      </w:r>
      <w:r>
        <w:rPr>
          <w:rFonts w:hint="eastAsia"/>
          <w:rtl/>
        </w:rPr>
        <w:t>חברי</w:t>
      </w:r>
      <w:r>
        <w:rPr>
          <w:rtl/>
        </w:rPr>
        <w:t xml:space="preserve"> </w:t>
      </w:r>
      <w:r>
        <w:rPr>
          <w:rFonts w:hint="eastAsia"/>
          <w:rtl/>
        </w:rPr>
        <w:t>על</w:t>
      </w:r>
      <w:r>
        <w:rPr>
          <w:rtl/>
        </w:rPr>
        <w:t xml:space="preserve"> </w:t>
      </w:r>
      <w:r>
        <w:rPr>
          <w:rFonts w:hint="eastAsia"/>
          <w:rtl/>
        </w:rPr>
        <w:t>העובדה</w:t>
      </w:r>
      <w:r>
        <w:rPr>
          <w:rtl/>
        </w:rPr>
        <w:t xml:space="preserve"> </w:t>
      </w:r>
      <w:r>
        <w:rPr>
          <w:rFonts w:hint="eastAsia"/>
          <w:rtl/>
        </w:rPr>
        <w:t>שהסוגיה</w:t>
      </w:r>
      <w:r>
        <w:rPr>
          <w:rtl/>
        </w:rPr>
        <w:t xml:space="preserve"> </w:t>
      </w:r>
      <w:r>
        <w:rPr>
          <w:rFonts w:hint="eastAsia"/>
          <w:rtl/>
        </w:rPr>
        <w:t>שבה</w:t>
      </w:r>
      <w:r>
        <w:rPr>
          <w:rtl/>
        </w:rPr>
        <w:t xml:space="preserve"> </w:t>
      </w:r>
      <w:r>
        <w:rPr>
          <w:rFonts w:hint="eastAsia"/>
          <w:rtl/>
        </w:rPr>
        <w:t>עסקינן</w:t>
      </w:r>
      <w:r>
        <w:rPr>
          <w:rtl/>
        </w:rPr>
        <w:t xml:space="preserve"> </w:t>
      </w:r>
      <w:r>
        <w:rPr>
          <w:rFonts w:hint="eastAsia"/>
          <w:rtl/>
        </w:rPr>
        <w:t>לא</w:t>
      </w:r>
      <w:r>
        <w:rPr>
          <w:rtl/>
        </w:rPr>
        <w:t xml:space="preserve"> </w:t>
      </w:r>
      <w:r>
        <w:rPr>
          <w:rFonts w:hint="eastAsia"/>
          <w:rtl/>
        </w:rPr>
        <w:t>עמדה</w:t>
      </w:r>
      <w:r>
        <w:rPr>
          <w:rtl/>
        </w:rPr>
        <w:t xml:space="preserve"> </w:t>
      </w:r>
      <w:r>
        <w:rPr>
          <w:rFonts w:hint="eastAsia"/>
          <w:rtl/>
        </w:rPr>
        <w:t>במוקד</w:t>
      </w:r>
      <w:r>
        <w:rPr>
          <w:rtl/>
        </w:rPr>
        <w:t xml:space="preserve"> </w:t>
      </w:r>
      <w:r>
        <w:rPr>
          <w:rFonts w:hint="eastAsia"/>
          <w:rtl/>
        </w:rPr>
        <w:t>הדיונים</w:t>
      </w:r>
      <w:r>
        <w:rPr>
          <w:rtl/>
        </w:rPr>
        <w:t xml:space="preserve"> </w:t>
      </w:r>
      <w:r>
        <w:rPr>
          <w:rFonts w:hint="eastAsia"/>
          <w:rtl/>
        </w:rPr>
        <w:t>שנתקיימו</w:t>
      </w:r>
      <w:r>
        <w:rPr>
          <w:rtl/>
        </w:rPr>
        <w:t xml:space="preserve"> </w:t>
      </w:r>
      <w:r>
        <w:rPr>
          <w:rFonts w:hint="eastAsia"/>
          <w:rtl/>
        </w:rPr>
        <w:t>עובר</w:t>
      </w:r>
      <w:r>
        <w:rPr>
          <w:rtl/>
        </w:rPr>
        <w:t xml:space="preserve"> </w:t>
      </w:r>
      <w:r>
        <w:rPr>
          <w:rFonts w:hint="eastAsia"/>
          <w:rtl/>
        </w:rPr>
        <w:t>לתיקון</w:t>
      </w:r>
      <w:r>
        <w:rPr>
          <w:rtl/>
        </w:rPr>
        <w:t xml:space="preserve"> </w:t>
      </w:r>
      <w:r>
        <w:rPr>
          <w:rFonts w:hint="eastAsia"/>
          <w:rtl/>
        </w:rPr>
        <w:t>החוק</w:t>
      </w:r>
      <w:r>
        <w:rPr>
          <w:rtl/>
        </w:rPr>
        <w:t xml:space="preserve">, </w:t>
      </w:r>
      <w:r>
        <w:rPr>
          <w:rFonts w:hint="eastAsia"/>
          <w:rtl/>
        </w:rPr>
        <w:lastRenderedPageBreak/>
        <w:t>שבהם</w:t>
      </w:r>
      <w:r>
        <w:rPr>
          <w:rtl/>
        </w:rPr>
        <w:t xml:space="preserve"> </w:t>
      </w:r>
      <w:r>
        <w:rPr>
          <w:rFonts w:hint="eastAsia"/>
          <w:rtl/>
        </w:rPr>
        <w:t>דוּברה</w:t>
      </w:r>
      <w:r>
        <w:rPr>
          <w:rtl/>
        </w:rPr>
        <w:t xml:space="preserve">, </w:t>
      </w:r>
      <w:r>
        <w:rPr>
          <w:rFonts w:hint="eastAsia"/>
          <w:rtl/>
        </w:rPr>
        <w:t>בעיקר</w:t>
      </w:r>
      <w:r>
        <w:rPr>
          <w:rtl/>
        </w:rPr>
        <w:t xml:space="preserve">, </w:t>
      </w:r>
      <w:r>
        <w:rPr>
          <w:rFonts w:hint="eastAsia"/>
          <w:rtl/>
        </w:rPr>
        <w:t>אפשרות</w:t>
      </w:r>
      <w:r>
        <w:rPr>
          <w:rtl/>
        </w:rPr>
        <w:t xml:space="preserve"> </w:t>
      </w:r>
      <w:r>
        <w:rPr>
          <w:rFonts w:hint="eastAsia"/>
          <w:rtl/>
        </w:rPr>
        <w:t>מותו</w:t>
      </w:r>
      <w:r>
        <w:rPr>
          <w:rtl/>
        </w:rPr>
        <w:t xml:space="preserve"> </w:t>
      </w:r>
      <w:r>
        <w:rPr>
          <w:rFonts w:hint="eastAsia"/>
          <w:rtl/>
        </w:rPr>
        <w:t>של</w:t>
      </w:r>
      <w:r>
        <w:rPr>
          <w:rtl/>
        </w:rPr>
        <w:t xml:space="preserve"> </w:t>
      </w:r>
      <w:r>
        <w:rPr>
          <w:rFonts w:hint="eastAsia"/>
          <w:rtl/>
        </w:rPr>
        <w:t>היהודי</w:t>
      </w:r>
      <w:r>
        <w:rPr>
          <w:rtl/>
        </w:rPr>
        <w:t xml:space="preserve">, </w:t>
      </w:r>
      <w:r>
        <w:rPr>
          <w:rFonts w:hint="eastAsia"/>
          <w:rtl/>
        </w:rPr>
        <w:t>מקור</w:t>
      </w:r>
      <w:r>
        <w:rPr>
          <w:rtl/>
        </w:rPr>
        <w:t xml:space="preserve"> </w:t>
      </w:r>
      <w:r>
        <w:rPr>
          <w:rFonts w:hint="eastAsia"/>
          <w:rtl/>
        </w:rPr>
        <w:t>זכויות</w:t>
      </w:r>
      <w:r>
        <w:rPr>
          <w:rtl/>
        </w:rPr>
        <w:t xml:space="preserve"> </w:t>
      </w:r>
      <w:r>
        <w:rPr>
          <w:rFonts w:hint="eastAsia"/>
          <w:rtl/>
        </w:rPr>
        <w:t>המשפחה</w:t>
      </w:r>
      <w:r>
        <w:rPr>
          <w:rtl/>
        </w:rPr>
        <w:t xml:space="preserve"> (</w:t>
      </w:r>
      <w:r>
        <w:rPr>
          <w:rFonts w:hint="eastAsia"/>
          <w:rtl/>
        </w:rPr>
        <w:t>לצד</w:t>
      </w:r>
      <w:r>
        <w:rPr>
          <w:rtl/>
        </w:rPr>
        <w:t xml:space="preserve"> </w:t>
      </w:r>
      <w:r>
        <w:rPr>
          <w:rFonts w:hint="eastAsia"/>
          <w:rtl/>
        </w:rPr>
        <w:t>סוגיות</w:t>
      </w:r>
      <w:r>
        <w:rPr>
          <w:rtl/>
        </w:rPr>
        <w:t xml:space="preserve"> </w:t>
      </w:r>
      <w:r>
        <w:rPr>
          <w:rFonts w:hint="eastAsia"/>
          <w:rtl/>
        </w:rPr>
        <w:t>נוספות</w:t>
      </w:r>
      <w:r>
        <w:rPr>
          <w:rtl/>
        </w:rPr>
        <w:t xml:space="preserve">, </w:t>
      </w:r>
      <w:r>
        <w:rPr>
          <w:rFonts w:hint="eastAsia"/>
          <w:rtl/>
        </w:rPr>
        <w:t>המרוחקות</w:t>
      </w:r>
      <w:r>
        <w:rPr>
          <w:rtl/>
        </w:rPr>
        <w:t xml:space="preserve"> </w:t>
      </w:r>
      <w:r>
        <w:rPr>
          <w:rFonts w:hint="eastAsia"/>
          <w:rtl/>
        </w:rPr>
        <w:t>אף</w:t>
      </w:r>
      <w:r>
        <w:rPr>
          <w:rtl/>
        </w:rPr>
        <w:t xml:space="preserve"> </w:t>
      </w:r>
      <w:r>
        <w:rPr>
          <w:rFonts w:hint="eastAsia"/>
          <w:rtl/>
        </w:rPr>
        <w:t>יותר</w:t>
      </w:r>
      <w:r>
        <w:rPr>
          <w:rtl/>
        </w:rPr>
        <w:t xml:space="preserve"> </w:t>
      </w:r>
      <w:r>
        <w:rPr>
          <w:rFonts w:hint="eastAsia"/>
          <w:rtl/>
        </w:rPr>
        <w:t>מן</w:t>
      </w:r>
      <w:r>
        <w:rPr>
          <w:rtl/>
        </w:rPr>
        <w:t xml:space="preserve"> </w:t>
      </w:r>
      <w:r>
        <w:rPr>
          <w:rFonts w:hint="eastAsia"/>
          <w:rtl/>
        </w:rPr>
        <w:t>הנדון</w:t>
      </w:r>
      <w:r>
        <w:rPr>
          <w:rtl/>
        </w:rPr>
        <w:t xml:space="preserve"> </w:t>
      </w:r>
      <w:r>
        <w:rPr>
          <w:rFonts w:hint="eastAsia"/>
          <w:rtl/>
        </w:rPr>
        <w:t>דידן</w:t>
      </w:r>
      <w:r>
        <w:rPr>
          <w:rtl/>
        </w:rPr>
        <w:t xml:space="preserve">). </w:t>
      </w:r>
      <w:r>
        <w:rPr>
          <w:rFonts w:hint="eastAsia"/>
          <w:rtl/>
        </w:rPr>
        <w:t>לצד</w:t>
      </w:r>
      <w:r>
        <w:rPr>
          <w:rtl/>
        </w:rPr>
        <w:t xml:space="preserve"> </w:t>
      </w:r>
      <w:r>
        <w:rPr>
          <w:rFonts w:hint="eastAsia"/>
          <w:rtl/>
        </w:rPr>
        <w:t>זאת</w:t>
      </w:r>
      <w:r>
        <w:rPr>
          <w:rtl/>
        </w:rPr>
        <w:t xml:space="preserve">, </w:t>
      </w:r>
      <w:r>
        <w:rPr>
          <w:rFonts w:hint="eastAsia"/>
          <w:rtl/>
        </w:rPr>
        <w:t>הובאו</w:t>
      </w:r>
      <w:r>
        <w:rPr>
          <w:rtl/>
        </w:rPr>
        <w:t xml:space="preserve"> </w:t>
      </w:r>
      <w:r>
        <w:rPr>
          <w:rFonts w:hint="eastAsia"/>
          <w:rtl/>
        </w:rPr>
        <w:t>גם</w:t>
      </w:r>
      <w:r>
        <w:rPr>
          <w:rtl/>
        </w:rPr>
        <w:t xml:space="preserve"> </w:t>
      </w:r>
      <w:r>
        <w:rPr>
          <w:rFonts w:hint="eastAsia"/>
          <w:rtl/>
        </w:rPr>
        <w:t>דברי</w:t>
      </w:r>
      <w:r>
        <w:rPr>
          <w:rtl/>
        </w:rPr>
        <w:t xml:space="preserve"> </w:t>
      </w:r>
      <w:r>
        <w:rPr>
          <w:rFonts w:hint="eastAsia"/>
          <w:rtl/>
        </w:rPr>
        <w:t>היועץ</w:t>
      </w:r>
      <w:r>
        <w:rPr>
          <w:rtl/>
        </w:rPr>
        <w:t xml:space="preserve"> </w:t>
      </w:r>
      <w:r>
        <w:rPr>
          <w:rFonts w:hint="eastAsia"/>
          <w:rtl/>
        </w:rPr>
        <w:t>המשפטי</w:t>
      </w:r>
      <w:r>
        <w:rPr>
          <w:rtl/>
        </w:rPr>
        <w:t xml:space="preserve"> </w:t>
      </w:r>
      <w:r>
        <w:rPr>
          <w:rFonts w:hint="eastAsia"/>
          <w:rtl/>
        </w:rPr>
        <w:t>לממשלה</w:t>
      </w:r>
      <w:r>
        <w:rPr>
          <w:rtl/>
        </w:rPr>
        <w:t xml:space="preserve"> </w:t>
      </w:r>
      <w:r>
        <w:rPr>
          <w:rFonts w:hint="eastAsia"/>
          <w:rtl/>
        </w:rPr>
        <w:t>באותה</w:t>
      </w:r>
      <w:r>
        <w:rPr>
          <w:rtl/>
        </w:rPr>
        <w:t xml:space="preserve"> </w:t>
      </w:r>
      <w:r>
        <w:rPr>
          <w:rFonts w:hint="eastAsia"/>
          <w:rtl/>
        </w:rPr>
        <w:t>עת</w:t>
      </w:r>
      <w:r>
        <w:rPr>
          <w:rtl/>
        </w:rPr>
        <w:t xml:space="preserve">, </w:t>
      </w:r>
      <w:r>
        <w:rPr>
          <w:rFonts w:hint="eastAsia"/>
          <w:rtl/>
        </w:rPr>
        <w:t>מאיר</w:t>
      </w:r>
      <w:r>
        <w:rPr>
          <w:rtl/>
        </w:rPr>
        <w:t xml:space="preserve"> </w:t>
      </w:r>
      <w:r>
        <w:rPr>
          <w:rFonts w:hint="eastAsia"/>
          <w:rtl/>
        </w:rPr>
        <w:t>שמגר</w:t>
      </w:r>
      <w:r>
        <w:rPr>
          <w:rtl/>
        </w:rPr>
        <w:t xml:space="preserve">, </w:t>
      </w:r>
      <w:r>
        <w:rPr>
          <w:rFonts w:hint="eastAsia"/>
          <w:rtl/>
        </w:rPr>
        <w:t>שנראה</w:t>
      </w:r>
      <w:r>
        <w:rPr>
          <w:rtl/>
        </w:rPr>
        <w:t xml:space="preserve"> </w:t>
      </w:r>
      <w:r>
        <w:rPr>
          <w:rFonts w:hint="eastAsia"/>
          <w:rtl/>
        </w:rPr>
        <w:t>כי</w:t>
      </w:r>
      <w:r>
        <w:rPr>
          <w:rtl/>
        </w:rPr>
        <w:t xml:space="preserve"> </w:t>
      </w:r>
      <w:r>
        <w:rPr>
          <w:rFonts w:hint="eastAsia"/>
          <w:rtl/>
        </w:rPr>
        <w:t>מצויה</w:t>
      </w:r>
      <w:r>
        <w:rPr>
          <w:rtl/>
        </w:rPr>
        <w:t xml:space="preserve"> </w:t>
      </w:r>
      <w:r>
        <w:rPr>
          <w:rFonts w:hint="eastAsia"/>
          <w:rtl/>
        </w:rPr>
        <w:t>בהם</w:t>
      </w:r>
      <w:r>
        <w:rPr>
          <w:rtl/>
        </w:rPr>
        <w:t xml:space="preserve"> </w:t>
      </w:r>
      <w:r>
        <w:rPr>
          <w:rFonts w:hint="eastAsia"/>
          <w:rtl/>
        </w:rPr>
        <w:t>ההתייחסות</w:t>
      </w:r>
      <w:r>
        <w:rPr>
          <w:rtl/>
        </w:rPr>
        <w:t xml:space="preserve"> </w:t>
      </w:r>
      <w:r>
        <w:rPr>
          <w:rFonts w:hint="eastAsia"/>
          <w:rtl/>
        </w:rPr>
        <w:t>היחידה</w:t>
      </w:r>
      <w:r>
        <w:rPr>
          <w:rtl/>
        </w:rPr>
        <w:t xml:space="preserve"> </w:t>
      </w:r>
      <w:r>
        <w:rPr>
          <w:rFonts w:hint="eastAsia"/>
          <w:rtl/>
        </w:rPr>
        <w:t>שניתנה</w:t>
      </w:r>
      <w:r>
        <w:rPr>
          <w:rtl/>
        </w:rPr>
        <w:t xml:space="preserve"> </w:t>
      </w:r>
      <w:r>
        <w:rPr>
          <w:rFonts w:hint="eastAsia"/>
          <w:rtl/>
        </w:rPr>
        <w:t>לסוגיה</w:t>
      </w:r>
      <w:r>
        <w:rPr>
          <w:rtl/>
        </w:rPr>
        <w:t xml:space="preserve"> </w:t>
      </w:r>
      <w:r>
        <w:rPr>
          <w:rFonts w:hint="eastAsia"/>
          <w:rtl/>
        </w:rPr>
        <w:t>שמונחת</w:t>
      </w:r>
      <w:r>
        <w:rPr>
          <w:rtl/>
        </w:rPr>
        <w:t xml:space="preserve"> </w:t>
      </w:r>
      <w:r>
        <w:rPr>
          <w:rFonts w:hint="eastAsia"/>
          <w:rtl/>
        </w:rPr>
        <w:t>לפתחנו</w:t>
      </w:r>
      <w:r>
        <w:rPr>
          <w:rtl/>
        </w:rPr>
        <w:t xml:space="preserve">. </w:t>
      </w:r>
      <w:r>
        <w:rPr>
          <w:rFonts w:hint="eastAsia"/>
          <w:rtl/>
        </w:rPr>
        <w:t>מדברים</w:t>
      </w:r>
      <w:r>
        <w:rPr>
          <w:rtl/>
        </w:rPr>
        <w:t xml:space="preserve"> </w:t>
      </w:r>
      <w:r>
        <w:rPr>
          <w:rFonts w:hint="eastAsia"/>
          <w:rtl/>
        </w:rPr>
        <w:t>אלה</w:t>
      </w:r>
      <w:r>
        <w:rPr>
          <w:rtl/>
        </w:rPr>
        <w:t xml:space="preserve"> </w:t>
      </w:r>
      <w:r>
        <w:rPr>
          <w:rFonts w:hint="eastAsia"/>
          <w:rtl/>
        </w:rPr>
        <w:t>למד</w:t>
      </w:r>
      <w:r>
        <w:rPr>
          <w:rtl/>
        </w:rPr>
        <w:t xml:space="preserve"> </w:t>
      </w:r>
      <w:r>
        <w:rPr>
          <w:rFonts w:hint="eastAsia"/>
          <w:rtl/>
        </w:rPr>
        <w:t>חברי</w:t>
      </w:r>
      <w:r>
        <w:rPr>
          <w:rtl/>
        </w:rPr>
        <w:t xml:space="preserve">, </w:t>
      </w:r>
      <w:r>
        <w:rPr>
          <w:rFonts w:hint="eastAsia"/>
          <w:rtl/>
        </w:rPr>
        <w:t>כי</w:t>
      </w:r>
      <w:r>
        <w:rPr>
          <w:rtl/>
        </w:rPr>
        <w:t xml:space="preserve"> </w:t>
      </w:r>
      <w:r w:rsidRPr="000D5017">
        <w:rPr>
          <w:rFonts w:ascii="Century" w:hAnsi="Century" w:cs="Miriam"/>
          <w:b/>
          <w:spacing w:val="0"/>
          <w:sz w:val="22"/>
          <w:szCs w:val="24"/>
          <w:rtl/>
        </w:rPr>
        <w:t>"</w:t>
      </w:r>
      <w:r w:rsidRPr="000D5017">
        <w:rPr>
          <w:rFonts w:ascii="Century" w:hAnsi="Century" w:cs="Miriam" w:hint="eastAsia"/>
          <w:b/>
          <w:spacing w:val="0"/>
          <w:sz w:val="22"/>
          <w:szCs w:val="24"/>
          <w:rtl/>
        </w:rPr>
        <w:t>האפשרות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שאלמנת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בנו</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של</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יהודי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תעלה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לישראל</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לאחר</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פטירתו</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של</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בן</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זוגה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הועלתה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במפורש</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לפני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הוועדה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ולא</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נעלמה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מעיני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המחוקק</w:t>
      </w:r>
      <w:r w:rsidRPr="000D5017">
        <w:rPr>
          <w:rFonts w:ascii="Century" w:hAnsi="Century" w:cs="Miriam"/>
          <w:b/>
          <w:spacing w:val="0"/>
          <w:sz w:val="22"/>
          <w:szCs w:val="24"/>
          <w:rtl/>
        </w:rPr>
        <w:t>"</w:t>
      </w:r>
      <w:r>
        <w:rPr>
          <w:rtl/>
        </w:rPr>
        <w:t xml:space="preserve">, </w:t>
      </w:r>
      <w:r>
        <w:rPr>
          <w:rFonts w:hint="eastAsia"/>
          <w:rtl/>
        </w:rPr>
        <w:t>הגם</w:t>
      </w:r>
      <w:r>
        <w:rPr>
          <w:rtl/>
        </w:rPr>
        <w:t xml:space="preserve"> </w:t>
      </w:r>
      <w:r>
        <w:rPr>
          <w:rFonts w:hint="eastAsia"/>
          <w:rtl/>
        </w:rPr>
        <w:t>שציין</w:t>
      </w:r>
      <w:r>
        <w:rPr>
          <w:rtl/>
        </w:rPr>
        <w:t xml:space="preserve"> </w:t>
      </w:r>
      <w:r>
        <w:rPr>
          <w:rFonts w:hint="eastAsia"/>
          <w:rtl/>
        </w:rPr>
        <w:t>כי</w:t>
      </w:r>
      <w:r>
        <w:rPr>
          <w:rtl/>
        </w:rPr>
        <w:t xml:space="preserve"> </w:t>
      </w:r>
      <w:r w:rsidRPr="000D5017">
        <w:rPr>
          <w:rFonts w:ascii="Century" w:hAnsi="Century" w:cs="Miriam"/>
          <w:b/>
          <w:spacing w:val="0"/>
          <w:sz w:val="22"/>
          <w:szCs w:val="24"/>
          <w:rtl/>
        </w:rPr>
        <w:t>"</w:t>
      </w:r>
      <w:r w:rsidRPr="000D5017">
        <w:rPr>
          <w:rFonts w:ascii="Century" w:hAnsi="Century" w:cs="Miriam" w:hint="eastAsia"/>
          <w:b/>
          <w:spacing w:val="0"/>
          <w:sz w:val="22"/>
          <w:szCs w:val="24"/>
          <w:rtl/>
        </w:rPr>
        <w:t>ברי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כי</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אין</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מדובר</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באמרה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שיש</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ליתן</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לה</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משקל</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מכריע</w:t>
      </w:r>
      <w:r w:rsidRPr="000D5017">
        <w:rPr>
          <w:rFonts w:ascii="Century" w:hAnsi="Century" w:cs="Miriam"/>
          <w:b/>
          <w:spacing w:val="0"/>
          <w:sz w:val="22"/>
          <w:szCs w:val="24"/>
          <w:rtl/>
        </w:rPr>
        <w:t>"</w:t>
      </w:r>
      <w:r>
        <w:rPr>
          <w:rtl/>
        </w:rPr>
        <w:t xml:space="preserve">. </w:t>
      </w:r>
      <w:r>
        <w:rPr>
          <w:rFonts w:hint="eastAsia"/>
          <w:rtl/>
        </w:rPr>
        <w:t>מאחר</w:t>
      </w:r>
      <w:r>
        <w:rPr>
          <w:rtl/>
        </w:rPr>
        <w:t xml:space="preserve"> </w:t>
      </w:r>
      <w:r>
        <w:rPr>
          <w:rFonts w:hint="eastAsia"/>
          <w:rtl/>
        </w:rPr>
        <w:t>שתיאוריו</w:t>
      </w:r>
      <w:r>
        <w:rPr>
          <w:rtl/>
        </w:rPr>
        <w:t xml:space="preserve"> </w:t>
      </w:r>
      <w:r>
        <w:rPr>
          <w:rFonts w:hint="eastAsia"/>
          <w:rtl/>
        </w:rPr>
        <w:t>של</w:t>
      </w:r>
      <w:r>
        <w:rPr>
          <w:rtl/>
        </w:rPr>
        <w:t xml:space="preserve"> </w:t>
      </w:r>
      <w:r>
        <w:rPr>
          <w:rFonts w:hint="eastAsia"/>
          <w:rtl/>
        </w:rPr>
        <w:t>חברי</w:t>
      </w:r>
      <w:r>
        <w:rPr>
          <w:rtl/>
        </w:rPr>
        <w:t xml:space="preserve"> </w:t>
      </w:r>
      <w:r>
        <w:rPr>
          <w:rFonts w:hint="eastAsia"/>
          <w:rtl/>
        </w:rPr>
        <w:t>מקובלים</w:t>
      </w:r>
      <w:r>
        <w:rPr>
          <w:rtl/>
        </w:rPr>
        <w:t xml:space="preserve"> </w:t>
      </w:r>
      <w:r>
        <w:rPr>
          <w:rFonts w:hint="eastAsia"/>
          <w:rtl/>
        </w:rPr>
        <w:t>עלי</w:t>
      </w:r>
      <w:r>
        <w:rPr>
          <w:rtl/>
        </w:rPr>
        <w:t xml:space="preserve">, </w:t>
      </w:r>
      <w:r>
        <w:rPr>
          <w:rFonts w:hint="eastAsia"/>
          <w:rtl/>
        </w:rPr>
        <w:t>ובהתחשב</w:t>
      </w:r>
      <w:r>
        <w:rPr>
          <w:rtl/>
        </w:rPr>
        <w:t xml:space="preserve"> </w:t>
      </w:r>
      <w:r>
        <w:rPr>
          <w:rFonts w:hint="eastAsia"/>
          <w:rtl/>
        </w:rPr>
        <w:t>במשקל</w:t>
      </w:r>
      <w:r>
        <w:rPr>
          <w:rtl/>
        </w:rPr>
        <w:t xml:space="preserve"> </w:t>
      </w:r>
      <w:r>
        <w:rPr>
          <w:rFonts w:hint="eastAsia"/>
          <w:rtl/>
        </w:rPr>
        <w:t>הפחוּת</w:t>
      </w:r>
      <w:r>
        <w:rPr>
          <w:rtl/>
        </w:rPr>
        <w:t xml:space="preserve"> </w:t>
      </w:r>
      <w:r>
        <w:rPr>
          <w:rFonts w:hint="eastAsia"/>
          <w:rtl/>
        </w:rPr>
        <w:t>שמצא</w:t>
      </w:r>
      <w:r>
        <w:rPr>
          <w:rtl/>
        </w:rPr>
        <w:t xml:space="preserve"> </w:t>
      </w:r>
      <w:r>
        <w:rPr>
          <w:rFonts w:hint="eastAsia"/>
          <w:rtl/>
        </w:rPr>
        <w:t>חברי</w:t>
      </w:r>
      <w:r>
        <w:rPr>
          <w:rtl/>
        </w:rPr>
        <w:t xml:space="preserve"> </w:t>
      </w:r>
      <w:r>
        <w:rPr>
          <w:rFonts w:hint="eastAsia"/>
          <w:rtl/>
        </w:rPr>
        <w:t>לייחס</w:t>
      </w:r>
      <w:r>
        <w:rPr>
          <w:rtl/>
        </w:rPr>
        <w:t xml:space="preserve"> </w:t>
      </w:r>
      <w:r>
        <w:rPr>
          <w:rFonts w:hint="eastAsia"/>
          <w:rtl/>
        </w:rPr>
        <w:t>לסוגיית</w:t>
      </w:r>
      <w:r>
        <w:rPr>
          <w:rtl/>
        </w:rPr>
        <w:t xml:space="preserve"> </w:t>
      </w:r>
      <w:r>
        <w:rPr>
          <w:rFonts w:hint="eastAsia"/>
          <w:rtl/>
        </w:rPr>
        <w:t>התכלית</w:t>
      </w:r>
      <w:r>
        <w:rPr>
          <w:rtl/>
        </w:rPr>
        <w:t xml:space="preserve"> </w:t>
      </w:r>
      <w:r>
        <w:rPr>
          <w:rFonts w:hint="eastAsia"/>
          <w:rtl/>
        </w:rPr>
        <w:t>הסובייקטיבית</w:t>
      </w:r>
      <w:r>
        <w:rPr>
          <w:rtl/>
        </w:rPr>
        <w:t xml:space="preserve">, </w:t>
      </w:r>
      <w:r>
        <w:rPr>
          <w:rFonts w:hint="eastAsia"/>
          <w:rtl/>
        </w:rPr>
        <w:t>בנסיבות</w:t>
      </w:r>
      <w:r>
        <w:rPr>
          <w:rtl/>
        </w:rPr>
        <w:t xml:space="preserve"> </w:t>
      </w:r>
      <w:r>
        <w:rPr>
          <w:rFonts w:hint="eastAsia"/>
          <w:rtl/>
        </w:rPr>
        <w:t>דנן</w:t>
      </w:r>
      <w:r>
        <w:rPr>
          <w:rtl/>
        </w:rPr>
        <w:t xml:space="preserve">, </w:t>
      </w:r>
      <w:r>
        <w:rPr>
          <w:rFonts w:hint="eastAsia"/>
          <w:rtl/>
        </w:rPr>
        <w:t>איני</w:t>
      </w:r>
      <w:r>
        <w:rPr>
          <w:rtl/>
        </w:rPr>
        <w:t xml:space="preserve"> </w:t>
      </w:r>
      <w:r>
        <w:rPr>
          <w:rFonts w:hint="eastAsia"/>
          <w:rtl/>
        </w:rPr>
        <w:t>מוצא</w:t>
      </w:r>
      <w:r>
        <w:rPr>
          <w:rtl/>
        </w:rPr>
        <w:t xml:space="preserve"> </w:t>
      </w:r>
      <w:r>
        <w:rPr>
          <w:rFonts w:hint="cs"/>
          <w:rtl/>
        </w:rPr>
        <w:t>צורך ב</w:t>
      </w:r>
      <w:r>
        <w:rPr>
          <w:rFonts w:hint="eastAsia"/>
          <w:rtl/>
        </w:rPr>
        <w:t>הרחבה</w:t>
      </w:r>
      <w:r>
        <w:rPr>
          <w:rtl/>
        </w:rPr>
        <w:t xml:space="preserve"> </w:t>
      </w:r>
      <w:r>
        <w:rPr>
          <w:rFonts w:hint="eastAsia"/>
          <w:rtl/>
        </w:rPr>
        <w:t>נוספת</w:t>
      </w:r>
      <w:r>
        <w:rPr>
          <w:rtl/>
        </w:rPr>
        <w:t xml:space="preserve"> </w:t>
      </w:r>
      <w:r>
        <w:rPr>
          <w:rFonts w:hint="eastAsia"/>
          <w:rtl/>
        </w:rPr>
        <w:t>בעניין</w:t>
      </w:r>
      <w:r>
        <w:rPr>
          <w:rtl/>
        </w:rPr>
        <w:t xml:space="preserve"> </w:t>
      </w:r>
      <w:r>
        <w:rPr>
          <w:rFonts w:hint="eastAsia"/>
          <w:rtl/>
        </w:rPr>
        <w:t>זה</w:t>
      </w:r>
      <w:r>
        <w:rPr>
          <w:rFonts w:hint="cs"/>
          <w:rtl/>
        </w:rPr>
        <w:t xml:space="preserve">; כך, בפרט, מאחר שבנושא שלפנינו </w:t>
      </w:r>
      <w:r w:rsidRPr="000D5017">
        <w:rPr>
          <w:rFonts w:ascii="Century" w:hAnsi="Century" w:cs="Miriam" w:hint="cs"/>
          <w:b/>
          <w:spacing w:val="0"/>
          <w:sz w:val="22"/>
          <w:szCs w:val="24"/>
          <w:rtl/>
        </w:rPr>
        <w:t>"</w:t>
      </w:r>
      <w:r w:rsidRPr="000D5017">
        <w:rPr>
          <w:rFonts w:ascii="Century" w:hAnsi="Century" w:cs="Miriam" w:hint="eastAsia"/>
          <w:b/>
          <w:spacing w:val="0"/>
          <w:sz w:val="22"/>
          <w:szCs w:val="24"/>
          <w:rtl/>
        </w:rPr>
        <w:t>התכליות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הסובייקטיביות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משתלבות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עם</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התכליות</w:t>
      </w:r>
      <w:r w:rsidRPr="000D5017">
        <w:rPr>
          <w:rFonts w:ascii="Century" w:hAnsi="Century" w:cs="Miriam"/>
          <w:b/>
          <w:spacing w:val="0"/>
          <w:sz w:val="22"/>
          <w:szCs w:val="24"/>
          <w:rtl/>
        </w:rPr>
        <w:t xml:space="preserve"> </w:t>
      </w:r>
      <w:r w:rsidRPr="000D5017">
        <w:rPr>
          <w:rFonts w:ascii="Century" w:hAnsi="Century" w:cs="Miriam" w:hint="eastAsia"/>
          <w:b/>
          <w:spacing w:val="0"/>
          <w:sz w:val="22"/>
          <w:szCs w:val="24"/>
          <w:rtl/>
        </w:rPr>
        <w:t>האובייקטיביות</w:t>
      </w:r>
      <w:r w:rsidRPr="000D5017">
        <w:rPr>
          <w:rFonts w:ascii="Century" w:hAnsi="Century" w:cs="Miriam" w:hint="cs"/>
          <w:b/>
          <w:spacing w:val="0"/>
          <w:sz w:val="22"/>
          <w:szCs w:val="24"/>
          <w:rtl/>
        </w:rPr>
        <w:t>"</w:t>
      </w:r>
      <w:r>
        <w:rPr>
          <w:rFonts w:hint="cs"/>
          <w:rtl/>
        </w:rPr>
        <w:t xml:space="preserve"> (עניין </w:t>
      </w:r>
      <w:r w:rsidRPr="000D5017">
        <w:rPr>
          <w:rFonts w:ascii="Century" w:hAnsi="Century" w:cs="Miriam" w:hint="cs"/>
          <w:b/>
          <w:spacing w:val="0"/>
          <w:sz w:val="22"/>
          <w:szCs w:val="24"/>
          <w:rtl/>
        </w:rPr>
        <w:t>גורודצקי</w:t>
      </w:r>
      <w:r>
        <w:rPr>
          <w:rFonts w:hint="cs"/>
          <w:rtl/>
        </w:rPr>
        <w:t>, פסקה 28)</w:t>
      </w:r>
      <w:r>
        <w:rPr>
          <w:rtl/>
        </w:rPr>
        <w:t>.</w:t>
      </w:r>
    </w:p>
    <w:p w:rsidR="00872589" w:rsidRPr="00FA5BD6" w:rsidRDefault="00872589" w:rsidP="00872589">
      <w:pPr>
        <w:pStyle w:val="Ruller41"/>
        <w:rPr>
          <w:rtl/>
        </w:rPr>
      </w:pPr>
    </w:p>
    <w:p w:rsidR="00216C97" w:rsidRDefault="00872589" w:rsidP="00216C97">
      <w:pPr>
        <w:pStyle w:val="Ruller41"/>
        <w:rPr>
          <w:rFonts w:ascii="Century" w:hAnsi="Century" w:cs="Miriam"/>
          <w:b/>
          <w:spacing w:val="0"/>
          <w:szCs w:val="24"/>
          <w:rtl/>
        </w:rPr>
      </w:pPr>
      <w:r w:rsidRPr="00B11152">
        <w:rPr>
          <w:rFonts w:ascii="Century" w:hAnsi="Century" w:cs="Miriam" w:hint="cs"/>
          <w:b/>
          <w:spacing w:val="0"/>
          <w:szCs w:val="24"/>
          <w:rtl/>
        </w:rPr>
        <w:t>תכלי</w:t>
      </w:r>
      <w:r>
        <w:rPr>
          <w:rFonts w:ascii="Century" w:hAnsi="Century" w:cs="Miriam" w:hint="cs"/>
          <w:b/>
          <w:spacing w:val="0"/>
          <w:szCs w:val="24"/>
          <w:rtl/>
        </w:rPr>
        <w:t>ת אובייקטיבית</w:t>
      </w:r>
    </w:p>
    <w:p w:rsidR="00872589" w:rsidRDefault="00872589" w:rsidP="00216C97">
      <w:pPr>
        <w:pStyle w:val="Ruller41"/>
        <w:numPr>
          <w:ilvl w:val="0"/>
          <w:numId w:val="37"/>
        </w:numPr>
        <w:rPr>
          <w:rFonts w:ascii="Century" w:hAnsi="Century" w:cs="Miriam"/>
          <w:b/>
          <w:spacing w:val="0"/>
          <w:szCs w:val="24"/>
          <w:rtl/>
        </w:rPr>
      </w:pPr>
      <w:r>
        <w:rPr>
          <w:rFonts w:ascii="Century" w:hAnsi="Century" w:cs="Miriam" w:hint="cs"/>
          <w:b/>
          <w:spacing w:val="0"/>
          <w:szCs w:val="24"/>
          <w:rtl/>
        </w:rPr>
        <w:t>תכליות חוק השבות בכללותו</w:t>
      </w:r>
    </w:p>
    <w:p w:rsidR="00216C97" w:rsidRPr="00B11152" w:rsidRDefault="00216C97" w:rsidP="00216C97">
      <w:pPr>
        <w:pStyle w:val="Ruller41"/>
        <w:ind w:left="1155"/>
        <w:rPr>
          <w:rFonts w:ascii="Century" w:hAnsi="Century" w:cs="Miriam"/>
          <w:b/>
          <w:spacing w:val="0"/>
          <w:szCs w:val="24"/>
        </w:rPr>
      </w:pPr>
    </w:p>
    <w:p w:rsidR="00872589" w:rsidRPr="006E3E10" w:rsidRDefault="00872589" w:rsidP="00872589">
      <w:pPr>
        <w:pStyle w:val="Ruller4"/>
        <w:textAlignment w:val="baseline"/>
      </w:pPr>
      <w:r>
        <w:rPr>
          <w:rFonts w:hint="cs"/>
          <w:rtl/>
        </w:rPr>
        <w:t xml:space="preserve">חברי, מ"מ הנשיא, העמיק חקר </w:t>
      </w:r>
      <w:r w:rsidRPr="00FA5BD6">
        <w:rPr>
          <w:rFonts w:hint="cs"/>
          <w:rtl/>
        </w:rPr>
        <w:t>בתכליותיו של תיקון</w:t>
      </w:r>
      <w:r>
        <w:rPr>
          <w:rFonts w:hint="cs"/>
          <w:rtl/>
        </w:rPr>
        <w:t xml:space="preserve"> מספר</w:t>
      </w:r>
      <w:r w:rsidRPr="00FA5BD6">
        <w:rPr>
          <w:rFonts w:hint="cs"/>
          <w:rtl/>
        </w:rPr>
        <w:t xml:space="preserve"> 2 לחוק. דברים</w:t>
      </w:r>
      <w:r>
        <w:rPr>
          <w:rFonts w:hint="cs"/>
          <w:rtl/>
        </w:rPr>
        <w:t xml:space="preserve"> אלה הם כמובן בעלי חשיבות ניכרת; אגיע אליהם בהמשך. אולם סבורני כי עוד קודם לכן, עלינו לעמוד על תכליותיו הכלליות של </w:t>
      </w:r>
      <w:r w:rsidRPr="00FA5BD6">
        <w:rPr>
          <w:rFonts w:hint="cs"/>
          <w:rtl/>
        </w:rPr>
        <w:t>חוק השבות המקורי. סעיפים</w:t>
      </w:r>
      <w:r>
        <w:rPr>
          <w:rFonts w:hint="cs"/>
          <w:rtl/>
        </w:rPr>
        <w:t xml:space="preserve"> 4א ו-4ב חשיבותם רבה, אך הם פרט אחד בתמונה גדולה יותר. עלינו להרחיב את המבט. כדברי השופט </w:t>
      </w:r>
      <w:r w:rsidRPr="009B3554">
        <w:rPr>
          <w:rFonts w:ascii="Century" w:hAnsi="Century" w:cs="Miriam" w:hint="cs"/>
          <w:b/>
          <w:spacing w:val="0"/>
          <w:sz w:val="22"/>
          <w:szCs w:val="24"/>
          <w:rtl/>
        </w:rPr>
        <w:t>חשין</w:t>
      </w:r>
      <w:r>
        <w:rPr>
          <w:rFonts w:hint="cs"/>
          <w:rtl/>
        </w:rPr>
        <w:t xml:space="preserve">, בעניין </w:t>
      </w:r>
      <w:r w:rsidRPr="009B3554">
        <w:rPr>
          <w:rFonts w:ascii="Century" w:hAnsi="Century" w:cs="Miriam" w:hint="cs"/>
          <w:b/>
          <w:spacing w:val="0"/>
          <w:sz w:val="22"/>
          <w:szCs w:val="24"/>
          <w:rtl/>
        </w:rPr>
        <w:t>סטמקה</w:t>
      </w:r>
      <w:r w:rsidRPr="009B3554">
        <w:rPr>
          <w:rFonts w:hint="cs"/>
          <w:rtl/>
        </w:rPr>
        <w:t xml:space="preserve"> </w:t>
      </w:r>
      <w:r>
        <w:rPr>
          <w:rFonts w:hint="cs"/>
          <w:rtl/>
        </w:rPr>
        <w:t>(עמודים 758-757):</w:t>
      </w:r>
    </w:p>
    <w:p w:rsidR="00872589" w:rsidRDefault="00872589" w:rsidP="00872589">
      <w:pPr>
        <w:pStyle w:val="Ruller4"/>
        <w:numPr>
          <w:ilvl w:val="0"/>
          <w:numId w:val="0"/>
        </w:numPr>
        <w:rPr>
          <w:rtl/>
        </w:rPr>
      </w:pPr>
    </w:p>
    <w:p w:rsidR="00872589" w:rsidRDefault="00872589" w:rsidP="00872589">
      <w:pPr>
        <w:pStyle w:val="Ruller5"/>
        <w:spacing w:line="360" w:lineRule="auto"/>
        <w:rPr>
          <w:rtl/>
        </w:rPr>
      </w:pPr>
      <w:r w:rsidRPr="009B3554">
        <w:rPr>
          <w:rFonts w:ascii="Century" w:hAnsi="Century" w:cs="Miriam" w:hint="cs"/>
          <w:b/>
          <w:spacing w:val="0"/>
          <w:szCs w:val="24"/>
          <w:rtl/>
        </w:rPr>
        <w:t>"</w:t>
      </w:r>
      <w:r w:rsidRPr="009B3554">
        <w:rPr>
          <w:rFonts w:ascii="Century" w:hAnsi="Century" w:cs="Miriam" w:hint="eastAsia"/>
          <w:b/>
          <w:spacing w:val="0"/>
          <w:szCs w:val="24"/>
          <w:rtl/>
        </w:rPr>
        <w:t>לא</w:t>
      </w:r>
      <w:r w:rsidRPr="009B3554">
        <w:rPr>
          <w:rFonts w:ascii="Century" w:hAnsi="Century" w:cs="Miriam"/>
          <w:b/>
          <w:spacing w:val="0"/>
          <w:szCs w:val="24"/>
          <w:rtl/>
        </w:rPr>
        <w:t xml:space="preserve"> </w:t>
      </w:r>
      <w:r w:rsidRPr="009B3554">
        <w:rPr>
          <w:rFonts w:ascii="Century" w:hAnsi="Century" w:cs="Miriam" w:hint="eastAsia"/>
          <w:b/>
          <w:spacing w:val="0"/>
          <w:szCs w:val="24"/>
          <w:rtl/>
        </w:rPr>
        <w:t>יהא</w:t>
      </w:r>
      <w:r w:rsidRPr="009B3554">
        <w:rPr>
          <w:rFonts w:ascii="Century" w:hAnsi="Century" w:cs="Miriam"/>
          <w:b/>
          <w:spacing w:val="0"/>
          <w:szCs w:val="24"/>
          <w:rtl/>
        </w:rPr>
        <w:t xml:space="preserve"> </w:t>
      </w:r>
      <w:r w:rsidRPr="009B3554">
        <w:rPr>
          <w:rFonts w:ascii="Century" w:hAnsi="Century" w:cs="Miriam" w:hint="eastAsia"/>
          <w:b/>
          <w:spacing w:val="0"/>
          <w:szCs w:val="24"/>
          <w:rtl/>
        </w:rPr>
        <w:t>זה</w:t>
      </w:r>
      <w:r w:rsidRPr="009B3554">
        <w:rPr>
          <w:rFonts w:ascii="Century" w:hAnsi="Century" w:cs="Miriam"/>
          <w:b/>
          <w:spacing w:val="0"/>
          <w:szCs w:val="24"/>
          <w:rtl/>
        </w:rPr>
        <w:t xml:space="preserve"> </w:t>
      </w:r>
      <w:r w:rsidRPr="009B3554">
        <w:rPr>
          <w:rFonts w:ascii="Century" w:hAnsi="Century" w:cs="Miriam" w:hint="eastAsia"/>
          <w:b/>
          <w:spacing w:val="0"/>
          <w:szCs w:val="24"/>
          <w:rtl/>
        </w:rPr>
        <w:t>נכון</w:t>
      </w:r>
      <w:r w:rsidRPr="009B3554">
        <w:rPr>
          <w:rFonts w:ascii="Century" w:hAnsi="Century" w:cs="Miriam"/>
          <w:b/>
          <w:spacing w:val="0"/>
          <w:szCs w:val="24"/>
          <w:rtl/>
        </w:rPr>
        <w:t xml:space="preserve"> </w:t>
      </w:r>
      <w:r w:rsidRPr="009B3554">
        <w:rPr>
          <w:rFonts w:ascii="Century" w:hAnsi="Century" w:cs="Miriam" w:hint="eastAsia"/>
          <w:b/>
          <w:spacing w:val="0"/>
          <w:szCs w:val="24"/>
          <w:rtl/>
        </w:rPr>
        <w:t>ולא</w:t>
      </w:r>
      <w:r w:rsidRPr="009B3554">
        <w:rPr>
          <w:rFonts w:ascii="Century" w:hAnsi="Century" w:cs="Miriam"/>
          <w:b/>
          <w:spacing w:val="0"/>
          <w:szCs w:val="24"/>
          <w:rtl/>
        </w:rPr>
        <w:t xml:space="preserve"> </w:t>
      </w:r>
      <w:r w:rsidRPr="009B3554">
        <w:rPr>
          <w:rFonts w:ascii="Century" w:hAnsi="Century" w:cs="Miriam" w:hint="eastAsia"/>
          <w:b/>
          <w:spacing w:val="0"/>
          <w:szCs w:val="24"/>
          <w:rtl/>
        </w:rPr>
        <w:t>יהא</w:t>
      </w:r>
      <w:r w:rsidRPr="009B3554">
        <w:rPr>
          <w:rFonts w:ascii="Century" w:hAnsi="Century" w:cs="Miriam"/>
          <w:b/>
          <w:spacing w:val="0"/>
          <w:szCs w:val="24"/>
          <w:rtl/>
        </w:rPr>
        <w:t xml:space="preserve"> </w:t>
      </w:r>
      <w:r w:rsidRPr="009B3554">
        <w:rPr>
          <w:rFonts w:ascii="Century" w:hAnsi="Century" w:cs="Miriam" w:hint="eastAsia"/>
          <w:b/>
          <w:spacing w:val="0"/>
          <w:szCs w:val="24"/>
          <w:rtl/>
        </w:rPr>
        <w:t>זה</w:t>
      </w:r>
      <w:r w:rsidRPr="009B3554">
        <w:rPr>
          <w:rFonts w:ascii="Century" w:hAnsi="Century" w:cs="Miriam"/>
          <w:b/>
          <w:spacing w:val="0"/>
          <w:szCs w:val="24"/>
          <w:rtl/>
        </w:rPr>
        <w:t xml:space="preserve"> </w:t>
      </w:r>
      <w:r w:rsidRPr="009B3554">
        <w:rPr>
          <w:rFonts w:ascii="Century" w:hAnsi="Century" w:cs="Miriam" w:hint="eastAsia"/>
          <w:b/>
          <w:spacing w:val="0"/>
          <w:szCs w:val="24"/>
          <w:rtl/>
        </w:rPr>
        <w:t>ראוי</w:t>
      </w:r>
      <w:r w:rsidRPr="009B3554">
        <w:rPr>
          <w:rFonts w:ascii="Century" w:hAnsi="Century" w:cs="Miriam"/>
          <w:b/>
          <w:spacing w:val="0"/>
          <w:szCs w:val="24"/>
          <w:rtl/>
        </w:rPr>
        <w:t xml:space="preserve"> </w:t>
      </w:r>
      <w:r w:rsidRPr="009B3554">
        <w:rPr>
          <w:rFonts w:ascii="Century" w:hAnsi="Century" w:cs="Miriam" w:hint="eastAsia"/>
          <w:b/>
          <w:spacing w:val="0"/>
          <w:szCs w:val="24"/>
          <w:rtl/>
        </w:rPr>
        <w:t>אם</w:t>
      </w:r>
      <w:r w:rsidRPr="009B3554">
        <w:rPr>
          <w:rFonts w:ascii="Century" w:hAnsi="Century" w:cs="Miriam"/>
          <w:b/>
          <w:spacing w:val="0"/>
          <w:szCs w:val="24"/>
          <w:rtl/>
        </w:rPr>
        <w:t xml:space="preserve"> </w:t>
      </w:r>
      <w:r w:rsidRPr="009B3554">
        <w:rPr>
          <w:rFonts w:ascii="Century" w:hAnsi="Century" w:cs="Miriam" w:hint="eastAsia"/>
          <w:b/>
          <w:spacing w:val="0"/>
          <w:szCs w:val="24"/>
          <w:rtl/>
        </w:rPr>
        <w:t>נפרש</w:t>
      </w:r>
      <w:r w:rsidRPr="009B3554">
        <w:rPr>
          <w:rFonts w:ascii="Century" w:hAnsi="Century" w:cs="Miriam"/>
          <w:b/>
          <w:spacing w:val="0"/>
          <w:szCs w:val="24"/>
          <w:rtl/>
        </w:rPr>
        <w:t xml:space="preserve"> </w:t>
      </w:r>
      <w:r w:rsidRPr="009B3554">
        <w:rPr>
          <w:rFonts w:ascii="Century" w:hAnsi="Century" w:cs="Miriam" w:hint="eastAsia"/>
          <w:b/>
          <w:spacing w:val="0"/>
          <w:szCs w:val="24"/>
          <w:rtl/>
        </w:rPr>
        <w:t>את</w:t>
      </w:r>
      <w:r w:rsidRPr="009B3554">
        <w:rPr>
          <w:rFonts w:ascii="Century" w:hAnsi="Century" w:cs="Miriam"/>
          <w:b/>
          <w:spacing w:val="0"/>
          <w:szCs w:val="24"/>
          <w:rtl/>
        </w:rPr>
        <w:t xml:space="preserve"> </w:t>
      </w:r>
      <w:r w:rsidRPr="009B3554">
        <w:rPr>
          <w:rFonts w:ascii="Century" w:hAnsi="Century" w:cs="Miriam" w:hint="eastAsia"/>
          <w:b/>
          <w:spacing w:val="0"/>
          <w:szCs w:val="24"/>
          <w:rtl/>
        </w:rPr>
        <w:t>הוראות</w:t>
      </w:r>
      <w:r w:rsidRPr="009B3554">
        <w:rPr>
          <w:rFonts w:ascii="Century" w:hAnsi="Century" w:cs="Miriam"/>
          <w:b/>
          <w:spacing w:val="0"/>
          <w:szCs w:val="24"/>
          <w:rtl/>
        </w:rPr>
        <w:t xml:space="preserve"> </w:t>
      </w:r>
      <w:r w:rsidRPr="009B3554">
        <w:rPr>
          <w:rFonts w:ascii="Century" w:hAnsi="Century" w:cs="Miriam" w:hint="eastAsia"/>
          <w:b/>
          <w:spacing w:val="0"/>
          <w:szCs w:val="24"/>
          <w:rtl/>
        </w:rPr>
        <w:t>הסעיפים</w:t>
      </w:r>
      <w:r w:rsidRPr="009B3554">
        <w:rPr>
          <w:rFonts w:ascii="Century" w:hAnsi="Century" w:cs="Miriam"/>
          <w:b/>
          <w:spacing w:val="0"/>
          <w:szCs w:val="24"/>
          <w:rtl/>
        </w:rPr>
        <w:t xml:space="preserve"> 4</w:t>
      </w:r>
      <w:r w:rsidRPr="009B3554">
        <w:rPr>
          <w:rFonts w:ascii="Century" w:hAnsi="Century" w:cs="Miriam" w:hint="eastAsia"/>
          <w:b/>
          <w:spacing w:val="0"/>
          <w:szCs w:val="24"/>
          <w:rtl/>
        </w:rPr>
        <w:t>א</w:t>
      </w:r>
      <w:r w:rsidRPr="009B3554">
        <w:rPr>
          <w:rFonts w:ascii="Century" w:hAnsi="Century" w:cs="Miriam"/>
          <w:b/>
          <w:spacing w:val="0"/>
          <w:szCs w:val="24"/>
          <w:rtl/>
        </w:rPr>
        <w:t xml:space="preserve"> </w:t>
      </w:r>
      <w:r w:rsidRPr="009B3554">
        <w:rPr>
          <w:rFonts w:ascii="Century" w:hAnsi="Century" w:cs="Miriam" w:hint="eastAsia"/>
          <w:b/>
          <w:spacing w:val="0"/>
          <w:szCs w:val="24"/>
          <w:rtl/>
        </w:rPr>
        <w:t>ו</w:t>
      </w:r>
      <w:r w:rsidRPr="009B3554">
        <w:rPr>
          <w:rFonts w:ascii="Century" w:hAnsi="Century" w:cs="Miriam"/>
          <w:b/>
          <w:spacing w:val="0"/>
          <w:szCs w:val="24"/>
          <w:rtl/>
        </w:rPr>
        <w:t>-4</w:t>
      </w:r>
      <w:r w:rsidRPr="009B3554">
        <w:rPr>
          <w:rFonts w:ascii="Century" w:hAnsi="Century" w:cs="Miriam" w:hint="eastAsia"/>
          <w:b/>
          <w:spacing w:val="0"/>
          <w:szCs w:val="24"/>
          <w:rtl/>
        </w:rPr>
        <w:t>ב</w:t>
      </w:r>
      <w:r w:rsidRPr="009B3554">
        <w:rPr>
          <w:rFonts w:ascii="Century" w:hAnsi="Century" w:cs="Miriam"/>
          <w:b/>
          <w:spacing w:val="0"/>
          <w:szCs w:val="24"/>
          <w:rtl/>
        </w:rPr>
        <w:t xml:space="preserve"> </w:t>
      </w:r>
      <w:r w:rsidRPr="009B3554">
        <w:rPr>
          <w:rFonts w:ascii="Century" w:hAnsi="Century" w:cs="Miriam" w:hint="eastAsia"/>
          <w:b/>
          <w:spacing w:val="0"/>
          <w:szCs w:val="24"/>
          <w:rtl/>
        </w:rPr>
        <w:t>לחוק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במנותק</w:t>
      </w:r>
      <w:r w:rsidRPr="009B3554">
        <w:rPr>
          <w:rFonts w:ascii="Century" w:hAnsi="Century" w:cs="Miriam"/>
          <w:b/>
          <w:spacing w:val="0"/>
          <w:szCs w:val="24"/>
          <w:rtl/>
        </w:rPr>
        <w:t xml:space="preserve"> </w:t>
      </w:r>
      <w:r w:rsidRPr="009B3554">
        <w:rPr>
          <w:rFonts w:ascii="Century" w:hAnsi="Century" w:cs="Miriam" w:hint="eastAsia"/>
          <w:b/>
          <w:spacing w:val="0"/>
          <w:szCs w:val="24"/>
          <w:rtl/>
        </w:rPr>
        <w:t>מחוק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המקורי</w:t>
      </w:r>
      <w:r w:rsidRPr="009B3554">
        <w:rPr>
          <w:rFonts w:ascii="Century" w:hAnsi="Century" w:cs="Miriam"/>
          <w:b/>
          <w:spacing w:val="0"/>
          <w:szCs w:val="24"/>
          <w:rtl/>
        </w:rPr>
        <w:t xml:space="preserve">. </w:t>
      </w:r>
      <w:r w:rsidRPr="009B3554">
        <w:rPr>
          <w:rFonts w:ascii="Century" w:hAnsi="Century" w:cs="Miriam" w:hint="eastAsia"/>
          <w:b/>
          <w:spacing w:val="0"/>
          <w:szCs w:val="24"/>
          <w:rtl/>
        </w:rPr>
        <w:t>הוראות</w:t>
      </w:r>
      <w:r w:rsidRPr="009B3554">
        <w:rPr>
          <w:rFonts w:ascii="Century" w:hAnsi="Century" w:cs="Miriam"/>
          <w:b/>
          <w:spacing w:val="0"/>
          <w:szCs w:val="24"/>
          <w:rtl/>
        </w:rPr>
        <w:t xml:space="preserve"> </w:t>
      </w:r>
      <w:r w:rsidRPr="009B3554">
        <w:rPr>
          <w:rFonts w:ascii="Century" w:hAnsi="Century" w:cs="Miriam" w:hint="eastAsia"/>
          <w:b/>
          <w:spacing w:val="0"/>
          <w:szCs w:val="24"/>
          <w:rtl/>
        </w:rPr>
        <w:t>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במקורן</w:t>
      </w:r>
      <w:r w:rsidRPr="009B3554">
        <w:rPr>
          <w:rFonts w:ascii="Century" w:hAnsi="Century" w:cs="Miriam"/>
          <w:b/>
          <w:spacing w:val="0"/>
          <w:szCs w:val="24"/>
          <w:rtl/>
        </w:rPr>
        <w:t xml:space="preserve">, </w:t>
      </w:r>
      <w:r w:rsidRPr="009B3554">
        <w:rPr>
          <w:rFonts w:ascii="Century" w:hAnsi="Century" w:cs="Miriam" w:hint="eastAsia"/>
          <w:b/>
          <w:spacing w:val="0"/>
          <w:szCs w:val="24"/>
          <w:rtl/>
        </w:rPr>
        <w:t>ועמהן</w:t>
      </w:r>
      <w:r w:rsidRPr="009B3554">
        <w:rPr>
          <w:rFonts w:ascii="Century" w:hAnsi="Century" w:cs="Miriam"/>
          <w:b/>
          <w:spacing w:val="0"/>
          <w:szCs w:val="24"/>
          <w:rtl/>
        </w:rPr>
        <w:t xml:space="preserve"> </w:t>
      </w:r>
      <w:r w:rsidRPr="009B3554">
        <w:rPr>
          <w:rFonts w:ascii="Century" w:hAnsi="Century" w:cs="Miriam" w:hint="eastAsia"/>
          <w:b/>
          <w:spacing w:val="0"/>
          <w:szCs w:val="24"/>
          <w:rtl/>
        </w:rPr>
        <w:t>הוראות</w:t>
      </w:r>
      <w:r w:rsidRPr="009B3554">
        <w:rPr>
          <w:rFonts w:ascii="Century" w:hAnsi="Century" w:cs="Miriam"/>
          <w:b/>
          <w:spacing w:val="0"/>
          <w:szCs w:val="24"/>
          <w:rtl/>
        </w:rPr>
        <w:t xml:space="preserve"> </w:t>
      </w:r>
      <w:r w:rsidRPr="009B3554">
        <w:rPr>
          <w:rFonts w:ascii="Century" w:hAnsi="Century" w:cs="Miriam" w:hint="eastAsia"/>
          <w:b/>
          <w:spacing w:val="0"/>
          <w:szCs w:val="24"/>
          <w:rtl/>
        </w:rPr>
        <w:t>הסעיפים</w:t>
      </w:r>
      <w:r w:rsidRPr="009B3554">
        <w:rPr>
          <w:rFonts w:ascii="Century" w:hAnsi="Century" w:cs="Miriam"/>
          <w:b/>
          <w:spacing w:val="0"/>
          <w:szCs w:val="24"/>
          <w:rtl/>
        </w:rPr>
        <w:t xml:space="preserve"> 4</w:t>
      </w:r>
      <w:r w:rsidRPr="009B3554">
        <w:rPr>
          <w:rFonts w:ascii="Century" w:hAnsi="Century" w:cs="Miriam" w:hint="eastAsia"/>
          <w:b/>
          <w:spacing w:val="0"/>
          <w:szCs w:val="24"/>
          <w:rtl/>
        </w:rPr>
        <w:t>א</w:t>
      </w:r>
      <w:r w:rsidRPr="009B3554">
        <w:rPr>
          <w:rFonts w:ascii="Century" w:hAnsi="Century" w:cs="Miriam"/>
          <w:b/>
          <w:spacing w:val="0"/>
          <w:szCs w:val="24"/>
          <w:rtl/>
        </w:rPr>
        <w:t xml:space="preserve"> </w:t>
      </w:r>
      <w:r w:rsidRPr="009B3554">
        <w:rPr>
          <w:rFonts w:ascii="Century" w:hAnsi="Century" w:cs="Miriam" w:hint="eastAsia"/>
          <w:b/>
          <w:spacing w:val="0"/>
          <w:szCs w:val="24"/>
          <w:rtl/>
        </w:rPr>
        <w:t>ו</w:t>
      </w:r>
      <w:r w:rsidRPr="009B3554">
        <w:rPr>
          <w:rFonts w:ascii="Century" w:hAnsi="Century" w:cs="Miriam"/>
          <w:b/>
          <w:spacing w:val="0"/>
          <w:szCs w:val="24"/>
          <w:rtl/>
        </w:rPr>
        <w:t>-4</w:t>
      </w:r>
      <w:r w:rsidRPr="009B3554">
        <w:rPr>
          <w:rFonts w:ascii="Century" w:hAnsi="Century" w:cs="Miriam" w:hint="eastAsia"/>
          <w:b/>
          <w:spacing w:val="0"/>
          <w:szCs w:val="24"/>
          <w:rtl/>
        </w:rPr>
        <w:t>ב</w:t>
      </w:r>
      <w:r w:rsidRPr="009B3554">
        <w:rPr>
          <w:rFonts w:ascii="Century" w:hAnsi="Century" w:cs="Miriam"/>
          <w:b/>
          <w:spacing w:val="0"/>
          <w:szCs w:val="24"/>
          <w:rtl/>
        </w:rPr>
        <w:t xml:space="preserve">, </w:t>
      </w:r>
      <w:r w:rsidRPr="009B3554">
        <w:rPr>
          <w:rFonts w:ascii="Century" w:hAnsi="Century" w:cs="Miriam" w:hint="eastAsia"/>
          <w:b/>
          <w:spacing w:val="0"/>
          <w:szCs w:val="24"/>
          <w:rtl/>
        </w:rPr>
        <w:t>אין</w:t>
      </w:r>
      <w:r w:rsidRPr="009B3554">
        <w:rPr>
          <w:rFonts w:ascii="Century" w:hAnsi="Century" w:cs="Miriam"/>
          <w:b/>
          <w:spacing w:val="0"/>
          <w:szCs w:val="24"/>
          <w:rtl/>
        </w:rPr>
        <w:t xml:space="preserve"> </w:t>
      </w:r>
      <w:r w:rsidRPr="009B3554">
        <w:rPr>
          <w:rFonts w:ascii="Century" w:hAnsi="Century" w:cs="Miriam" w:hint="eastAsia"/>
          <w:b/>
          <w:spacing w:val="0"/>
          <w:szCs w:val="24"/>
          <w:rtl/>
        </w:rPr>
        <w:t>לפרשן</w:t>
      </w:r>
      <w:r w:rsidRPr="009B3554">
        <w:rPr>
          <w:rFonts w:ascii="Century" w:hAnsi="Century" w:cs="Miriam"/>
          <w:b/>
          <w:spacing w:val="0"/>
          <w:szCs w:val="24"/>
          <w:rtl/>
        </w:rPr>
        <w:t xml:space="preserve"> </w:t>
      </w:r>
      <w:r w:rsidRPr="009B3554">
        <w:rPr>
          <w:rFonts w:ascii="Century" w:hAnsi="Century" w:cs="Miriam" w:hint="eastAsia"/>
          <w:b/>
          <w:spacing w:val="0"/>
          <w:szCs w:val="24"/>
          <w:rtl/>
        </w:rPr>
        <w:t>ולבארן</w:t>
      </w:r>
      <w:r w:rsidRPr="009B3554">
        <w:rPr>
          <w:rFonts w:ascii="Century" w:hAnsi="Century" w:cs="Miriam"/>
          <w:b/>
          <w:spacing w:val="0"/>
          <w:szCs w:val="24"/>
          <w:rtl/>
        </w:rPr>
        <w:t xml:space="preserve"> </w:t>
      </w:r>
      <w:r w:rsidRPr="009B3554">
        <w:rPr>
          <w:rFonts w:ascii="Century" w:hAnsi="Century" w:cs="Miriam" w:hint="eastAsia"/>
          <w:b/>
          <w:spacing w:val="0"/>
          <w:szCs w:val="24"/>
          <w:rtl/>
        </w:rPr>
        <w:t>במנותק</w:t>
      </w:r>
      <w:r w:rsidRPr="009B3554">
        <w:rPr>
          <w:rFonts w:ascii="Century" w:hAnsi="Century" w:cs="Miriam"/>
          <w:b/>
          <w:spacing w:val="0"/>
          <w:szCs w:val="24"/>
          <w:rtl/>
        </w:rPr>
        <w:t xml:space="preserve"> </w:t>
      </w:r>
      <w:r w:rsidRPr="009B3554">
        <w:rPr>
          <w:rFonts w:ascii="Century" w:hAnsi="Century" w:cs="Miriam" w:hint="eastAsia"/>
          <w:b/>
          <w:spacing w:val="0"/>
          <w:szCs w:val="24"/>
          <w:rtl/>
        </w:rPr>
        <w:t>אלו</w:t>
      </w:r>
      <w:r w:rsidRPr="009B3554">
        <w:rPr>
          <w:rFonts w:ascii="Century" w:hAnsi="Century" w:cs="Miriam"/>
          <w:b/>
          <w:spacing w:val="0"/>
          <w:szCs w:val="24"/>
          <w:rtl/>
        </w:rPr>
        <w:t>-</w:t>
      </w:r>
      <w:r w:rsidRPr="009B3554">
        <w:rPr>
          <w:rFonts w:ascii="Century" w:hAnsi="Century" w:cs="Miriam" w:hint="eastAsia"/>
          <w:b/>
          <w:spacing w:val="0"/>
          <w:szCs w:val="24"/>
          <w:rtl/>
        </w:rPr>
        <w:t>מאלו</w:t>
      </w:r>
      <w:r w:rsidRPr="009B3554">
        <w:rPr>
          <w:rFonts w:ascii="Century" w:hAnsi="Century" w:cs="Miriam"/>
          <w:b/>
          <w:spacing w:val="0"/>
          <w:szCs w:val="24"/>
          <w:rtl/>
        </w:rPr>
        <w:t xml:space="preserve">: </w:t>
      </w:r>
      <w:r w:rsidRPr="009B3554">
        <w:rPr>
          <w:rFonts w:ascii="Century" w:hAnsi="Century" w:cs="Miriam" w:hint="eastAsia"/>
          <w:b/>
          <w:spacing w:val="0"/>
          <w:szCs w:val="24"/>
          <w:rtl/>
        </w:rPr>
        <w:t>משלימות</w:t>
      </w:r>
      <w:r w:rsidRPr="009B3554">
        <w:rPr>
          <w:rFonts w:ascii="Century" w:hAnsi="Century" w:cs="Miriam"/>
          <w:b/>
          <w:spacing w:val="0"/>
          <w:szCs w:val="24"/>
          <w:rtl/>
        </w:rPr>
        <w:t xml:space="preserve"> </w:t>
      </w:r>
      <w:r w:rsidRPr="009B3554">
        <w:rPr>
          <w:rFonts w:ascii="Century" w:hAnsi="Century" w:cs="Miriam" w:hint="eastAsia"/>
          <w:b/>
          <w:spacing w:val="0"/>
          <w:szCs w:val="24"/>
          <w:rtl/>
        </w:rPr>
        <w:t>הן</w:t>
      </w:r>
      <w:r w:rsidRPr="009B3554">
        <w:rPr>
          <w:rFonts w:ascii="Century" w:hAnsi="Century" w:cs="Miriam"/>
          <w:b/>
          <w:spacing w:val="0"/>
          <w:szCs w:val="24"/>
          <w:rtl/>
        </w:rPr>
        <w:t xml:space="preserve"> </w:t>
      </w:r>
      <w:r w:rsidRPr="009B3554">
        <w:rPr>
          <w:rFonts w:ascii="Century" w:hAnsi="Century" w:cs="Miriam" w:hint="eastAsia"/>
          <w:b/>
          <w:spacing w:val="0"/>
          <w:szCs w:val="24"/>
          <w:rtl/>
        </w:rPr>
        <w:t>אלו</w:t>
      </w:r>
      <w:r w:rsidRPr="009B3554">
        <w:rPr>
          <w:rFonts w:ascii="Century" w:hAnsi="Century" w:cs="Miriam"/>
          <w:b/>
          <w:spacing w:val="0"/>
          <w:szCs w:val="24"/>
          <w:rtl/>
        </w:rPr>
        <w:t>-</w:t>
      </w:r>
      <w:r w:rsidRPr="009B3554">
        <w:rPr>
          <w:rFonts w:ascii="Century" w:hAnsi="Century" w:cs="Miriam" w:hint="eastAsia"/>
          <w:b/>
          <w:spacing w:val="0"/>
          <w:szCs w:val="24"/>
          <w:rtl/>
        </w:rPr>
        <w:t>את</w:t>
      </w:r>
      <w:r w:rsidRPr="009B3554">
        <w:rPr>
          <w:rFonts w:ascii="Century" w:hAnsi="Century" w:cs="Miriam"/>
          <w:b/>
          <w:spacing w:val="0"/>
          <w:szCs w:val="24"/>
          <w:rtl/>
        </w:rPr>
        <w:t>-</w:t>
      </w:r>
      <w:r w:rsidRPr="009B3554">
        <w:rPr>
          <w:rFonts w:ascii="Century" w:hAnsi="Century" w:cs="Miriam" w:hint="eastAsia"/>
          <w:b/>
          <w:spacing w:val="0"/>
          <w:szCs w:val="24"/>
          <w:rtl/>
        </w:rPr>
        <w:t>אלו</w:t>
      </w:r>
      <w:r w:rsidRPr="009B3554">
        <w:rPr>
          <w:rFonts w:ascii="Century" w:hAnsi="Century" w:cs="Miriam"/>
          <w:b/>
          <w:spacing w:val="0"/>
          <w:szCs w:val="24"/>
          <w:rtl/>
        </w:rPr>
        <w:t xml:space="preserve"> </w:t>
      </w:r>
      <w:r w:rsidRPr="009B3554">
        <w:rPr>
          <w:rFonts w:ascii="Century" w:hAnsi="Century" w:cs="Miriam" w:hint="eastAsia"/>
          <w:b/>
          <w:spacing w:val="0"/>
          <w:szCs w:val="24"/>
          <w:rtl/>
        </w:rPr>
        <w:t>להיותן</w:t>
      </w:r>
      <w:r w:rsidRPr="009B3554">
        <w:rPr>
          <w:rFonts w:ascii="Century" w:hAnsi="Century" w:cs="Miriam"/>
          <w:b/>
          <w:spacing w:val="0"/>
          <w:szCs w:val="24"/>
          <w:rtl/>
        </w:rPr>
        <w:t xml:space="preserve"> </w:t>
      </w:r>
      <w:r w:rsidRPr="009B3554">
        <w:rPr>
          <w:rFonts w:ascii="Century" w:hAnsi="Century" w:cs="Miriam" w:hint="eastAsia"/>
          <w:b/>
          <w:spacing w:val="0"/>
          <w:szCs w:val="24"/>
          <w:rtl/>
        </w:rPr>
        <w:t>לאחדים</w:t>
      </w:r>
      <w:r w:rsidRPr="009B3554">
        <w:rPr>
          <w:rFonts w:ascii="Century" w:hAnsi="Century" w:cs="Miriam"/>
          <w:b/>
          <w:spacing w:val="0"/>
          <w:szCs w:val="24"/>
          <w:rtl/>
        </w:rPr>
        <w:t xml:space="preserve">: </w:t>
      </w:r>
      <w:r w:rsidRPr="009B3554">
        <w:rPr>
          <w:rFonts w:ascii="Century" w:hAnsi="Century" w:cs="Miriam" w:hint="eastAsia"/>
          <w:b/>
          <w:spacing w:val="0"/>
          <w:szCs w:val="24"/>
          <w:rtl/>
        </w:rPr>
        <w:t>גוף</w:t>
      </w:r>
      <w:r w:rsidRPr="009B3554">
        <w:rPr>
          <w:rFonts w:ascii="Century" w:hAnsi="Century" w:cs="Miriam"/>
          <w:b/>
          <w:spacing w:val="0"/>
          <w:szCs w:val="24"/>
          <w:rtl/>
        </w:rPr>
        <w:t xml:space="preserve"> </w:t>
      </w:r>
      <w:r w:rsidRPr="009B3554">
        <w:rPr>
          <w:rFonts w:ascii="Century" w:hAnsi="Century" w:cs="Miriam" w:hint="eastAsia"/>
          <w:b/>
          <w:spacing w:val="0"/>
          <w:szCs w:val="24"/>
          <w:rtl/>
        </w:rPr>
        <w:t>אחד</w:t>
      </w:r>
      <w:r w:rsidRPr="009B3554">
        <w:rPr>
          <w:rFonts w:ascii="Century" w:hAnsi="Century" w:cs="Miriam"/>
          <w:b/>
          <w:spacing w:val="0"/>
          <w:szCs w:val="24"/>
          <w:rtl/>
        </w:rPr>
        <w:t xml:space="preserve"> </w:t>
      </w:r>
      <w:r w:rsidRPr="009B3554">
        <w:rPr>
          <w:rFonts w:ascii="Century" w:hAnsi="Century" w:cs="Miriam" w:hint="eastAsia"/>
          <w:b/>
          <w:spacing w:val="0"/>
          <w:szCs w:val="24"/>
          <w:rtl/>
        </w:rPr>
        <w:t>הן</w:t>
      </w:r>
      <w:r w:rsidRPr="009B3554">
        <w:rPr>
          <w:rFonts w:ascii="Century" w:hAnsi="Century" w:cs="Miriam"/>
          <w:b/>
          <w:spacing w:val="0"/>
          <w:szCs w:val="24"/>
          <w:rtl/>
        </w:rPr>
        <w:t xml:space="preserve"> </w:t>
      </w:r>
      <w:r w:rsidRPr="009B3554">
        <w:rPr>
          <w:rFonts w:ascii="Century" w:hAnsi="Century" w:cs="Miriam" w:hint="eastAsia"/>
          <w:b/>
          <w:spacing w:val="0"/>
          <w:szCs w:val="24"/>
          <w:rtl/>
        </w:rPr>
        <w:t>שאבריו</w:t>
      </w:r>
      <w:r w:rsidRPr="009B3554">
        <w:rPr>
          <w:rFonts w:ascii="Century" w:hAnsi="Century" w:cs="Miriam"/>
          <w:b/>
          <w:spacing w:val="0"/>
          <w:szCs w:val="24"/>
          <w:rtl/>
        </w:rPr>
        <w:t xml:space="preserve"> </w:t>
      </w:r>
      <w:r w:rsidRPr="009B3554">
        <w:rPr>
          <w:rFonts w:ascii="Century" w:hAnsi="Century" w:cs="Miriam" w:hint="eastAsia"/>
          <w:b/>
          <w:spacing w:val="0"/>
          <w:szCs w:val="24"/>
          <w:rtl/>
        </w:rPr>
        <w:t>מתאמים</w:t>
      </w:r>
      <w:r w:rsidRPr="009B3554">
        <w:rPr>
          <w:rFonts w:ascii="Century" w:hAnsi="Century" w:cs="Miriam"/>
          <w:b/>
          <w:spacing w:val="0"/>
          <w:szCs w:val="24"/>
          <w:rtl/>
        </w:rPr>
        <w:t xml:space="preserve"> </w:t>
      </w:r>
      <w:r w:rsidRPr="009B3554">
        <w:rPr>
          <w:rFonts w:ascii="Century" w:hAnsi="Century" w:cs="Miriam" w:hint="eastAsia"/>
          <w:b/>
          <w:spacing w:val="0"/>
          <w:szCs w:val="24"/>
          <w:rtl/>
        </w:rPr>
        <w:t>עצמם</w:t>
      </w:r>
      <w:r w:rsidRPr="009B3554">
        <w:rPr>
          <w:rFonts w:ascii="Century" w:hAnsi="Century" w:cs="Miriam"/>
          <w:b/>
          <w:spacing w:val="0"/>
          <w:szCs w:val="24"/>
          <w:rtl/>
        </w:rPr>
        <w:t xml:space="preserve"> </w:t>
      </w:r>
      <w:r w:rsidRPr="009B3554">
        <w:rPr>
          <w:rFonts w:ascii="Century" w:hAnsi="Century" w:cs="Miriam" w:hint="eastAsia"/>
          <w:b/>
          <w:spacing w:val="0"/>
          <w:szCs w:val="24"/>
          <w:rtl/>
        </w:rPr>
        <w:t>אלה</w:t>
      </w:r>
      <w:r w:rsidRPr="009B3554">
        <w:rPr>
          <w:rFonts w:ascii="Century" w:hAnsi="Century" w:cs="Miriam"/>
          <w:b/>
          <w:spacing w:val="0"/>
          <w:szCs w:val="24"/>
          <w:rtl/>
        </w:rPr>
        <w:t>-</w:t>
      </w:r>
      <w:r w:rsidRPr="009B3554">
        <w:rPr>
          <w:rFonts w:ascii="Century" w:hAnsi="Century" w:cs="Miriam" w:hint="eastAsia"/>
          <w:b/>
          <w:spacing w:val="0"/>
          <w:szCs w:val="24"/>
          <w:rtl/>
        </w:rPr>
        <w:t>אל</w:t>
      </w:r>
      <w:r w:rsidRPr="009B3554">
        <w:rPr>
          <w:rFonts w:ascii="Century" w:hAnsi="Century" w:cs="Miriam"/>
          <w:b/>
          <w:spacing w:val="0"/>
          <w:szCs w:val="24"/>
          <w:rtl/>
        </w:rPr>
        <w:t>-</w:t>
      </w:r>
      <w:r w:rsidRPr="009B3554">
        <w:rPr>
          <w:rFonts w:ascii="Century" w:hAnsi="Century" w:cs="Miriam" w:hint="eastAsia"/>
          <w:b/>
          <w:spacing w:val="0"/>
          <w:szCs w:val="24"/>
          <w:rtl/>
        </w:rPr>
        <w:t>אלה</w:t>
      </w:r>
      <w:r w:rsidRPr="009B3554">
        <w:rPr>
          <w:rFonts w:ascii="Century" w:hAnsi="Century" w:cs="Miriam"/>
          <w:b/>
          <w:spacing w:val="0"/>
          <w:szCs w:val="24"/>
          <w:rtl/>
        </w:rPr>
        <w:t>.</w:t>
      </w:r>
      <w:r w:rsidRPr="009B3554">
        <w:rPr>
          <w:rFonts w:ascii="Century" w:hAnsi="Century" w:cs="Miriam" w:hint="cs"/>
          <w:b/>
          <w:spacing w:val="0"/>
          <w:szCs w:val="24"/>
          <w:rtl/>
        </w:rPr>
        <w:t xml:space="preserve"> </w:t>
      </w:r>
      <w:r w:rsidRPr="009B3554">
        <w:rPr>
          <w:rFonts w:ascii="Century" w:hAnsi="Century" w:cs="Miriam" w:hint="eastAsia"/>
          <w:b/>
          <w:spacing w:val="0"/>
          <w:szCs w:val="24"/>
          <w:rtl/>
        </w:rPr>
        <w:t>בתַקנו</w:t>
      </w:r>
      <w:r w:rsidRPr="009B3554">
        <w:rPr>
          <w:rFonts w:ascii="Century" w:hAnsi="Century" w:cs="Miriam"/>
          <w:b/>
          <w:spacing w:val="0"/>
          <w:szCs w:val="24"/>
          <w:rtl/>
        </w:rPr>
        <w:t xml:space="preserve"> </w:t>
      </w:r>
      <w:r w:rsidRPr="009B3554">
        <w:rPr>
          <w:rFonts w:ascii="Century" w:hAnsi="Century" w:cs="Miriam" w:hint="eastAsia"/>
          <w:b/>
          <w:spacing w:val="0"/>
          <w:szCs w:val="24"/>
          <w:rtl/>
        </w:rPr>
        <w:t>את</w:t>
      </w:r>
      <w:r w:rsidRPr="009B3554">
        <w:rPr>
          <w:rFonts w:ascii="Century" w:hAnsi="Century" w:cs="Miriam"/>
          <w:b/>
          <w:spacing w:val="0"/>
          <w:szCs w:val="24"/>
          <w:rtl/>
        </w:rPr>
        <w:t xml:space="preserve"> </w:t>
      </w:r>
      <w:r w:rsidRPr="009B3554">
        <w:rPr>
          <w:rFonts w:ascii="Century" w:hAnsi="Century" w:cs="Miriam" w:hint="eastAsia"/>
          <w:b/>
          <w:spacing w:val="0"/>
          <w:szCs w:val="24"/>
          <w:rtl/>
        </w:rPr>
        <w:t>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נדמָה</w:t>
      </w:r>
      <w:r w:rsidRPr="009B3554">
        <w:rPr>
          <w:rFonts w:ascii="Century" w:hAnsi="Century" w:cs="Miriam"/>
          <w:b/>
          <w:spacing w:val="0"/>
          <w:szCs w:val="24"/>
          <w:rtl/>
        </w:rPr>
        <w:t xml:space="preserve"> </w:t>
      </w:r>
      <w:r w:rsidRPr="009B3554">
        <w:rPr>
          <w:rFonts w:ascii="Century" w:hAnsi="Century" w:cs="Miriam" w:hint="eastAsia"/>
          <w:b/>
          <w:spacing w:val="0"/>
          <w:szCs w:val="24"/>
          <w:rtl/>
        </w:rPr>
        <w:t>המחוקק</w:t>
      </w:r>
      <w:r w:rsidRPr="009B3554">
        <w:rPr>
          <w:rFonts w:ascii="Century" w:hAnsi="Century" w:cs="Miriam"/>
          <w:b/>
          <w:spacing w:val="0"/>
          <w:szCs w:val="24"/>
          <w:rtl/>
        </w:rPr>
        <w:t xml:space="preserve"> </w:t>
      </w:r>
      <w:r w:rsidRPr="009B3554">
        <w:rPr>
          <w:rFonts w:ascii="Century" w:hAnsi="Century" w:cs="Miriam" w:hint="eastAsia"/>
          <w:b/>
          <w:spacing w:val="0"/>
          <w:szCs w:val="24"/>
          <w:rtl/>
        </w:rPr>
        <w:t>בעינינו</w:t>
      </w:r>
      <w:r w:rsidRPr="009B3554">
        <w:rPr>
          <w:rFonts w:ascii="Century" w:hAnsi="Century" w:cs="Miriam"/>
          <w:b/>
          <w:spacing w:val="0"/>
          <w:szCs w:val="24"/>
          <w:rtl/>
        </w:rPr>
        <w:t xml:space="preserve"> </w:t>
      </w:r>
      <w:r w:rsidRPr="009B3554">
        <w:rPr>
          <w:rFonts w:ascii="Century" w:hAnsi="Century" w:cs="Miriam" w:hint="eastAsia"/>
          <w:b/>
          <w:spacing w:val="0"/>
          <w:szCs w:val="24"/>
          <w:rtl/>
        </w:rPr>
        <w:t>כמי</w:t>
      </w:r>
      <w:r w:rsidRPr="009B3554">
        <w:rPr>
          <w:rFonts w:ascii="Century" w:hAnsi="Century" w:cs="Miriam"/>
          <w:b/>
          <w:spacing w:val="0"/>
          <w:szCs w:val="24"/>
          <w:rtl/>
        </w:rPr>
        <w:t xml:space="preserve"> </w:t>
      </w:r>
      <w:r w:rsidRPr="009B3554">
        <w:rPr>
          <w:rFonts w:ascii="Century" w:hAnsi="Century" w:cs="Miriam" w:hint="eastAsia"/>
          <w:b/>
          <w:spacing w:val="0"/>
          <w:szCs w:val="24"/>
          <w:rtl/>
        </w:rPr>
        <w:t>ששתל</w:t>
      </w:r>
      <w:r w:rsidRPr="009B3554">
        <w:rPr>
          <w:rFonts w:ascii="Century" w:hAnsi="Century" w:cs="Miriam"/>
          <w:b/>
          <w:spacing w:val="0"/>
          <w:szCs w:val="24"/>
          <w:rtl/>
        </w:rPr>
        <w:t xml:space="preserve"> </w:t>
      </w:r>
      <w:r w:rsidRPr="009B3554">
        <w:rPr>
          <w:rFonts w:ascii="Century" w:hAnsi="Century" w:cs="Miriam" w:hint="eastAsia"/>
          <w:b/>
          <w:spacing w:val="0"/>
          <w:szCs w:val="24"/>
          <w:rtl/>
        </w:rPr>
        <w:t>פרחים</w:t>
      </w:r>
      <w:r w:rsidRPr="009B3554">
        <w:rPr>
          <w:rFonts w:ascii="Century" w:hAnsi="Century" w:cs="Miriam"/>
          <w:b/>
          <w:spacing w:val="0"/>
          <w:szCs w:val="24"/>
          <w:rtl/>
        </w:rPr>
        <w:t xml:space="preserve"> </w:t>
      </w:r>
      <w:r w:rsidRPr="009B3554">
        <w:rPr>
          <w:rFonts w:ascii="Century" w:hAnsi="Century" w:cs="Miriam" w:hint="eastAsia"/>
          <w:b/>
          <w:spacing w:val="0"/>
          <w:szCs w:val="24"/>
          <w:rtl/>
        </w:rPr>
        <w:t>ועצי</w:t>
      </w:r>
      <w:r w:rsidRPr="009B3554">
        <w:rPr>
          <w:rFonts w:ascii="Century" w:hAnsi="Century" w:cs="Miriam"/>
          <w:b/>
          <w:spacing w:val="0"/>
          <w:szCs w:val="24"/>
          <w:rtl/>
        </w:rPr>
        <w:t>-</w:t>
      </w:r>
      <w:r w:rsidRPr="009B3554">
        <w:rPr>
          <w:rFonts w:ascii="Century" w:hAnsi="Century" w:cs="Miriam" w:hint="eastAsia"/>
          <w:b/>
          <w:spacing w:val="0"/>
          <w:szCs w:val="24"/>
          <w:rtl/>
        </w:rPr>
        <w:t>פרי</w:t>
      </w:r>
      <w:r w:rsidRPr="009B3554">
        <w:rPr>
          <w:rFonts w:ascii="Century" w:hAnsi="Century" w:cs="Miriam"/>
          <w:b/>
          <w:spacing w:val="0"/>
          <w:szCs w:val="24"/>
          <w:rtl/>
        </w:rPr>
        <w:t xml:space="preserve"> </w:t>
      </w:r>
      <w:r w:rsidRPr="009B3554">
        <w:rPr>
          <w:rFonts w:ascii="Century" w:hAnsi="Century" w:cs="Miriam" w:hint="eastAsia"/>
          <w:b/>
          <w:spacing w:val="0"/>
          <w:szCs w:val="24"/>
          <w:rtl/>
        </w:rPr>
        <w:t>נוספים</w:t>
      </w:r>
      <w:r w:rsidRPr="009B3554">
        <w:rPr>
          <w:rFonts w:ascii="Century" w:hAnsi="Century" w:cs="Miriam"/>
          <w:b/>
          <w:spacing w:val="0"/>
          <w:szCs w:val="24"/>
          <w:rtl/>
        </w:rPr>
        <w:t xml:space="preserve"> </w:t>
      </w:r>
      <w:r w:rsidRPr="009B3554">
        <w:rPr>
          <w:rFonts w:ascii="Century" w:hAnsi="Century" w:cs="Miriam" w:hint="eastAsia"/>
          <w:b/>
          <w:spacing w:val="0"/>
          <w:szCs w:val="24"/>
          <w:rtl/>
        </w:rPr>
        <w:t>בגן</w:t>
      </w:r>
      <w:r w:rsidRPr="009B3554">
        <w:rPr>
          <w:rFonts w:ascii="Century" w:hAnsi="Century" w:cs="Miriam"/>
          <w:b/>
          <w:spacing w:val="0"/>
          <w:szCs w:val="24"/>
          <w:rtl/>
        </w:rPr>
        <w:t xml:space="preserve"> </w:t>
      </w:r>
      <w:r w:rsidRPr="009B3554">
        <w:rPr>
          <w:rFonts w:ascii="Century" w:hAnsi="Century" w:cs="Miriam" w:hint="eastAsia"/>
          <w:b/>
          <w:spacing w:val="0"/>
          <w:szCs w:val="24"/>
          <w:rtl/>
        </w:rPr>
        <w:t>שנבנה</w:t>
      </w:r>
      <w:r w:rsidRPr="009B3554">
        <w:rPr>
          <w:rFonts w:ascii="Century" w:hAnsi="Century" w:cs="Miriam"/>
          <w:b/>
          <w:spacing w:val="0"/>
          <w:szCs w:val="24"/>
          <w:rtl/>
        </w:rPr>
        <w:t xml:space="preserve"> </w:t>
      </w:r>
      <w:r w:rsidRPr="009B3554">
        <w:rPr>
          <w:rFonts w:ascii="Century" w:hAnsi="Century" w:cs="Miriam" w:hint="eastAsia"/>
          <w:b/>
          <w:spacing w:val="0"/>
          <w:szCs w:val="24"/>
          <w:rtl/>
        </w:rPr>
        <w:t>מזמן</w:t>
      </w:r>
      <w:r w:rsidRPr="009B3554">
        <w:rPr>
          <w:rFonts w:ascii="Century" w:hAnsi="Century" w:cs="Miriam"/>
          <w:b/>
          <w:spacing w:val="0"/>
          <w:szCs w:val="24"/>
          <w:rtl/>
        </w:rPr>
        <w:t xml:space="preserve"> </w:t>
      </w:r>
      <w:r w:rsidRPr="009B3554">
        <w:rPr>
          <w:rFonts w:ascii="Century" w:hAnsi="Century" w:cs="Miriam" w:hint="eastAsia"/>
          <w:b/>
          <w:spacing w:val="0"/>
          <w:szCs w:val="24"/>
          <w:rtl/>
        </w:rPr>
        <w:t>והוא</w:t>
      </w:r>
      <w:r w:rsidRPr="009B3554">
        <w:rPr>
          <w:rFonts w:ascii="Century" w:hAnsi="Century" w:cs="Miriam"/>
          <w:b/>
          <w:spacing w:val="0"/>
          <w:szCs w:val="24"/>
          <w:rtl/>
        </w:rPr>
        <w:t xml:space="preserve"> </w:t>
      </w:r>
      <w:r w:rsidRPr="009B3554">
        <w:rPr>
          <w:rFonts w:ascii="Century" w:hAnsi="Century" w:cs="Miriam" w:hint="eastAsia"/>
          <w:b/>
          <w:spacing w:val="0"/>
          <w:szCs w:val="24"/>
          <w:rtl/>
        </w:rPr>
        <w:t>פורח</w:t>
      </w:r>
      <w:r w:rsidRPr="009B3554">
        <w:rPr>
          <w:rFonts w:ascii="Century" w:hAnsi="Century" w:cs="Miriam"/>
          <w:b/>
          <w:spacing w:val="0"/>
          <w:szCs w:val="24"/>
          <w:rtl/>
        </w:rPr>
        <w:t xml:space="preserve"> </w:t>
      </w:r>
      <w:r w:rsidRPr="009B3554">
        <w:rPr>
          <w:rFonts w:ascii="Century" w:hAnsi="Century" w:cs="Miriam" w:hint="eastAsia"/>
          <w:b/>
          <w:spacing w:val="0"/>
          <w:szCs w:val="24"/>
          <w:rtl/>
        </w:rPr>
        <w:t>ומעלה</w:t>
      </w:r>
      <w:r w:rsidRPr="009B3554">
        <w:rPr>
          <w:rFonts w:ascii="Century" w:hAnsi="Century" w:cs="Miriam"/>
          <w:b/>
          <w:spacing w:val="0"/>
          <w:szCs w:val="24"/>
          <w:rtl/>
        </w:rPr>
        <w:t xml:space="preserve"> </w:t>
      </w:r>
      <w:r w:rsidRPr="009B3554">
        <w:rPr>
          <w:rFonts w:ascii="Century" w:hAnsi="Century" w:cs="Miriam" w:hint="eastAsia"/>
          <w:b/>
          <w:spacing w:val="0"/>
          <w:szCs w:val="24"/>
          <w:rtl/>
        </w:rPr>
        <w:t>פרי</w:t>
      </w:r>
      <w:r w:rsidRPr="009B3554">
        <w:rPr>
          <w:rFonts w:ascii="Century" w:hAnsi="Century" w:cs="Miriam" w:hint="cs"/>
          <w:b/>
          <w:spacing w:val="0"/>
          <w:szCs w:val="24"/>
          <w:rtl/>
        </w:rPr>
        <w:t>"</w:t>
      </w:r>
      <w:r w:rsidRPr="009B3554">
        <w:rPr>
          <w:rtl/>
        </w:rPr>
        <w:t>.</w:t>
      </w:r>
    </w:p>
    <w:p w:rsidR="00872589" w:rsidRDefault="00872589" w:rsidP="00872589">
      <w:pPr>
        <w:pStyle w:val="Ruller4"/>
        <w:numPr>
          <w:ilvl w:val="0"/>
          <w:numId w:val="0"/>
        </w:numPr>
        <w:rPr>
          <w:rFonts w:ascii="Arial TUR" w:hAnsi="Arial TUR"/>
          <w:sz w:val="22"/>
          <w:rtl/>
        </w:rPr>
      </w:pPr>
    </w:p>
    <w:p w:rsidR="00872589" w:rsidRPr="009B3554" w:rsidRDefault="00872589" w:rsidP="00872589">
      <w:pPr>
        <w:pStyle w:val="Ruller41"/>
        <w:rPr>
          <w:rtl/>
        </w:rPr>
      </w:pPr>
      <w:r>
        <w:rPr>
          <w:rtl/>
        </w:rPr>
        <w:tab/>
      </w:r>
      <w:r>
        <w:rPr>
          <w:rFonts w:hint="cs"/>
          <w:rtl/>
        </w:rPr>
        <w:t xml:space="preserve">ומהן תכליות חוק השבות בכללותו, שבהתבסס עליהן יש לפרש, בין היתר, גם את הוראות </w:t>
      </w:r>
      <w:r w:rsidRPr="002E4F0C">
        <w:rPr>
          <w:rFonts w:hint="cs"/>
          <w:rtl/>
        </w:rPr>
        <w:t>סעי</w:t>
      </w:r>
      <w:r>
        <w:rPr>
          <w:rFonts w:hint="cs"/>
          <w:rtl/>
        </w:rPr>
        <w:t>ף</w:t>
      </w:r>
      <w:r w:rsidRPr="002E4F0C">
        <w:rPr>
          <w:rFonts w:hint="cs"/>
          <w:rtl/>
        </w:rPr>
        <w:t xml:space="preserve"> 4א</w:t>
      </w:r>
      <w:r>
        <w:rPr>
          <w:rFonts w:hint="cs"/>
          <w:rtl/>
        </w:rPr>
        <w:t xml:space="preserve"> לחוק</w:t>
      </w:r>
      <w:r w:rsidRPr="002E4F0C">
        <w:rPr>
          <w:rFonts w:hint="cs"/>
          <w:rtl/>
        </w:rPr>
        <w:t xml:space="preserve">? </w:t>
      </w:r>
      <w:r>
        <w:rPr>
          <w:rFonts w:hint="cs"/>
          <w:rtl/>
        </w:rPr>
        <w:t xml:space="preserve">גם על כך השיב השופט </w:t>
      </w:r>
      <w:r w:rsidRPr="009B3554">
        <w:rPr>
          <w:rFonts w:ascii="Century" w:hAnsi="Century" w:cs="Miriam" w:hint="cs"/>
          <w:b/>
          <w:spacing w:val="0"/>
          <w:szCs w:val="24"/>
          <w:rtl/>
        </w:rPr>
        <w:t>חשין</w:t>
      </w:r>
      <w:r>
        <w:rPr>
          <w:rFonts w:hint="cs"/>
          <w:rtl/>
        </w:rPr>
        <w:t>, בהמשך דבריו:</w:t>
      </w:r>
    </w:p>
    <w:p w:rsidR="00872589" w:rsidRDefault="00872589" w:rsidP="00872589">
      <w:pPr>
        <w:pStyle w:val="Ruller5"/>
        <w:spacing w:line="360" w:lineRule="auto"/>
        <w:rPr>
          <w:rtl/>
        </w:rPr>
      </w:pPr>
    </w:p>
    <w:p w:rsidR="00872589" w:rsidRPr="009B3554" w:rsidRDefault="00872589" w:rsidP="00872589">
      <w:pPr>
        <w:pStyle w:val="Ruller5"/>
        <w:spacing w:line="360" w:lineRule="auto"/>
        <w:rPr>
          <w:rFonts w:ascii="Century" w:hAnsi="Century"/>
          <w:rtl/>
        </w:rPr>
      </w:pPr>
      <w:r w:rsidRPr="009B3554">
        <w:rPr>
          <w:rFonts w:ascii="Century" w:hAnsi="Century" w:cs="Miriam" w:hint="cs"/>
          <w:b/>
          <w:spacing w:val="0"/>
          <w:szCs w:val="24"/>
          <w:rtl/>
        </w:rPr>
        <w:t>"</w:t>
      </w:r>
      <w:r w:rsidRPr="009B3554">
        <w:rPr>
          <w:rFonts w:ascii="Century" w:hAnsi="Century" w:cs="Miriam" w:hint="eastAsia"/>
          <w:b/>
          <w:spacing w:val="0"/>
          <w:szCs w:val="24"/>
          <w:rtl/>
        </w:rPr>
        <w:t>הוראת</w:t>
      </w:r>
      <w:r w:rsidRPr="009B3554">
        <w:rPr>
          <w:rFonts w:ascii="Century" w:hAnsi="Century" w:cs="Miriam"/>
          <w:b/>
          <w:spacing w:val="0"/>
          <w:szCs w:val="24"/>
          <w:rtl/>
        </w:rPr>
        <w:t xml:space="preserve"> </w:t>
      </w:r>
      <w:r w:rsidRPr="009B3554">
        <w:rPr>
          <w:rFonts w:ascii="Century" w:hAnsi="Century" w:cs="Miriam" w:hint="eastAsia"/>
          <w:b/>
          <w:spacing w:val="0"/>
          <w:szCs w:val="24"/>
          <w:rtl/>
        </w:rPr>
        <w:t>סעיף</w:t>
      </w:r>
      <w:r w:rsidRPr="009B3554">
        <w:rPr>
          <w:rFonts w:ascii="Century" w:hAnsi="Century" w:cs="Miriam"/>
          <w:b/>
          <w:spacing w:val="0"/>
          <w:szCs w:val="24"/>
          <w:rtl/>
        </w:rPr>
        <w:t xml:space="preserve"> 4</w:t>
      </w:r>
      <w:r w:rsidRPr="009B3554">
        <w:rPr>
          <w:rFonts w:ascii="Century" w:hAnsi="Century" w:cs="Miriam" w:hint="eastAsia"/>
          <w:b/>
          <w:spacing w:val="0"/>
          <w:szCs w:val="24"/>
          <w:rtl/>
        </w:rPr>
        <w:t>א</w:t>
      </w:r>
      <w:r w:rsidRPr="009B3554">
        <w:rPr>
          <w:rFonts w:ascii="Century" w:hAnsi="Century" w:cs="Miriam"/>
          <w:b/>
          <w:spacing w:val="0"/>
          <w:szCs w:val="24"/>
          <w:rtl/>
        </w:rPr>
        <w:t xml:space="preserve"> </w:t>
      </w:r>
      <w:r w:rsidRPr="009B3554">
        <w:rPr>
          <w:rFonts w:ascii="Century" w:hAnsi="Century" w:cs="Miriam" w:hint="eastAsia"/>
          <w:b/>
          <w:spacing w:val="0"/>
          <w:szCs w:val="24"/>
          <w:rtl/>
        </w:rPr>
        <w:t>לחוק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הפכה</w:t>
      </w:r>
      <w:r w:rsidRPr="009B3554">
        <w:rPr>
          <w:rFonts w:ascii="Century" w:hAnsi="Century" w:cs="Miriam"/>
          <w:b/>
          <w:spacing w:val="0"/>
          <w:szCs w:val="24"/>
          <w:rtl/>
        </w:rPr>
        <w:t xml:space="preserve"> </w:t>
      </w:r>
      <w:r w:rsidRPr="009B3554">
        <w:rPr>
          <w:rFonts w:ascii="Century" w:hAnsi="Century" w:cs="Miriam" w:hint="eastAsia"/>
          <w:b/>
          <w:spacing w:val="0"/>
          <w:szCs w:val="24"/>
          <w:rtl/>
        </w:rPr>
        <w:t>להיותה</w:t>
      </w:r>
      <w:r w:rsidRPr="009B3554">
        <w:rPr>
          <w:rFonts w:ascii="Century" w:hAnsi="Century" w:cs="Miriam"/>
          <w:b/>
          <w:spacing w:val="0"/>
          <w:szCs w:val="24"/>
          <w:rtl/>
        </w:rPr>
        <w:t xml:space="preserve"> </w:t>
      </w:r>
      <w:r w:rsidRPr="009B3554">
        <w:rPr>
          <w:rFonts w:ascii="Century" w:hAnsi="Century" w:cs="Miriam" w:hint="eastAsia"/>
          <w:b/>
          <w:spacing w:val="0"/>
          <w:szCs w:val="24"/>
          <w:rtl/>
        </w:rPr>
        <w:t>חלק</w:t>
      </w:r>
      <w:r w:rsidRPr="009B3554">
        <w:rPr>
          <w:rFonts w:ascii="Century" w:hAnsi="Century" w:cs="Miriam"/>
          <w:b/>
          <w:spacing w:val="0"/>
          <w:szCs w:val="24"/>
          <w:rtl/>
        </w:rPr>
        <w:t xml:space="preserve"> </w:t>
      </w:r>
      <w:r w:rsidRPr="009B3554">
        <w:rPr>
          <w:rFonts w:ascii="Century" w:hAnsi="Century" w:cs="Miriam" w:hint="eastAsia"/>
          <w:b/>
          <w:spacing w:val="0"/>
          <w:szCs w:val="24"/>
          <w:rtl/>
        </w:rPr>
        <w:t>בלתי</w:t>
      </w:r>
      <w:r w:rsidRPr="009B3554">
        <w:rPr>
          <w:rFonts w:ascii="Century" w:hAnsi="Century" w:cs="Miriam"/>
          <w:b/>
          <w:spacing w:val="0"/>
          <w:szCs w:val="24"/>
          <w:rtl/>
        </w:rPr>
        <w:t xml:space="preserve"> </w:t>
      </w:r>
      <w:r w:rsidRPr="009B3554">
        <w:rPr>
          <w:rFonts w:ascii="Century" w:hAnsi="Century" w:cs="Miriam" w:hint="eastAsia"/>
          <w:b/>
          <w:spacing w:val="0"/>
          <w:szCs w:val="24"/>
          <w:rtl/>
        </w:rPr>
        <w:t>נפרד</w:t>
      </w:r>
      <w:r w:rsidRPr="009B3554">
        <w:rPr>
          <w:rFonts w:ascii="Century" w:hAnsi="Century" w:cs="Miriam"/>
          <w:b/>
          <w:spacing w:val="0"/>
          <w:szCs w:val="24"/>
          <w:rtl/>
        </w:rPr>
        <w:t xml:space="preserve"> </w:t>
      </w:r>
      <w:r w:rsidRPr="009B3554">
        <w:rPr>
          <w:rFonts w:ascii="Century" w:hAnsi="Century" w:cs="Miriam" w:hint="eastAsia"/>
          <w:b/>
          <w:spacing w:val="0"/>
          <w:szCs w:val="24"/>
          <w:u w:val="single"/>
          <w:rtl/>
        </w:rPr>
        <w:t>ב</w:t>
      </w:r>
      <w:r w:rsidRPr="009B3554">
        <w:rPr>
          <w:rFonts w:ascii="Century" w:hAnsi="Century" w:cs="Miriam" w:hint="cs"/>
          <w:b/>
          <w:spacing w:val="0"/>
          <w:szCs w:val="24"/>
          <w:u w:val="single"/>
          <w:rtl/>
        </w:rPr>
        <w:t>'</w:t>
      </w:r>
      <w:r w:rsidRPr="009B3554">
        <w:rPr>
          <w:rFonts w:ascii="Century" w:hAnsi="Century" w:cs="Miriam" w:hint="eastAsia"/>
          <w:b/>
          <w:spacing w:val="0"/>
          <w:szCs w:val="24"/>
          <w:u w:val="single"/>
          <w:rtl/>
        </w:rPr>
        <w:t>תכלית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הגדולה</w:t>
      </w:r>
      <w:r w:rsidRPr="009B3554">
        <w:rPr>
          <w:rFonts w:ascii="Century" w:hAnsi="Century" w:cs="Miriam" w:hint="cs"/>
          <w:b/>
          <w:spacing w:val="0"/>
          <w:szCs w:val="24"/>
          <w:u w:val="single"/>
          <w:rtl/>
        </w:rPr>
        <w:t>'</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של</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חוק</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השבות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קיבוץ</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גלויות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העם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היהודי</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אל</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מדינת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היהודים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שיבת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הבנים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אל</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ביתם</w:t>
      </w:r>
      <w:r w:rsidRPr="009B3554">
        <w:rPr>
          <w:rFonts w:ascii="Century" w:hAnsi="Century" w:cs="Miriam"/>
          <w:b/>
          <w:spacing w:val="0"/>
          <w:szCs w:val="24"/>
          <w:rtl/>
        </w:rPr>
        <w:t xml:space="preserve">. </w:t>
      </w:r>
      <w:r w:rsidRPr="009B3554">
        <w:rPr>
          <w:rFonts w:ascii="Century" w:hAnsi="Century" w:cs="Miriam" w:hint="eastAsia"/>
          <w:b/>
          <w:spacing w:val="0"/>
          <w:szCs w:val="24"/>
          <w:rtl/>
        </w:rPr>
        <w:t>חוק</w:t>
      </w:r>
      <w:r w:rsidRPr="009B3554">
        <w:rPr>
          <w:rFonts w:ascii="Century" w:hAnsi="Century" w:cs="Miriam"/>
          <w:b/>
          <w:spacing w:val="0"/>
          <w:szCs w:val="24"/>
          <w:rtl/>
        </w:rPr>
        <w:t xml:space="preserve"> </w:t>
      </w:r>
      <w:r w:rsidRPr="009B3554">
        <w:rPr>
          <w:rFonts w:ascii="Century" w:hAnsi="Century" w:cs="Miriam" w:hint="eastAsia"/>
          <w:b/>
          <w:spacing w:val="0"/>
          <w:szCs w:val="24"/>
          <w:rtl/>
        </w:rPr>
        <w:lastRenderedPageBreak/>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כשמו</w:t>
      </w:r>
      <w:r w:rsidRPr="009B3554">
        <w:rPr>
          <w:rFonts w:ascii="Century" w:hAnsi="Century" w:cs="Miriam"/>
          <w:b/>
          <w:spacing w:val="0"/>
          <w:szCs w:val="24"/>
          <w:rtl/>
        </w:rPr>
        <w:t>-</w:t>
      </w:r>
      <w:r w:rsidRPr="009B3554">
        <w:rPr>
          <w:rFonts w:ascii="Century" w:hAnsi="Century" w:cs="Miriam" w:hint="eastAsia"/>
          <w:b/>
          <w:spacing w:val="0"/>
          <w:szCs w:val="24"/>
          <w:rtl/>
        </w:rPr>
        <w:t>כן</w:t>
      </w:r>
      <w:r w:rsidRPr="009B3554">
        <w:rPr>
          <w:rFonts w:ascii="Century" w:hAnsi="Century" w:cs="Miriam"/>
          <w:b/>
          <w:spacing w:val="0"/>
          <w:szCs w:val="24"/>
          <w:rtl/>
        </w:rPr>
        <w:t>-</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מַפְנֶה</w:t>
      </w:r>
      <w:r w:rsidRPr="009B3554">
        <w:rPr>
          <w:rFonts w:ascii="Century" w:hAnsi="Century" w:cs="Miriam"/>
          <w:b/>
          <w:spacing w:val="0"/>
          <w:szCs w:val="24"/>
          <w:rtl/>
        </w:rPr>
        <w:t xml:space="preserve"> </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פניו</w:t>
      </w:r>
      <w:r w:rsidRPr="009B3554">
        <w:rPr>
          <w:rFonts w:ascii="Century" w:hAnsi="Century" w:cs="Miriam"/>
          <w:b/>
          <w:spacing w:val="0"/>
          <w:szCs w:val="24"/>
          <w:rtl/>
        </w:rPr>
        <w:t xml:space="preserve"> </w:t>
      </w:r>
      <w:r w:rsidRPr="009B3554">
        <w:rPr>
          <w:rFonts w:ascii="Century" w:hAnsi="Century" w:cs="Miriam" w:hint="eastAsia"/>
          <w:b/>
          <w:spacing w:val="0"/>
          <w:szCs w:val="24"/>
          <w:rtl/>
        </w:rPr>
        <w:t>אל</w:t>
      </w:r>
      <w:r w:rsidRPr="009B3554">
        <w:rPr>
          <w:rFonts w:ascii="Century" w:hAnsi="Century" w:cs="Miriam"/>
          <w:b/>
          <w:spacing w:val="0"/>
          <w:szCs w:val="24"/>
          <w:rtl/>
        </w:rPr>
        <w:t xml:space="preserve"> </w:t>
      </w:r>
      <w:r w:rsidRPr="009B3554">
        <w:rPr>
          <w:rFonts w:ascii="Century" w:hAnsi="Century" w:cs="Miriam" w:hint="eastAsia"/>
          <w:b/>
          <w:spacing w:val="0"/>
          <w:szCs w:val="24"/>
          <w:rtl/>
        </w:rPr>
        <w:t>היהודים</w:t>
      </w:r>
      <w:r w:rsidRPr="009B3554">
        <w:rPr>
          <w:rFonts w:ascii="Century" w:hAnsi="Century" w:cs="Miriam"/>
          <w:b/>
          <w:spacing w:val="0"/>
          <w:szCs w:val="24"/>
          <w:rtl/>
        </w:rPr>
        <w:t xml:space="preserve"> </w:t>
      </w:r>
      <w:r w:rsidRPr="009B3554">
        <w:rPr>
          <w:rFonts w:ascii="Century" w:hAnsi="Century" w:cs="Miriam" w:hint="eastAsia"/>
          <w:b/>
          <w:spacing w:val="0"/>
          <w:szCs w:val="24"/>
          <w:rtl/>
        </w:rPr>
        <w:t>באשר</w:t>
      </w:r>
      <w:r w:rsidRPr="009B3554">
        <w:rPr>
          <w:rFonts w:ascii="Century" w:hAnsi="Century" w:cs="Miriam"/>
          <w:b/>
          <w:spacing w:val="0"/>
          <w:szCs w:val="24"/>
          <w:rtl/>
        </w:rPr>
        <w:t>-</w:t>
      </w:r>
      <w:r w:rsidRPr="009B3554">
        <w:rPr>
          <w:rFonts w:ascii="Century" w:hAnsi="Century" w:cs="Miriam" w:hint="eastAsia"/>
          <w:b/>
          <w:spacing w:val="0"/>
          <w:szCs w:val="24"/>
          <w:rtl/>
        </w:rPr>
        <w:t>הם</w:t>
      </w:r>
      <w:r w:rsidRPr="009B3554">
        <w:rPr>
          <w:rFonts w:ascii="Century" w:hAnsi="Century" w:cs="Miriam"/>
          <w:b/>
          <w:spacing w:val="0"/>
          <w:szCs w:val="24"/>
          <w:rtl/>
        </w:rPr>
        <w:t>-</w:t>
      </w:r>
      <w:r w:rsidRPr="009B3554">
        <w:rPr>
          <w:rFonts w:ascii="Century" w:hAnsi="Century" w:cs="Miriam" w:hint="eastAsia"/>
          <w:b/>
          <w:spacing w:val="0"/>
          <w:szCs w:val="24"/>
          <w:rtl/>
        </w:rPr>
        <w:t>שם</w:t>
      </w:r>
      <w:r w:rsidRPr="009B3554">
        <w:rPr>
          <w:rFonts w:ascii="Century" w:hAnsi="Century" w:cs="Miriam"/>
          <w:b/>
          <w:spacing w:val="0"/>
          <w:szCs w:val="24"/>
          <w:rtl/>
        </w:rPr>
        <w:t xml:space="preserve">. </w:t>
      </w:r>
      <w:r w:rsidRPr="009B3554">
        <w:rPr>
          <w:rFonts w:ascii="Century" w:hAnsi="Century" w:cs="Miriam" w:hint="eastAsia"/>
          <w:b/>
          <w:spacing w:val="0"/>
          <w:szCs w:val="24"/>
          <w:rtl/>
        </w:rPr>
        <w:t>מזמין</w:t>
      </w:r>
      <w:r w:rsidRPr="009B3554">
        <w:rPr>
          <w:rFonts w:ascii="Century" w:hAnsi="Century" w:cs="Miriam"/>
          <w:b/>
          <w:spacing w:val="0"/>
          <w:szCs w:val="24"/>
          <w:rtl/>
        </w:rPr>
        <w:t xml:space="preserve"> </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את</w:t>
      </w:r>
      <w:r w:rsidRPr="009B3554">
        <w:rPr>
          <w:rFonts w:ascii="Century" w:hAnsi="Century" w:cs="Miriam"/>
          <w:b/>
          <w:spacing w:val="0"/>
          <w:szCs w:val="24"/>
          <w:rtl/>
        </w:rPr>
        <w:t xml:space="preserve"> </w:t>
      </w:r>
      <w:r w:rsidRPr="009B3554">
        <w:rPr>
          <w:rFonts w:ascii="Century" w:hAnsi="Century" w:cs="Miriam" w:hint="eastAsia"/>
          <w:b/>
          <w:spacing w:val="0"/>
          <w:szCs w:val="24"/>
          <w:rtl/>
        </w:rPr>
        <w:t>היהודים</w:t>
      </w:r>
      <w:r w:rsidRPr="009B3554">
        <w:rPr>
          <w:rFonts w:ascii="Century" w:hAnsi="Century" w:cs="Miriam"/>
          <w:b/>
          <w:spacing w:val="0"/>
          <w:szCs w:val="24"/>
          <w:rtl/>
        </w:rPr>
        <w:t xml:space="preserve"> </w:t>
      </w:r>
      <w:r w:rsidRPr="009B3554">
        <w:rPr>
          <w:rFonts w:ascii="Century" w:hAnsi="Century" w:cs="Miriam" w:hint="eastAsia"/>
          <w:b/>
          <w:spacing w:val="0"/>
          <w:szCs w:val="24"/>
          <w:rtl/>
        </w:rPr>
        <w:t>לשוב</w:t>
      </w:r>
      <w:r w:rsidRPr="009B3554">
        <w:rPr>
          <w:rFonts w:ascii="Century" w:hAnsi="Century" w:cs="Miriam"/>
          <w:b/>
          <w:spacing w:val="0"/>
          <w:szCs w:val="24"/>
          <w:rtl/>
        </w:rPr>
        <w:t xml:space="preserve"> </w:t>
      </w:r>
      <w:r w:rsidRPr="009B3554">
        <w:rPr>
          <w:rFonts w:ascii="Century" w:hAnsi="Century" w:cs="Miriam" w:hint="eastAsia"/>
          <w:b/>
          <w:spacing w:val="0"/>
          <w:szCs w:val="24"/>
          <w:rtl/>
        </w:rPr>
        <w:t>אל</w:t>
      </w:r>
      <w:r w:rsidRPr="009B3554">
        <w:rPr>
          <w:rFonts w:ascii="Century" w:hAnsi="Century" w:cs="Miriam"/>
          <w:b/>
          <w:spacing w:val="0"/>
          <w:szCs w:val="24"/>
          <w:rtl/>
        </w:rPr>
        <w:t xml:space="preserve"> </w:t>
      </w:r>
      <w:r w:rsidRPr="009B3554">
        <w:rPr>
          <w:rFonts w:ascii="Century" w:hAnsi="Century" w:cs="Miriam" w:hint="eastAsia"/>
          <w:b/>
          <w:spacing w:val="0"/>
          <w:szCs w:val="24"/>
          <w:rtl/>
        </w:rPr>
        <w:t>ביתם</w:t>
      </w:r>
      <w:r w:rsidRPr="009B3554">
        <w:rPr>
          <w:rFonts w:ascii="Century" w:hAnsi="Century" w:cs="Miriam"/>
          <w:b/>
          <w:spacing w:val="0"/>
          <w:szCs w:val="24"/>
          <w:rtl/>
        </w:rPr>
        <w:t xml:space="preserve">, </w:t>
      </w:r>
      <w:r w:rsidRPr="009B3554">
        <w:rPr>
          <w:rFonts w:ascii="Century" w:hAnsi="Century" w:cs="Miriam" w:hint="eastAsia"/>
          <w:b/>
          <w:spacing w:val="0"/>
          <w:szCs w:val="24"/>
          <w:rtl/>
        </w:rPr>
        <w:t>לחזור</w:t>
      </w:r>
      <w:r w:rsidRPr="009B3554">
        <w:rPr>
          <w:rFonts w:ascii="Century" w:hAnsi="Century" w:cs="Miriam"/>
          <w:b/>
          <w:spacing w:val="0"/>
          <w:szCs w:val="24"/>
          <w:rtl/>
        </w:rPr>
        <w:t xml:space="preserve"> </w:t>
      </w:r>
      <w:r w:rsidRPr="009B3554">
        <w:rPr>
          <w:rFonts w:ascii="Century" w:hAnsi="Century" w:cs="Miriam" w:hint="eastAsia"/>
          <w:b/>
          <w:spacing w:val="0"/>
          <w:szCs w:val="24"/>
          <w:rtl/>
        </w:rPr>
        <w:t>ארצה</w:t>
      </w:r>
      <w:r w:rsidRPr="009B3554">
        <w:rPr>
          <w:rFonts w:ascii="Century" w:hAnsi="Century" w:cs="Miriam"/>
          <w:b/>
          <w:spacing w:val="0"/>
          <w:szCs w:val="24"/>
          <w:rtl/>
        </w:rPr>
        <w:t xml:space="preserve">. </w:t>
      </w:r>
      <w:r w:rsidRPr="009B3554">
        <w:rPr>
          <w:rFonts w:ascii="Century" w:hAnsi="Century" w:cs="Miriam" w:hint="eastAsia"/>
          <w:b/>
          <w:spacing w:val="0"/>
          <w:szCs w:val="24"/>
          <w:rtl/>
        </w:rPr>
        <w:t>כל</w:t>
      </w:r>
      <w:r w:rsidRPr="009B3554">
        <w:rPr>
          <w:rFonts w:ascii="Century" w:hAnsi="Century" w:cs="Miriam"/>
          <w:b/>
          <w:spacing w:val="0"/>
          <w:szCs w:val="24"/>
          <w:rtl/>
        </w:rPr>
        <w:t xml:space="preserve"> </w:t>
      </w:r>
      <w:r w:rsidRPr="009B3554">
        <w:rPr>
          <w:rFonts w:ascii="Century" w:hAnsi="Century" w:cs="Miriam" w:hint="eastAsia"/>
          <w:b/>
          <w:spacing w:val="0"/>
          <w:szCs w:val="24"/>
          <w:rtl/>
        </w:rPr>
        <w:t>יהודי</w:t>
      </w:r>
      <w:r w:rsidRPr="009B3554">
        <w:rPr>
          <w:rFonts w:ascii="Century" w:hAnsi="Century" w:cs="Miriam"/>
          <w:b/>
          <w:spacing w:val="0"/>
          <w:szCs w:val="24"/>
          <w:rtl/>
        </w:rPr>
        <w:t xml:space="preserve"> </w:t>
      </w:r>
      <w:r w:rsidRPr="009B3554">
        <w:rPr>
          <w:rFonts w:ascii="Century" w:hAnsi="Century" w:cs="Miriam" w:hint="eastAsia"/>
          <w:b/>
          <w:spacing w:val="0"/>
          <w:szCs w:val="24"/>
          <w:rtl/>
        </w:rPr>
        <w:t>באשר</w:t>
      </w:r>
      <w:r w:rsidRPr="009B3554">
        <w:rPr>
          <w:rFonts w:ascii="Century" w:hAnsi="Century" w:cs="Miriam"/>
          <w:b/>
          <w:spacing w:val="0"/>
          <w:szCs w:val="24"/>
          <w:rtl/>
        </w:rPr>
        <w:t>-</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מחזיק</w:t>
      </w:r>
      <w:r w:rsidRPr="009B3554">
        <w:rPr>
          <w:rFonts w:ascii="Century" w:hAnsi="Century" w:cs="Miriam"/>
          <w:b/>
          <w:spacing w:val="0"/>
          <w:szCs w:val="24"/>
          <w:rtl/>
        </w:rPr>
        <w:t xml:space="preserve"> </w:t>
      </w:r>
      <w:r w:rsidRPr="009B3554">
        <w:rPr>
          <w:rFonts w:ascii="Century" w:hAnsi="Century" w:cs="Miriam" w:hint="eastAsia"/>
          <w:b/>
          <w:spacing w:val="0"/>
          <w:szCs w:val="24"/>
          <w:rtl/>
        </w:rPr>
        <w:t>כל</w:t>
      </w:r>
      <w:r w:rsidRPr="009B3554">
        <w:rPr>
          <w:rFonts w:ascii="Century" w:hAnsi="Century" w:cs="Miriam"/>
          <w:b/>
          <w:spacing w:val="0"/>
          <w:szCs w:val="24"/>
          <w:rtl/>
        </w:rPr>
        <w:t>-</w:t>
      </w:r>
      <w:r w:rsidRPr="009B3554">
        <w:rPr>
          <w:rFonts w:ascii="Century" w:hAnsi="Century" w:cs="Miriam" w:hint="eastAsia"/>
          <w:b/>
          <w:spacing w:val="0"/>
          <w:szCs w:val="24"/>
          <w:rtl/>
        </w:rPr>
        <w:t>העת</w:t>
      </w:r>
      <w:r w:rsidRPr="009B3554">
        <w:rPr>
          <w:rFonts w:ascii="Century" w:hAnsi="Century" w:cs="Miriam"/>
          <w:b/>
          <w:spacing w:val="0"/>
          <w:szCs w:val="24"/>
          <w:rtl/>
        </w:rPr>
        <w:t xml:space="preserve"> </w:t>
      </w:r>
      <w:r w:rsidRPr="009B3554">
        <w:rPr>
          <w:rFonts w:ascii="Century" w:hAnsi="Century" w:cs="Miriam" w:hint="eastAsia"/>
          <w:b/>
          <w:spacing w:val="0"/>
          <w:szCs w:val="24"/>
          <w:rtl/>
        </w:rPr>
        <w:t>במעין</w:t>
      </w:r>
      <w:r w:rsidRPr="009B3554">
        <w:rPr>
          <w:rFonts w:ascii="Century" w:hAnsi="Century" w:cs="Miriam"/>
          <w:b/>
          <w:spacing w:val="0"/>
          <w:szCs w:val="24"/>
          <w:rtl/>
        </w:rPr>
        <w:t>-</w:t>
      </w:r>
      <w:r w:rsidRPr="009B3554">
        <w:rPr>
          <w:rFonts w:ascii="Century" w:hAnsi="Century" w:cs="Miriam" w:hint="eastAsia"/>
          <w:b/>
          <w:spacing w:val="0"/>
          <w:szCs w:val="24"/>
          <w:rtl/>
        </w:rPr>
        <w:t>אופציה</w:t>
      </w:r>
      <w:r w:rsidRPr="009B3554">
        <w:rPr>
          <w:rFonts w:ascii="Century" w:hAnsi="Century" w:cs="Miriam"/>
          <w:b/>
          <w:spacing w:val="0"/>
          <w:szCs w:val="24"/>
          <w:rtl/>
        </w:rPr>
        <w:t>-</w:t>
      </w:r>
      <w:r w:rsidRPr="009B3554">
        <w:rPr>
          <w:rFonts w:ascii="Century" w:hAnsi="Century" w:cs="Miriam" w:hint="eastAsia"/>
          <w:b/>
          <w:spacing w:val="0"/>
          <w:szCs w:val="24"/>
          <w:rtl/>
        </w:rPr>
        <w:t>למניה</w:t>
      </w:r>
      <w:r w:rsidRPr="009B3554">
        <w:rPr>
          <w:rFonts w:ascii="Century" w:hAnsi="Century" w:cs="Miriam"/>
          <w:b/>
          <w:spacing w:val="0"/>
          <w:szCs w:val="24"/>
          <w:rtl/>
        </w:rPr>
        <w:t xml:space="preserve"> </w:t>
      </w:r>
      <w:r w:rsidRPr="009B3554">
        <w:rPr>
          <w:rFonts w:ascii="Century" w:hAnsi="Century" w:cs="Miriam" w:hint="eastAsia"/>
          <w:b/>
          <w:spacing w:val="0"/>
          <w:szCs w:val="24"/>
          <w:rtl/>
        </w:rPr>
        <w:t>הניתנת</w:t>
      </w:r>
      <w:r w:rsidRPr="009B3554">
        <w:rPr>
          <w:rFonts w:ascii="Century" w:hAnsi="Century" w:cs="Miriam"/>
          <w:b/>
          <w:spacing w:val="0"/>
          <w:szCs w:val="24"/>
          <w:rtl/>
        </w:rPr>
        <w:t xml:space="preserve"> </w:t>
      </w:r>
      <w:r w:rsidRPr="009B3554">
        <w:rPr>
          <w:rFonts w:ascii="Century" w:hAnsi="Century" w:cs="Miriam" w:hint="eastAsia"/>
          <w:b/>
          <w:spacing w:val="0"/>
          <w:szCs w:val="24"/>
          <w:rtl/>
        </w:rPr>
        <w:t>למימוש</w:t>
      </w:r>
      <w:r w:rsidRPr="009B3554">
        <w:rPr>
          <w:rFonts w:ascii="Century" w:hAnsi="Century" w:cs="Miriam"/>
          <w:b/>
          <w:spacing w:val="0"/>
          <w:szCs w:val="24"/>
          <w:rtl/>
        </w:rPr>
        <w:t xml:space="preserve"> </w:t>
      </w:r>
      <w:r w:rsidRPr="009B3554">
        <w:rPr>
          <w:rFonts w:ascii="Century" w:hAnsi="Century" w:cs="Miriam" w:hint="eastAsia"/>
          <w:b/>
          <w:spacing w:val="0"/>
          <w:szCs w:val="24"/>
          <w:rtl/>
        </w:rPr>
        <w:t>לרצונו</w:t>
      </w:r>
      <w:r w:rsidRPr="009B3554">
        <w:rPr>
          <w:rFonts w:ascii="Century" w:hAnsi="Century" w:cs="Miriam"/>
          <w:b/>
          <w:spacing w:val="0"/>
          <w:szCs w:val="24"/>
          <w:rtl/>
        </w:rPr>
        <w:t xml:space="preserve"> </w:t>
      </w:r>
      <w:r w:rsidRPr="009B3554">
        <w:rPr>
          <w:rFonts w:ascii="Century" w:hAnsi="Century" w:cs="Miriam" w:hint="eastAsia"/>
          <w:b/>
          <w:spacing w:val="0"/>
          <w:szCs w:val="24"/>
          <w:rtl/>
        </w:rPr>
        <w:t>בלבד</w:t>
      </w:r>
      <w:r w:rsidRPr="009B3554">
        <w:rPr>
          <w:rFonts w:ascii="Century" w:hAnsi="Century" w:cs="Miriam"/>
          <w:b/>
          <w:spacing w:val="0"/>
          <w:szCs w:val="24"/>
          <w:rtl/>
        </w:rPr>
        <w:t xml:space="preserve">. </w:t>
      </w:r>
      <w:r>
        <w:rPr>
          <w:rFonts w:ascii="Century" w:hAnsi="Century" w:cs="Miriam" w:hint="cs"/>
          <w:b/>
          <w:spacing w:val="0"/>
          <w:szCs w:val="24"/>
          <w:rtl/>
        </w:rPr>
        <w:t>'</w:t>
      </w:r>
      <w:r w:rsidRPr="009B3554">
        <w:rPr>
          <w:rFonts w:ascii="Century" w:hAnsi="Century" w:cs="Miriam" w:hint="eastAsia"/>
          <w:b/>
          <w:spacing w:val="0"/>
          <w:szCs w:val="24"/>
          <w:rtl/>
        </w:rPr>
        <w:t>חוק</w:t>
      </w:r>
      <w:r w:rsidRPr="009B3554">
        <w:rPr>
          <w:rFonts w:ascii="Century" w:hAnsi="Century" w:cs="Miriam"/>
          <w:b/>
          <w:spacing w:val="0"/>
          <w:szCs w:val="24"/>
          <w:rtl/>
        </w:rPr>
        <w:t xml:space="preserve"> </w:t>
      </w:r>
      <w:r w:rsidRPr="009B3554">
        <w:rPr>
          <w:rFonts w:ascii="Century" w:hAnsi="Century" w:cs="Miriam" w:hint="eastAsia"/>
          <w:b/>
          <w:spacing w:val="0"/>
          <w:szCs w:val="24"/>
          <w:rtl/>
        </w:rPr>
        <w:t>השבות</w:t>
      </w:r>
      <w:r w:rsidRPr="009B3554">
        <w:rPr>
          <w:rFonts w:ascii="Century" w:hAnsi="Century" w:cs="Miriam"/>
          <w:b/>
          <w:spacing w:val="0"/>
          <w:szCs w:val="24"/>
          <w:rtl/>
        </w:rPr>
        <w:t xml:space="preserve"> </w:t>
      </w:r>
      <w:r w:rsidRPr="009B3554">
        <w:rPr>
          <w:rFonts w:ascii="Century" w:hAnsi="Century" w:cs="Miriam" w:hint="eastAsia"/>
          <w:b/>
          <w:spacing w:val="0"/>
          <w:szCs w:val="24"/>
          <w:rtl/>
        </w:rPr>
        <w:t>בא</w:t>
      </w:r>
      <w:r w:rsidRPr="009B3554">
        <w:rPr>
          <w:rFonts w:ascii="Century" w:hAnsi="Century" w:cs="Miriam"/>
          <w:b/>
          <w:spacing w:val="0"/>
          <w:szCs w:val="24"/>
          <w:rtl/>
        </w:rPr>
        <w:t xml:space="preserve"> </w:t>
      </w:r>
      <w:r w:rsidRPr="009B3554">
        <w:rPr>
          <w:rFonts w:ascii="Century" w:hAnsi="Century" w:cs="Miriam" w:hint="eastAsia"/>
          <w:b/>
          <w:spacing w:val="0"/>
          <w:szCs w:val="24"/>
          <w:rtl/>
        </w:rPr>
        <w:t>לקבוע</w:t>
      </w:r>
      <w:r w:rsidRPr="009B3554">
        <w:rPr>
          <w:rFonts w:ascii="Century" w:hAnsi="Century" w:cs="Miriam"/>
          <w:b/>
          <w:spacing w:val="0"/>
          <w:szCs w:val="24"/>
          <w:rtl/>
        </w:rPr>
        <w:t xml:space="preserve"> </w:t>
      </w:r>
      <w:r w:rsidRPr="009B3554">
        <w:rPr>
          <w:rFonts w:ascii="Century" w:hAnsi="Century" w:cs="Miriam" w:hint="eastAsia"/>
          <w:b/>
          <w:spacing w:val="0"/>
          <w:szCs w:val="24"/>
          <w:rtl/>
        </w:rPr>
        <w:t>עיקרון</w:t>
      </w:r>
      <w:r w:rsidRPr="009B3554">
        <w:rPr>
          <w:rFonts w:ascii="Century" w:hAnsi="Century" w:cs="Miriam"/>
          <w:b/>
          <w:spacing w:val="0"/>
          <w:szCs w:val="24"/>
          <w:rtl/>
        </w:rPr>
        <w:t xml:space="preserve">, </w:t>
      </w:r>
      <w:r w:rsidRPr="009B3554">
        <w:rPr>
          <w:rFonts w:ascii="Century" w:hAnsi="Century" w:cs="Miriam" w:hint="eastAsia"/>
          <w:b/>
          <w:spacing w:val="0"/>
          <w:szCs w:val="24"/>
          <w:rtl/>
        </w:rPr>
        <w:t>שכל</w:t>
      </w:r>
      <w:r w:rsidRPr="009B3554">
        <w:rPr>
          <w:rFonts w:ascii="Century" w:hAnsi="Century" w:cs="Miriam"/>
          <w:b/>
          <w:spacing w:val="0"/>
          <w:szCs w:val="24"/>
          <w:rtl/>
        </w:rPr>
        <w:t xml:space="preserve"> </w:t>
      </w:r>
      <w:r w:rsidRPr="009B3554">
        <w:rPr>
          <w:rFonts w:ascii="Century" w:hAnsi="Century" w:cs="Miriam" w:hint="eastAsia"/>
          <w:b/>
          <w:spacing w:val="0"/>
          <w:szCs w:val="24"/>
          <w:rtl/>
        </w:rPr>
        <w:t>עם</w:t>
      </w:r>
      <w:r w:rsidRPr="009B3554">
        <w:rPr>
          <w:rFonts w:ascii="Century" w:hAnsi="Century" w:cs="Miriam"/>
          <w:b/>
          <w:spacing w:val="0"/>
          <w:szCs w:val="24"/>
          <w:rtl/>
        </w:rPr>
        <w:t xml:space="preserve"> </w:t>
      </w:r>
      <w:r w:rsidRPr="009B3554">
        <w:rPr>
          <w:rFonts w:ascii="Century" w:hAnsi="Century" w:cs="Miriam" w:hint="eastAsia"/>
          <w:b/>
          <w:spacing w:val="0"/>
          <w:szCs w:val="24"/>
          <w:rtl/>
        </w:rPr>
        <w:t>ישראל</w:t>
      </w:r>
      <w:r w:rsidRPr="009B3554">
        <w:rPr>
          <w:rFonts w:ascii="Century" w:hAnsi="Century" w:cs="Miriam"/>
          <w:b/>
          <w:spacing w:val="0"/>
          <w:szCs w:val="24"/>
          <w:rtl/>
        </w:rPr>
        <w:t xml:space="preserve"> </w:t>
      </w:r>
      <w:r w:rsidRPr="009B3554">
        <w:rPr>
          <w:rFonts w:ascii="Century" w:hAnsi="Century" w:cs="Miriam" w:hint="eastAsia"/>
          <w:b/>
          <w:spacing w:val="0"/>
          <w:szCs w:val="24"/>
          <w:rtl/>
        </w:rPr>
        <w:t>בעולם</w:t>
      </w:r>
      <w:r w:rsidRPr="009B3554">
        <w:rPr>
          <w:rFonts w:ascii="Century" w:hAnsi="Century" w:cs="Miriam"/>
          <w:b/>
          <w:spacing w:val="0"/>
          <w:szCs w:val="24"/>
          <w:rtl/>
        </w:rPr>
        <w:t xml:space="preserve"> </w:t>
      </w:r>
      <w:r w:rsidRPr="009B3554">
        <w:rPr>
          <w:rFonts w:ascii="Century" w:hAnsi="Century" w:cs="Miriam" w:hint="eastAsia"/>
          <w:b/>
          <w:spacing w:val="0"/>
          <w:szCs w:val="24"/>
          <w:rtl/>
        </w:rPr>
        <w:t>כולו</w:t>
      </w:r>
      <w:r w:rsidRPr="009B3554">
        <w:rPr>
          <w:rFonts w:ascii="Century" w:hAnsi="Century" w:cs="Miriam"/>
          <w:b/>
          <w:spacing w:val="0"/>
          <w:szCs w:val="24"/>
          <w:rtl/>
        </w:rPr>
        <w:t xml:space="preserve"> </w:t>
      </w:r>
      <w:r w:rsidRPr="009B3554">
        <w:rPr>
          <w:rFonts w:ascii="Century" w:hAnsi="Century" w:cs="Miriam" w:hint="eastAsia"/>
          <w:b/>
          <w:spacing w:val="0"/>
          <w:szCs w:val="24"/>
          <w:rtl/>
        </w:rPr>
        <w:t>יש</w:t>
      </w:r>
      <w:r w:rsidRPr="009B3554">
        <w:rPr>
          <w:rFonts w:ascii="Century" w:hAnsi="Century" w:cs="Miriam"/>
          <w:b/>
          <w:spacing w:val="0"/>
          <w:szCs w:val="24"/>
          <w:rtl/>
        </w:rPr>
        <w:t xml:space="preserve"> </w:t>
      </w:r>
      <w:r w:rsidRPr="009B3554">
        <w:rPr>
          <w:rFonts w:ascii="Century" w:hAnsi="Century" w:cs="Miriam" w:hint="eastAsia"/>
          <w:b/>
          <w:spacing w:val="0"/>
          <w:szCs w:val="24"/>
          <w:rtl/>
        </w:rPr>
        <w:t>לו</w:t>
      </w:r>
      <w:r w:rsidRPr="009B3554">
        <w:rPr>
          <w:rFonts w:ascii="Century" w:hAnsi="Century" w:cs="Miriam"/>
          <w:b/>
          <w:spacing w:val="0"/>
          <w:szCs w:val="24"/>
          <w:rtl/>
        </w:rPr>
        <w:t xml:space="preserve"> </w:t>
      </w:r>
      <w:r w:rsidRPr="009B3554">
        <w:rPr>
          <w:rFonts w:ascii="Century" w:hAnsi="Century" w:cs="Miriam" w:hint="eastAsia"/>
          <w:b/>
          <w:spacing w:val="0"/>
          <w:szCs w:val="24"/>
          <w:rtl/>
        </w:rPr>
        <w:t>חלק</w:t>
      </w:r>
      <w:r w:rsidRPr="009B3554">
        <w:rPr>
          <w:rFonts w:ascii="Century" w:hAnsi="Century" w:cs="Miriam"/>
          <w:b/>
          <w:spacing w:val="0"/>
          <w:szCs w:val="24"/>
          <w:rtl/>
        </w:rPr>
        <w:t xml:space="preserve"> </w:t>
      </w:r>
      <w:r w:rsidRPr="009B3554">
        <w:rPr>
          <w:rFonts w:ascii="Century" w:hAnsi="Century" w:cs="Miriam" w:hint="eastAsia"/>
          <w:b/>
          <w:spacing w:val="0"/>
          <w:szCs w:val="24"/>
          <w:rtl/>
        </w:rPr>
        <w:t>ונחלה</w:t>
      </w:r>
      <w:r w:rsidRPr="009B3554">
        <w:rPr>
          <w:rFonts w:ascii="Century" w:hAnsi="Century" w:cs="Miriam"/>
          <w:b/>
          <w:spacing w:val="0"/>
          <w:szCs w:val="24"/>
          <w:rtl/>
        </w:rPr>
        <w:t xml:space="preserve"> </w:t>
      </w:r>
      <w:r w:rsidRPr="009B3554">
        <w:rPr>
          <w:rFonts w:ascii="Century" w:hAnsi="Century" w:cs="Miriam" w:hint="eastAsia"/>
          <w:b/>
          <w:spacing w:val="0"/>
          <w:szCs w:val="24"/>
          <w:rtl/>
        </w:rPr>
        <w:t>בישראל</w:t>
      </w:r>
      <w:r w:rsidRPr="009B3554">
        <w:rPr>
          <w:rFonts w:ascii="Century" w:hAnsi="Century" w:cs="Miriam"/>
          <w:b/>
          <w:spacing w:val="0"/>
          <w:szCs w:val="24"/>
          <w:rtl/>
        </w:rPr>
        <w:t xml:space="preserve">, </w:t>
      </w:r>
      <w:r w:rsidRPr="009B3554">
        <w:rPr>
          <w:rFonts w:ascii="Century" w:hAnsi="Century" w:cs="Miriam" w:hint="eastAsia"/>
          <w:b/>
          <w:spacing w:val="0"/>
          <w:szCs w:val="24"/>
          <w:rtl/>
        </w:rPr>
        <w:t>וכאשר</w:t>
      </w:r>
      <w:r w:rsidRPr="009B3554">
        <w:rPr>
          <w:rFonts w:ascii="Century" w:hAnsi="Century" w:cs="Miriam"/>
          <w:b/>
          <w:spacing w:val="0"/>
          <w:szCs w:val="24"/>
          <w:rtl/>
        </w:rPr>
        <w:t xml:space="preserve"> </w:t>
      </w:r>
      <w:r w:rsidRPr="009B3554">
        <w:rPr>
          <w:rFonts w:ascii="Century" w:hAnsi="Century" w:cs="Miriam" w:hint="eastAsia"/>
          <w:b/>
          <w:spacing w:val="0"/>
          <w:szCs w:val="24"/>
          <w:rtl/>
        </w:rPr>
        <w:t>אדם</w:t>
      </w:r>
      <w:r w:rsidRPr="009B3554">
        <w:rPr>
          <w:rFonts w:ascii="Century" w:hAnsi="Century" w:cs="Miriam"/>
          <w:b/>
          <w:spacing w:val="0"/>
          <w:szCs w:val="24"/>
          <w:rtl/>
        </w:rPr>
        <w:t xml:space="preserve"> </w:t>
      </w:r>
      <w:r w:rsidRPr="009B3554">
        <w:rPr>
          <w:rFonts w:ascii="Century" w:hAnsi="Century" w:cs="Miriam" w:hint="eastAsia"/>
          <w:b/>
          <w:spacing w:val="0"/>
          <w:szCs w:val="24"/>
          <w:rtl/>
        </w:rPr>
        <w:t>מישראל</w:t>
      </w:r>
      <w:r w:rsidRPr="009B3554">
        <w:rPr>
          <w:rFonts w:ascii="Century" w:hAnsi="Century" w:cs="Miriam"/>
          <w:b/>
          <w:spacing w:val="0"/>
          <w:szCs w:val="24"/>
          <w:rtl/>
        </w:rPr>
        <w:t xml:space="preserve"> </w:t>
      </w:r>
      <w:r w:rsidRPr="009B3554">
        <w:rPr>
          <w:rFonts w:ascii="Century" w:hAnsi="Century" w:cs="Miriam" w:hint="eastAsia"/>
          <w:b/>
          <w:spacing w:val="0"/>
          <w:szCs w:val="24"/>
          <w:rtl/>
        </w:rPr>
        <w:t>רוצה</w:t>
      </w:r>
      <w:r w:rsidRPr="009B3554">
        <w:rPr>
          <w:rFonts w:ascii="Century" w:hAnsi="Century" w:cs="Miriam"/>
          <w:b/>
          <w:spacing w:val="0"/>
          <w:szCs w:val="24"/>
          <w:rtl/>
        </w:rPr>
        <w:t xml:space="preserve"> </w:t>
      </w:r>
      <w:r w:rsidRPr="009B3554">
        <w:rPr>
          <w:rFonts w:ascii="Century" w:hAnsi="Century" w:cs="Miriam" w:hint="eastAsia"/>
          <w:b/>
          <w:spacing w:val="0"/>
          <w:szCs w:val="24"/>
          <w:rtl/>
        </w:rPr>
        <w:t>לחזור</w:t>
      </w:r>
      <w:r w:rsidRPr="009B3554">
        <w:rPr>
          <w:rFonts w:ascii="Century" w:hAnsi="Century" w:cs="Miriam"/>
          <w:b/>
          <w:spacing w:val="0"/>
          <w:szCs w:val="24"/>
          <w:rtl/>
        </w:rPr>
        <w:t xml:space="preserve"> </w:t>
      </w:r>
      <w:r w:rsidRPr="009B3554">
        <w:rPr>
          <w:rFonts w:ascii="Century" w:hAnsi="Century" w:cs="Miriam" w:hint="eastAsia"/>
          <w:b/>
          <w:spacing w:val="0"/>
          <w:szCs w:val="24"/>
          <w:rtl/>
        </w:rPr>
        <w:t>למולדתו</w:t>
      </w:r>
      <w:r w:rsidRPr="009B3554">
        <w:rPr>
          <w:rFonts w:ascii="Century" w:hAnsi="Century" w:cs="Miriam"/>
          <w:b/>
          <w:spacing w:val="0"/>
          <w:szCs w:val="24"/>
          <w:rtl/>
        </w:rPr>
        <w:t xml:space="preserve">, </w:t>
      </w:r>
      <w:r w:rsidRPr="009B3554">
        <w:rPr>
          <w:rFonts w:ascii="Century" w:hAnsi="Century" w:cs="Miriam" w:hint="eastAsia"/>
          <w:b/>
          <w:spacing w:val="0"/>
          <w:szCs w:val="24"/>
          <w:rtl/>
        </w:rPr>
        <w:t>לישראל</w:t>
      </w:r>
      <w:r w:rsidRPr="009B3554">
        <w:rPr>
          <w:rFonts w:ascii="Century" w:hAnsi="Century" w:cs="Miriam"/>
          <w:b/>
          <w:spacing w:val="0"/>
          <w:szCs w:val="24"/>
          <w:rtl/>
        </w:rPr>
        <w:t xml:space="preserve">, </w:t>
      </w:r>
      <w:r w:rsidRPr="009B3554">
        <w:rPr>
          <w:rFonts w:ascii="Century" w:hAnsi="Century" w:cs="Miriam" w:hint="eastAsia"/>
          <w:b/>
          <w:spacing w:val="0"/>
          <w:szCs w:val="24"/>
          <w:rtl/>
        </w:rPr>
        <w:t>הוא</w:t>
      </w:r>
      <w:r w:rsidRPr="009B3554">
        <w:rPr>
          <w:rFonts w:ascii="Century" w:hAnsi="Century" w:cs="Miriam"/>
          <w:b/>
          <w:spacing w:val="0"/>
          <w:szCs w:val="24"/>
          <w:rtl/>
        </w:rPr>
        <w:t xml:space="preserve"> </w:t>
      </w:r>
      <w:r w:rsidRPr="009B3554">
        <w:rPr>
          <w:rFonts w:ascii="Century" w:hAnsi="Century" w:cs="Miriam" w:hint="eastAsia"/>
          <w:b/>
          <w:spacing w:val="0"/>
          <w:szCs w:val="24"/>
          <w:rtl/>
        </w:rPr>
        <w:t>איננו</w:t>
      </w:r>
      <w:r w:rsidRPr="009B3554">
        <w:rPr>
          <w:rFonts w:ascii="Century" w:hAnsi="Century" w:cs="Miriam"/>
          <w:b/>
          <w:spacing w:val="0"/>
          <w:szCs w:val="24"/>
          <w:rtl/>
        </w:rPr>
        <w:t xml:space="preserve"> </w:t>
      </w:r>
      <w:r w:rsidRPr="009B3554">
        <w:rPr>
          <w:rFonts w:ascii="Century" w:hAnsi="Century" w:cs="Miriam" w:hint="eastAsia"/>
          <w:b/>
          <w:spacing w:val="0"/>
          <w:szCs w:val="24"/>
          <w:rtl/>
        </w:rPr>
        <w:t>בבחינת</w:t>
      </w:r>
      <w:r w:rsidRPr="009B3554">
        <w:rPr>
          <w:rFonts w:ascii="Century" w:hAnsi="Century" w:cs="Miriam"/>
          <w:b/>
          <w:spacing w:val="0"/>
          <w:szCs w:val="24"/>
          <w:rtl/>
        </w:rPr>
        <w:t xml:space="preserve"> </w:t>
      </w:r>
      <w:r w:rsidRPr="009B3554">
        <w:rPr>
          <w:rFonts w:ascii="Century" w:hAnsi="Century" w:cs="Miriam" w:hint="eastAsia"/>
          <w:b/>
          <w:spacing w:val="0"/>
          <w:szCs w:val="24"/>
          <w:rtl/>
        </w:rPr>
        <w:t>מהגר</w:t>
      </w:r>
      <w:r w:rsidRPr="009B3554">
        <w:rPr>
          <w:rFonts w:ascii="Century" w:hAnsi="Century" w:cs="Miriam"/>
          <w:b/>
          <w:spacing w:val="0"/>
          <w:szCs w:val="24"/>
          <w:rtl/>
        </w:rPr>
        <w:t xml:space="preserve">, </w:t>
      </w:r>
      <w:r w:rsidRPr="009B3554">
        <w:rPr>
          <w:rFonts w:ascii="Century" w:hAnsi="Century" w:cs="Miriam" w:hint="eastAsia"/>
          <w:b/>
          <w:spacing w:val="0"/>
          <w:szCs w:val="24"/>
          <w:rtl/>
        </w:rPr>
        <w:t>אלא</w:t>
      </w:r>
      <w:r w:rsidRPr="009B3554">
        <w:rPr>
          <w:rFonts w:ascii="Century" w:hAnsi="Century" w:cs="Miriam"/>
          <w:b/>
          <w:spacing w:val="0"/>
          <w:szCs w:val="24"/>
          <w:rtl/>
        </w:rPr>
        <w:t xml:space="preserve"> </w:t>
      </w:r>
      <w:r w:rsidRPr="009B3554">
        <w:rPr>
          <w:rFonts w:ascii="Century" w:hAnsi="Century" w:cs="Miriam" w:hint="eastAsia"/>
          <w:b/>
          <w:spacing w:val="0"/>
          <w:szCs w:val="24"/>
          <w:rtl/>
        </w:rPr>
        <w:t>בבחינת</w:t>
      </w:r>
      <w:r w:rsidRPr="009B3554">
        <w:rPr>
          <w:rFonts w:ascii="Century" w:hAnsi="Century" w:cs="Miriam"/>
          <w:b/>
          <w:spacing w:val="0"/>
          <w:szCs w:val="24"/>
          <w:rtl/>
        </w:rPr>
        <w:t xml:space="preserve"> </w:t>
      </w:r>
      <w:r w:rsidRPr="009B3554">
        <w:rPr>
          <w:rFonts w:ascii="Century" w:hAnsi="Century" w:cs="Miriam" w:hint="eastAsia"/>
          <w:b/>
          <w:spacing w:val="0"/>
          <w:szCs w:val="24"/>
          <w:rtl/>
        </w:rPr>
        <w:t>שב</w:t>
      </w:r>
      <w:r w:rsidRPr="009B3554">
        <w:rPr>
          <w:rFonts w:ascii="Century" w:hAnsi="Century" w:cs="Miriam"/>
          <w:b/>
          <w:spacing w:val="0"/>
          <w:szCs w:val="24"/>
          <w:rtl/>
        </w:rPr>
        <w:t xml:space="preserve"> </w:t>
      </w:r>
      <w:r w:rsidRPr="009B3554">
        <w:rPr>
          <w:rFonts w:ascii="Century" w:hAnsi="Century" w:cs="Miriam" w:hint="eastAsia"/>
          <w:b/>
          <w:spacing w:val="0"/>
          <w:szCs w:val="24"/>
          <w:rtl/>
        </w:rPr>
        <w:t>למולדתו</w:t>
      </w:r>
      <w:r>
        <w:rPr>
          <w:rFonts w:ascii="Century" w:hAnsi="Century" w:cs="Miriam" w:hint="cs"/>
          <w:b/>
          <w:spacing w:val="0"/>
          <w:szCs w:val="24"/>
          <w:rtl/>
        </w:rPr>
        <w:t>'</w:t>
      </w:r>
      <w:r w:rsidRPr="009B3554">
        <w:rPr>
          <w:rFonts w:ascii="Century" w:hAnsi="Century" w:cs="Miriam"/>
          <w:b/>
          <w:spacing w:val="0"/>
          <w:szCs w:val="24"/>
          <w:rtl/>
        </w:rPr>
        <w:t xml:space="preserve"> (</w:t>
      </w:r>
      <w:r w:rsidRPr="009B3554">
        <w:rPr>
          <w:rFonts w:ascii="Century" w:hAnsi="Century" w:cs="Miriam" w:hint="eastAsia"/>
          <w:b/>
          <w:spacing w:val="0"/>
          <w:szCs w:val="24"/>
          <w:rtl/>
        </w:rPr>
        <w:t>דברי</w:t>
      </w:r>
      <w:r w:rsidRPr="009B3554">
        <w:rPr>
          <w:rFonts w:ascii="Century" w:hAnsi="Century" w:cs="Miriam"/>
          <w:b/>
          <w:spacing w:val="0"/>
          <w:szCs w:val="24"/>
          <w:rtl/>
        </w:rPr>
        <w:t xml:space="preserve"> </w:t>
      </w:r>
      <w:r w:rsidRPr="009B3554">
        <w:rPr>
          <w:rFonts w:ascii="Century" w:hAnsi="Century" w:cs="Miriam" w:hint="eastAsia"/>
          <w:b/>
          <w:spacing w:val="0"/>
          <w:szCs w:val="24"/>
          <w:rtl/>
        </w:rPr>
        <w:t>חבר</w:t>
      </w:r>
      <w:r w:rsidRPr="009B3554">
        <w:rPr>
          <w:rFonts w:ascii="Century" w:hAnsi="Century" w:cs="Miriam"/>
          <w:b/>
          <w:spacing w:val="0"/>
          <w:szCs w:val="24"/>
          <w:rtl/>
        </w:rPr>
        <w:t>-</w:t>
      </w:r>
      <w:r w:rsidRPr="009B3554">
        <w:rPr>
          <w:rFonts w:ascii="Century" w:hAnsi="Century" w:cs="Miriam" w:hint="eastAsia"/>
          <w:b/>
          <w:spacing w:val="0"/>
          <w:szCs w:val="24"/>
          <w:rtl/>
        </w:rPr>
        <w:t>הכנסת</w:t>
      </w:r>
      <w:r w:rsidRPr="009B3554">
        <w:rPr>
          <w:rFonts w:ascii="Century" w:hAnsi="Century" w:cs="Miriam"/>
          <w:b/>
          <w:spacing w:val="0"/>
          <w:szCs w:val="24"/>
          <w:rtl/>
        </w:rPr>
        <w:t xml:space="preserve"> </w:t>
      </w:r>
      <w:r w:rsidRPr="009B3554">
        <w:rPr>
          <w:rFonts w:ascii="Century" w:hAnsi="Century" w:cs="Miriam" w:hint="eastAsia"/>
          <w:b/>
          <w:spacing w:val="0"/>
          <w:szCs w:val="24"/>
          <w:rtl/>
        </w:rPr>
        <w:t>זרח</w:t>
      </w:r>
      <w:r w:rsidRPr="009B3554">
        <w:rPr>
          <w:rFonts w:ascii="Century" w:hAnsi="Century" w:cs="Miriam"/>
          <w:b/>
          <w:spacing w:val="0"/>
          <w:szCs w:val="24"/>
          <w:rtl/>
        </w:rPr>
        <w:t xml:space="preserve"> </w:t>
      </w:r>
      <w:r w:rsidRPr="009B3554">
        <w:rPr>
          <w:rFonts w:ascii="Century" w:hAnsi="Century" w:cs="Miriam" w:hint="eastAsia"/>
          <w:b/>
          <w:spacing w:val="0"/>
          <w:szCs w:val="24"/>
          <w:rtl/>
        </w:rPr>
        <w:t>ורהפטיג</w:t>
      </w:r>
      <w:r w:rsidRPr="009B3554">
        <w:rPr>
          <w:rFonts w:ascii="Century" w:hAnsi="Century" w:cs="Miriam"/>
          <w:b/>
          <w:spacing w:val="0"/>
          <w:szCs w:val="24"/>
          <w:rtl/>
        </w:rPr>
        <w:t xml:space="preserve"> </w:t>
      </w:r>
      <w:r w:rsidRPr="009B3554">
        <w:rPr>
          <w:rFonts w:ascii="Century" w:hAnsi="Century" w:cs="Miriam" w:hint="eastAsia"/>
          <w:b/>
          <w:spacing w:val="0"/>
          <w:szCs w:val="24"/>
          <w:rtl/>
        </w:rPr>
        <w:t>בישיבת</w:t>
      </w:r>
      <w:r w:rsidRPr="009B3554">
        <w:rPr>
          <w:rFonts w:ascii="Century" w:hAnsi="Century" w:cs="Miriam"/>
          <w:b/>
          <w:spacing w:val="0"/>
          <w:szCs w:val="24"/>
          <w:rtl/>
        </w:rPr>
        <w:t xml:space="preserve"> </w:t>
      </w:r>
      <w:r w:rsidRPr="009B3554">
        <w:rPr>
          <w:rFonts w:ascii="Century" w:hAnsi="Century" w:cs="Miriam" w:hint="eastAsia"/>
          <w:b/>
          <w:spacing w:val="0"/>
          <w:szCs w:val="24"/>
          <w:rtl/>
        </w:rPr>
        <w:t>הכנסת</w:t>
      </w:r>
      <w:r w:rsidRPr="009B3554">
        <w:rPr>
          <w:rFonts w:ascii="Century" w:hAnsi="Century" w:cs="Miriam"/>
          <w:b/>
          <w:spacing w:val="0"/>
          <w:szCs w:val="24"/>
          <w:rtl/>
        </w:rPr>
        <w:t xml:space="preserve"> </w:t>
      </w:r>
      <w:r w:rsidRPr="009B3554">
        <w:rPr>
          <w:rFonts w:ascii="Century" w:hAnsi="Century" w:cs="Miriam" w:hint="eastAsia"/>
          <w:b/>
          <w:spacing w:val="0"/>
          <w:szCs w:val="24"/>
          <w:rtl/>
        </w:rPr>
        <w:t>מיום</w:t>
      </w:r>
      <w:r w:rsidRPr="009B3554">
        <w:rPr>
          <w:rFonts w:ascii="Century" w:hAnsi="Century" w:cs="Miriam"/>
          <w:b/>
          <w:spacing w:val="0"/>
          <w:szCs w:val="24"/>
          <w:rtl/>
        </w:rPr>
        <w:t xml:space="preserve"> 2.2.1954; </w:t>
      </w:r>
      <w:r w:rsidRPr="009B3554">
        <w:rPr>
          <w:rFonts w:ascii="Century" w:hAnsi="Century" w:cs="Miriam" w:hint="eastAsia"/>
          <w:b/>
          <w:spacing w:val="0"/>
          <w:szCs w:val="24"/>
          <w:rtl/>
        </w:rPr>
        <w:t>ד</w:t>
      </w:r>
      <w:r w:rsidRPr="009B3554">
        <w:rPr>
          <w:rFonts w:ascii="Century" w:hAnsi="Century" w:cs="Miriam"/>
          <w:b/>
          <w:spacing w:val="0"/>
          <w:szCs w:val="24"/>
          <w:rtl/>
        </w:rPr>
        <w:t>"</w:t>
      </w:r>
      <w:r w:rsidRPr="009B3554">
        <w:rPr>
          <w:rFonts w:ascii="Century" w:hAnsi="Century" w:cs="Miriam" w:hint="eastAsia"/>
          <w:b/>
          <w:spacing w:val="0"/>
          <w:szCs w:val="24"/>
          <w:rtl/>
        </w:rPr>
        <w:t>כ</w:t>
      </w:r>
      <w:r w:rsidRPr="009B3554">
        <w:rPr>
          <w:rFonts w:ascii="Century" w:hAnsi="Century" w:cs="Miriam"/>
          <w:b/>
          <w:spacing w:val="0"/>
          <w:szCs w:val="24"/>
          <w:rtl/>
        </w:rPr>
        <w:t xml:space="preserve"> 15 (</w:t>
      </w:r>
      <w:r w:rsidRPr="009B3554">
        <w:rPr>
          <w:rFonts w:ascii="Century" w:hAnsi="Century" w:cs="Miriam" w:hint="eastAsia"/>
          <w:b/>
          <w:spacing w:val="0"/>
          <w:szCs w:val="24"/>
          <w:rtl/>
        </w:rPr>
        <w:t>תשי</w:t>
      </w:r>
      <w:r w:rsidRPr="009B3554">
        <w:rPr>
          <w:rFonts w:ascii="Century" w:hAnsi="Century" w:cs="Miriam"/>
          <w:b/>
          <w:spacing w:val="0"/>
          <w:szCs w:val="24"/>
          <w:rtl/>
        </w:rPr>
        <w:t>"</w:t>
      </w:r>
      <w:r w:rsidRPr="009B3554">
        <w:rPr>
          <w:rFonts w:ascii="Century" w:hAnsi="Century" w:cs="Miriam" w:hint="eastAsia"/>
          <w:b/>
          <w:spacing w:val="0"/>
          <w:szCs w:val="24"/>
          <w:rtl/>
        </w:rPr>
        <w:t>ד</w:t>
      </w:r>
      <w:r w:rsidRPr="009B3554">
        <w:rPr>
          <w:rFonts w:ascii="Century" w:hAnsi="Century" w:cs="Miriam"/>
          <w:b/>
          <w:spacing w:val="0"/>
          <w:szCs w:val="24"/>
          <w:rtl/>
        </w:rPr>
        <w:t xml:space="preserve">) 823). </w:t>
      </w:r>
      <w:r w:rsidRPr="009B3554">
        <w:rPr>
          <w:rFonts w:ascii="Century" w:hAnsi="Century" w:cs="Miriam" w:hint="eastAsia"/>
          <w:b/>
          <w:spacing w:val="0"/>
          <w:szCs w:val="24"/>
          <w:u w:val="single"/>
          <w:rtl/>
        </w:rPr>
        <w:t>וגם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נעלה</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כי</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מעט</w:t>
      </w:r>
      <w:r w:rsidRPr="009B3554">
        <w:rPr>
          <w:rFonts w:ascii="Century" w:hAnsi="Century" w:cs="Miriam"/>
          <w:b/>
          <w:spacing w:val="0"/>
          <w:szCs w:val="24"/>
          <w:u w:val="single"/>
          <w:rtl/>
        </w:rPr>
        <w:t>-</w:t>
      </w:r>
      <w:r w:rsidRPr="009B3554">
        <w:rPr>
          <w:rFonts w:ascii="Century" w:hAnsi="Century" w:cs="Miriam" w:hint="eastAsia"/>
          <w:b/>
          <w:spacing w:val="0"/>
          <w:szCs w:val="24"/>
          <w:u w:val="single"/>
          <w:rtl/>
        </w:rPr>
        <w:t>שם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מעט</w:t>
      </w:r>
      <w:r w:rsidRPr="009B3554">
        <w:rPr>
          <w:rFonts w:ascii="Century" w:hAnsi="Century" w:cs="Miriam"/>
          <w:b/>
          <w:spacing w:val="0"/>
          <w:szCs w:val="24"/>
          <w:u w:val="single"/>
          <w:rtl/>
        </w:rPr>
        <w:t>-</w:t>
      </w:r>
      <w:r w:rsidRPr="009B3554">
        <w:rPr>
          <w:rFonts w:ascii="Century" w:hAnsi="Century" w:cs="Miriam" w:hint="eastAsia"/>
          <w:b/>
          <w:spacing w:val="0"/>
          <w:szCs w:val="24"/>
          <w:u w:val="single"/>
          <w:rtl/>
        </w:rPr>
        <w:t>שם</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תימצא</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לנו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תכלית</w:t>
      </w:r>
      <w:r w:rsidRPr="009B3554">
        <w:rPr>
          <w:rFonts w:ascii="Century" w:hAnsi="Century" w:cs="Miriam"/>
          <w:b/>
          <w:spacing w:val="0"/>
          <w:szCs w:val="24"/>
          <w:u w:val="single"/>
          <w:rtl/>
        </w:rPr>
        <w:t>-</w:t>
      </w:r>
      <w:r w:rsidRPr="009B3554">
        <w:rPr>
          <w:rFonts w:ascii="Century" w:hAnsi="Century" w:cs="Miriam" w:hint="eastAsia"/>
          <w:b/>
          <w:spacing w:val="0"/>
          <w:szCs w:val="24"/>
          <w:u w:val="single"/>
          <w:rtl/>
        </w:rPr>
        <w:t>משנה</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זו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אחרת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הנה</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העיקר</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הוא</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אותו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עיקר</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והוראת</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סעיף</w:t>
      </w:r>
      <w:r w:rsidRPr="009B3554">
        <w:rPr>
          <w:rFonts w:ascii="Century" w:hAnsi="Century" w:cs="Miriam"/>
          <w:b/>
          <w:spacing w:val="0"/>
          <w:szCs w:val="24"/>
          <w:u w:val="single"/>
          <w:rtl/>
        </w:rPr>
        <w:t xml:space="preserve"> 4</w:t>
      </w:r>
      <w:r w:rsidRPr="009B3554">
        <w:rPr>
          <w:rFonts w:ascii="Century" w:hAnsi="Century" w:cs="Miriam" w:hint="eastAsia"/>
          <w:b/>
          <w:spacing w:val="0"/>
          <w:szCs w:val="24"/>
          <w:u w:val="single"/>
          <w:rtl/>
        </w:rPr>
        <w:t>א</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תפורש</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על</w:t>
      </w:r>
      <w:r w:rsidRPr="009B3554">
        <w:rPr>
          <w:rFonts w:ascii="Century" w:hAnsi="Century" w:cs="Miriam"/>
          <w:b/>
          <w:spacing w:val="0"/>
          <w:szCs w:val="24"/>
          <w:u w:val="single"/>
          <w:rtl/>
        </w:rPr>
        <w:t>-</w:t>
      </w:r>
      <w:r w:rsidRPr="009B3554">
        <w:rPr>
          <w:rFonts w:ascii="Century" w:hAnsi="Century" w:cs="Miriam" w:hint="eastAsia"/>
          <w:b/>
          <w:spacing w:val="0"/>
          <w:szCs w:val="24"/>
          <w:u w:val="single"/>
          <w:rtl/>
        </w:rPr>
        <w:t>פי</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אותו</w:t>
      </w:r>
      <w:r w:rsidRPr="009B3554">
        <w:rPr>
          <w:rFonts w:ascii="Century" w:hAnsi="Century" w:cs="Miriam"/>
          <w:b/>
          <w:spacing w:val="0"/>
          <w:szCs w:val="24"/>
          <w:u w:val="single"/>
          <w:rtl/>
        </w:rPr>
        <w:t xml:space="preserve"> </w:t>
      </w:r>
      <w:r w:rsidRPr="009B3554">
        <w:rPr>
          <w:rFonts w:ascii="Century" w:hAnsi="Century" w:cs="Miriam" w:hint="eastAsia"/>
          <w:b/>
          <w:spacing w:val="0"/>
          <w:szCs w:val="24"/>
          <w:u w:val="single"/>
          <w:rtl/>
        </w:rPr>
        <w:t>עיקר</w:t>
      </w:r>
      <w:r w:rsidRPr="009B3554">
        <w:rPr>
          <w:rFonts w:ascii="Century" w:hAnsi="Century" w:cs="Miriam" w:hint="cs"/>
          <w:b/>
          <w:spacing w:val="0"/>
          <w:szCs w:val="24"/>
          <w:rtl/>
        </w:rPr>
        <w:t>"</w:t>
      </w:r>
      <w:r>
        <w:rPr>
          <w:rFonts w:ascii="Century" w:hAnsi="Century" w:cs="Miriam" w:hint="cs"/>
          <w:b/>
          <w:spacing w:val="0"/>
          <w:szCs w:val="24"/>
          <w:rtl/>
        </w:rPr>
        <w:t xml:space="preserve"> </w:t>
      </w:r>
      <w:r>
        <w:rPr>
          <w:rFonts w:ascii="Century" w:hAnsi="Century" w:hint="cs"/>
          <w:rtl/>
        </w:rPr>
        <w:t xml:space="preserve">(ההדגשות הוּספוּ </w:t>
      </w:r>
      <w:r>
        <w:rPr>
          <w:rFonts w:ascii="Century" w:hAnsi="Century"/>
          <w:rtl/>
        </w:rPr>
        <w:t>–</w:t>
      </w:r>
      <w:r>
        <w:rPr>
          <w:rFonts w:ascii="Century" w:hAnsi="Century" w:hint="cs"/>
          <w:rtl/>
        </w:rPr>
        <w:t xml:space="preserve"> נ' ס') (וראו גם, למשל: </w:t>
      </w:r>
      <w:r w:rsidRPr="00D76131">
        <w:rPr>
          <w:rFonts w:ascii="Century" w:hAnsi="Century" w:hint="eastAsia"/>
          <w:rtl/>
        </w:rPr>
        <w:t>בג</w:t>
      </w:r>
      <w:r w:rsidRPr="00D76131">
        <w:rPr>
          <w:rFonts w:ascii="Century" w:hAnsi="Century"/>
          <w:rtl/>
        </w:rPr>
        <w:t>"</w:t>
      </w:r>
      <w:r w:rsidRPr="00D76131">
        <w:rPr>
          <w:rFonts w:ascii="Century" w:hAnsi="Century" w:hint="eastAsia"/>
          <w:rtl/>
        </w:rPr>
        <w:t>ץ</w:t>
      </w:r>
      <w:r w:rsidRPr="00D76131">
        <w:rPr>
          <w:rFonts w:ascii="Century" w:hAnsi="Century"/>
          <w:rtl/>
        </w:rPr>
        <w:t xml:space="preserve"> 3203/10 </w:t>
      </w:r>
      <w:r w:rsidRPr="00D76131">
        <w:rPr>
          <w:rFonts w:ascii="Century" w:hAnsi="Century" w:cs="Miriam" w:hint="eastAsia"/>
          <w:b/>
          <w:spacing w:val="0"/>
          <w:szCs w:val="24"/>
          <w:rtl/>
        </w:rPr>
        <w:t>שטה</w:t>
      </w:r>
      <w:r w:rsidRPr="00D76131">
        <w:rPr>
          <w:rFonts w:ascii="Century" w:hAnsi="Century" w:cs="Miriam"/>
          <w:b/>
          <w:spacing w:val="0"/>
          <w:szCs w:val="24"/>
          <w:rtl/>
        </w:rPr>
        <w:t xml:space="preserve"> </w:t>
      </w:r>
      <w:r w:rsidRPr="00D76131">
        <w:rPr>
          <w:rFonts w:ascii="Century" w:hAnsi="Century" w:cs="Miriam" w:hint="eastAsia"/>
          <w:b/>
          <w:spacing w:val="0"/>
          <w:szCs w:val="24"/>
          <w:rtl/>
        </w:rPr>
        <w:t>נ</w:t>
      </w:r>
      <w:r w:rsidRPr="00D76131">
        <w:rPr>
          <w:rFonts w:ascii="Century" w:hAnsi="Century" w:cs="Miriam"/>
          <w:b/>
          <w:spacing w:val="0"/>
          <w:szCs w:val="24"/>
          <w:rtl/>
        </w:rPr>
        <w:t xml:space="preserve">' </w:t>
      </w:r>
      <w:r w:rsidRPr="00D76131">
        <w:rPr>
          <w:rFonts w:ascii="Century" w:hAnsi="Century" w:cs="Miriam" w:hint="eastAsia"/>
          <w:b/>
          <w:spacing w:val="0"/>
          <w:szCs w:val="24"/>
          <w:rtl/>
        </w:rPr>
        <w:t>שר</w:t>
      </w:r>
      <w:r w:rsidRPr="00D76131">
        <w:rPr>
          <w:rFonts w:ascii="Century" w:hAnsi="Century" w:cs="Miriam"/>
          <w:b/>
          <w:spacing w:val="0"/>
          <w:szCs w:val="24"/>
          <w:rtl/>
        </w:rPr>
        <w:t xml:space="preserve"> </w:t>
      </w:r>
      <w:r w:rsidRPr="00D76131">
        <w:rPr>
          <w:rFonts w:ascii="Century" w:hAnsi="Century" w:cs="Miriam" w:hint="eastAsia"/>
          <w:b/>
          <w:spacing w:val="0"/>
          <w:szCs w:val="24"/>
          <w:rtl/>
        </w:rPr>
        <w:t>הפנים</w:t>
      </w:r>
      <w:r>
        <w:rPr>
          <w:rFonts w:ascii="Century" w:hAnsi="Century" w:hint="cs"/>
          <w:rtl/>
        </w:rPr>
        <w:t>, פסקה 11</w:t>
      </w:r>
      <w:r w:rsidRPr="00D76131">
        <w:rPr>
          <w:rFonts w:ascii="Century" w:hAnsi="Century"/>
          <w:rtl/>
        </w:rPr>
        <w:t xml:space="preserve"> (20.</w:t>
      </w:r>
      <w:r>
        <w:rPr>
          <w:rFonts w:ascii="Century" w:hAnsi="Century" w:hint="cs"/>
          <w:rtl/>
        </w:rPr>
        <w:t>8</w:t>
      </w:r>
      <w:r w:rsidRPr="00D76131">
        <w:rPr>
          <w:rFonts w:ascii="Century" w:hAnsi="Century"/>
          <w:rtl/>
        </w:rPr>
        <w:t>.2013)</w:t>
      </w:r>
      <w:r>
        <w:rPr>
          <w:rFonts w:ascii="Century" w:hAnsi="Century" w:hint="cs"/>
          <w:rtl/>
        </w:rPr>
        <w:t xml:space="preserve"> (להלן: </w:t>
      </w:r>
      <w:r w:rsidRPr="00D76131">
        <w:rPr>
          <w:rFonts w:ascii="Century" w:hAnsi="Century" w:cs="Miriam" w:hint="cs"/>
          <w:b/>
          <w:spacing w:val="0"/>
          <w:szCs w:val="24"/>
          <w:rtl/>
        </w:rPr>
        <w:t>עניין שטה</w:t>
      </w:r>
      <w:r>
        <w:rPr>
          <w:rFonts w:ascii="Century" w:hAnsi="Century" w:hint="cs"/>
          <w:rtl/>
        </w:rPr>
        <w:t>)).</w:t>
      </w:r>
    </w:p>
    <w:p w:rsidR="00872589" w:rsidRDefault="00872589" w:rsidP="00872589">
      <w:pPr>
        <w:pStyle w:val="Ruller41"/>
        <w:rPr>
          <w:rtl/>
        </w:rPr>
      </w:pPr>
    </w:p>
    <w:p w:rsidR="00872589" w:rsidRDefault="00872589" w:rsidP="00872589">
      <w:pPr>
        <w:pStyle w:val="Ruller41"/>
        <w:rPr>
          <w:rtl/>
        </w:rPr>
      </w:pPr>
      <w:r>
        <w:rPr>
          <w:rtl/>
        </w:rPr>
        <w:tab/>
      </w:r>
      <w:r>
        <w:rPr>
          <w:rFonts w:hint="cs"/>
          <w:rtl/>
        </w:rPr>
        <w:t>הנה כי כן, תכליתו העיקרית</w:t>
      </w:r>
      <w:r w:rsidRPr="002E4F0C">
        <w:rPr>
          <w:rFonts w:hint="cs"/>
          <w:rtl/>
        </w:rPr>
        <w:t xml:space="preserve"> של חוק</w:t>
      </w:r>
      <w:r>
        <w:rPr>
          <w:rFonts w:hint="cs"/>
          <w:rtl/>
        </w:rPr>
        <w:t xml:space="preserve"> השבות </w:t>
      </w:r>
      <w:r>
        <w:rPr>
          <w:rtl/>
        </w:rPr>
        <w:t>–</w:t>
      </w:r>
      <w:r>
        <w:rPr>
          <w:rFonts w:hint="cs"/>
          <w:rtl/>
        </w:rPr>
        <w:t xml:space="preserve"> עמודו הימיני </w:t>
      </w:r>
      <w:r>
        <w:rPr>
          <w:rtl/>
        </w:rPr>
        <w:t>–</w:t>
      </w:r>
      <w:r>
        <w:rPr>
          <w:rFonts w:hint="cs"/>
          <w:rtl/>
        </w:rPr>
        <w:t xml:space="preserve"> היא מימוש זכותם של יהודים לשוב לארצם מכל פזורות הגולה.</w:t>
      </w:r>
      <w:r w:rsidRPr="00131E02">
        <w:rPr>
          <w:rFonts w:hint="cs"/>
          <w:rtl/>
        </w:rPr>
        <w:t xml:space="preserve"> </w:t>
      </w:r>
      <w:r>
        <w:rPr>
          <w:rFonts w:hint="cs"/>
          <w:rtl/>
        </w:rPr>
        <w:t xml:space="preserve">תכלית זו באה לידי ביטוי גם בשם החוק: </w:t>
      </w:r>
      <w:r w:rsidRPr="00C849A4">
        <w:rPr>
          <w:rFonts w:ascii="Century" w:hAnsi="Century" w:cs="Miriam" w:hint="cs"/>
          <w:b/>
          <w:spacing w:val="0"/>
          <w:szCs w:val="24"/>
          <w:rtl/>
        </w:rPr>
        <w:t>"</w:t>
      </w:r>
      <w:r w:rsidRPr="00C849A4">
        <w:rPr>
          <w:rFonts w:ascii="Century" w:hAnsi="Century" w:cs="Miriam" w:hint="eastAsia"/>
          <w:b/>
          <w:spacing w:val="0"/>
          <w:szCs w:val="24"/>
          <w:rtl/>
        </w:rPr>
        <w:t>וְשָׁבוּ</w:t>
      </w:r>
      <w:r w:rsidRPr="00C849A4">
        <w:rPr>
          <w:rFonts w:ascii="Century" w:hAnsi="Century" w:cs="Miriam"/>
          <w:b/>
          <w:spacing w:val="0"/>
          <w:szCs w:val="24"/>
          <w:rtl/>
        </w:rPr>
        <w:t xml:space="preserve"> </w:t>
      </w:r>
      <w:r w:rsidRPr="00C849A4">
        <w:rPr>
          <w:rFonts w:ascii="Century" w:hAnsi="Century" w:cs="Miriam" w:hint="eastAsia"/>
          <w:b/>
          <w:spacing w:val="0"/>
          <w:szCs w:val="24"/>
          <w:rtl/>
        </w:rPr>
        <w:t>בָנִים</w:t>
      </w:r>
      <w:r w:rsidRPr="00C849A4">
        <w:rPr>
          <w:rFonts w:ascii="Century" w:hAnsi="Century" w:cs="Miriam"/>
          <w:b/>
          <w:spacing w:val="0"/>
          <w:szCs w:val="24"/>
          <w:rtl/>
        </w:rPr>
        <w:t xml:space="preserve"> </w:t>
      </w:r>
      <w:r w:rsidRPr="00C849A4">
        <w:rPr>
          <w:rFonts w:ascii="Century" w:hAnsi="Century" w:cs="Miriam" w:hint="eastAsia"/>
          <w:b/>
          <w:spacing w:val="0"/>
          <w:szCs w:val="24"/>
          <w:rtl/>
        </w:rPr>
        <w:t>לִגְבוּלָם</w:t>
      </w:r>
      <w:r w:rsidRPr="00C849A4">
        <w:rPr>
          <w:rFonts w:ascii="Century" w:hAnsi="Century" w:cs="Miriam" w:hint="cs"/>
          <w:b/>
          <w:spacing w:val="0"/>
          <w:szCs w:val="24"/>
          <w:rtl/>
        </w:rPr>
        <w:t>"</w:t>
      </w:r>
      <w:r>
        <w:rPr>
          <w:rFonts w:hint="cs"/>
          <w:rtl/>
        </w:rPr>
        <w:t xml:space="preserve"> (ירמיהו לא, טז); </w:t>
      </w:r>
      <w:r w:rsidRPr="00C849A4">
        <w:rPr>
          <w:rFonts w:ascii="Century" w:hAnsi="Century" w:cs="Miriam" w:hint="cs"/>
          <w:b/>
          <w:spacing w:val="0"/>
          <w:szCs w:val="24"/>
          <w:rtl/>
        </w:rPr>
        <w:t>"</w:t>
      </w:r>
      <w:r w:rsidRPr="00C849A4">
        <w:rPr>
          <w:rFonts w:ascii="Century" w:hAnsi="Century" w:cs="Miriam" w:hint="eastAsia"/>
          <w:b/>
          <w:spacing w:val="0"/>
          <w:szCs w:val="24"/>
          <w:rtl/>
        </w:rPr>
        <w:t>וְשַׁבְתִּי</w:t>
      </w:r>
      <w:r w:rsidRPr="00C849A4">
        <w:rPr>
          <w:rFonts w:ascii="Century" w:hAnsi="Century" w:cs="Miriam"/>
          <w:b/>
          <w:spacing w:val="0"/>
          <w:szCs w:val="24"/>
          <w:rtl/>
        </w:rPr>
        <w:t xml:space="preserve"> </w:t>
      </w:r>
      <w:r w:rsidRPr="00C849A4">
        <w:rPr>
          <w:rFonts w:ascii="Century" w:hAnsi="Century" w:cs="Miriam" w:hint="eastAsia"/>
          <w:b/>
          <w:spacing w:val="0"/>
          <w:szCs w:val="24"/>
          <w:rtl/>
        </w:rPr>
        <w:t>אֶת</w:t>
      </w:r>
      <w:r w:rsidRPr="00C849A4">
        <w:rPr>
          <w:rFonts w:ascii="Century" w:hAnsi="Century" w:cs="Miriam"/>
          <w:b/>
          <w:spacing w:val="0"/>
          <w:szCs w:val="24"/>
          <w:rtl/>
        </w:rPr>
        <w:t xml:space="preserve"> </w:t>
      </w:r>
      <w:r w:rsidRPr="00C849A4">
        <w:rPr>
          <w:rFonts w:ascii="Century" w:hAnsi="Century" w:cs="Miriam" w:hint="eastAsia"/>
          <w:b/>
          <w:spacing w:val="0"/>
          <w:szCs w:val="24"/>
          <w:rtl/>
        </w:rPr>
        <w:t>שְׁבוּת</w:t>
      </w:r>
      <w:r w:rsidRPr="00C849A4">
        <w:rPr>
          <w:rFonts w:ascii="Century" w:hAnsi="Century" w:cs="Miriam"/>
          <w:b/>
          <w:spacing w:val="0"/>
          <w:szCs w:val="24"/>
          <w:rtl/>
        </w:rPr>
        <w:t xml:space="preserve"> </w:t>
      </w:r>
      <w:r w:rsidRPr="00C849A4">
        <w:rPr>
          <w:rFonts w:ascii="Century" w:hAnsi="Century" w:cs="Miriam" w:hint="eastAsia"/>
          <w:b/>
          <w:spacing w:val="0"/>
          <w:szCs w:val="24"/>
          <w:rtl/>
        </w:rPr>
        <w:t>עַמִּי</w:t>
      </w:r>
      <w:r w:rsidRPr="00C849A4">
        <w:rPr>
          <w:rFonts w:ascii="Century" w:hAnsi="Century" w:cs="Miriam"/>
          <w:b/>
          <w:spacing w:val="0"/>
          <w:szCs w:val="24"/>
          <w:rtl/>
        </w:rPr>
        <w:t xml:space="preserve"> </w:t>
      </w:r>
      <w:r w:rsidRPr="00C849A4">
        <w:rPr>
          <w:rFonts w:ascii="Century" w:hAnsi="Century" w:cs="Miriam" w:hint="eastAsia"/>
          <w:b/>
          <w:spacing w:val="0"/>
          <w:szCs w:val="24"/>
          <w:rtl/>
        </w:rPr>
        <w:t>יִשְׂרָאֵל</w:t>
      </w:r>
      <w:r w:rsidRPr="00C849A4">
        <w:rPr>
          <w:rFonts w:ascii="Century" w:hAnsi="Century" w:cs="Miriam" w:hint="cs"/>
          <w:b/>
          <w:spacing w:val="0"/>
          <w:szCs w:val="24"/>
          <w:rtl/>
        </w:rPr>
        <w:t>"</w:t>
      </w:r>
      <w:r>
        <w:rPr>
          <w:rFonts w:hint="cs"/>
          <w:rtl/>
        </w:rPr>
        <w:t xml:space="preserve"> (עמוס ט, יד). היא מבטאת את היותה של מדינת ישראל מדינה יהודית; </w:t>
      </w:r>
      <w:r w:rsidRPr="0090166E">
        <w:rPr>
          <w:rFonts w:ascii="Century" w:hAnsi="Century" w:cs="Miriam" w:hint="cs"/>
          <w:b/>
          <w:spacing w:val="0"/>
          <w:szCs w:val="24"/>
          <w:rtl/>
        </w:rPr>
        <w:t>"אבן התשתית החוקתית למהותה של מדינת ישראל כמדינתו של העם היהודי"</w:t>
      </w:r>
      <w:r>
        <w:rPr>
          <w:rFonts w:hint="cs"/>
          <w:rtl/>
        </w:rPr>
        <w:t xml:space="preserve"> (דברי המשנה לנשיא </w:t>
      </w:r>
      <w:r w:rsidRPr="00DD3FF0">
        <w:rPr>
          <w:rFonts w:ascii="Century" w:hAnsi="Century" w:cs="Miriam" w:hint="cs"/>
          <w:b/>
          <w:spacing w:val="0"/>
          <w:szCs w:val="24"/>
          <w:rtl/>
        </w:rPr>
        <w:t>מ' אלון</w:t>
      </w:r>
      <w:r w:rsidRPr="00DD3FF0">
        <w:rPr>
          <w:rFonts w:hint="cs"/>
          <w:rtl/>
        </w:rPr>
        <w:t>, בע"ב 2/88</w:t>
      </w:r>
      <w:r>
        <w:rPr>
          <w:rFonts w:hint="cs"/>
          <w:rtl/>
        </w:rPr>
        <w:t xml:space="preserve"> </w:t>
      </w:r>
      <w:r w:rsidRPr="001A720C">
        <w:rPr>
          <w:rFonts w:ascii="Century" w:hAnsi="Century" w:cs="Miriam" w:hint="cs"/>
          <w:b/>
          <w:spacing w:val="0"/>
          <w:szCs w:val="24"/>
          <w:rtl/>
        </w:rPr>
        <w:t>בן שלום נ' ועדת הבחירות המרכזית לכנסת השתים-עשרה</w:t>
      </w:r>
      <w:r>
        <w:rPr>
          <w:rFonts w:hint="cs"/>
          <w:rtl/>
        </w:rPr>
        <w:t xml:space="preserve">, פ"ד מג(4) 221, 272 (1989); </w:t>
      </w:r>
      <w:r>
        <w:rPr>
          <w:rFonts w:ascii="Century" w:hAnsi="Century" w:hint="cs"/>
          <w:shd w:val="clear" w:color="auto" w:fill="FFFFFF"/>
          <w:rtl/>
        </w:rPr>
        <w:t xml:space="preserve">וראו גם, מִנִי רבים: בג"ץ 2596/99 </w:t>
      </w:r>
      <w:r w:rsidRPr="000B12DB">
        <w:rPr>
          <w:rFonts w:ascii="Century" w:hAnsi="Century" w:cs="Miriam" w:hint="cs"/>
          <w:b/>
          <w:spacing w:val="0"/>
          <w:szCs w:val="24"/>
          <w:shd w:val="clear" w:color="auto" w:fill="FFFFFF"/>
          <w:rtl/>
        </w:rPr>
        <w:t>טושביים נ' שר הפנים</w:t>
      </w:r>
      <w:r>
        <w:rPr>
          <w:rFonts w:ascii="Century" w:hAnsi="Century" w:hint="cs"/>
          <w:shd w:val="clear" w:color="auto" w:fill="FFFFFF"/>
          <w:rtl/>
        </w:rPr>
        <w:t xml:space="preserve">, פ"ד נח(5) 412, 428-426 (2004) (להלן: </w:t>
      </w:r>
      <w:r w:rsidRPr="0090166E">
        <w:rPr>
          <w:rFonts w:ascii="Century" w:hAnsi="Century" w:cs="Miriam" w:hint="cs"/>
          <w:b/>
          <w:spacing w:val="0"/>
          <w:szCs w:val="24"/>
          <w:shd w:val="clear" w:color="auto" w:fill="FFFFFF"/>
          <w:rtl/>
        </w:rPr>
        <w:t>עניין טושביים</w:t>
      </w:r>
      <w:r>
        <w:rPr>
          <w:rFonts w:ascii="Century" w:hAnsi="Century" w:hint="cs"/>
          <w:shd w:val="clear" w:color="auto" w:fill="FFFFFF"/>
          <w:rtl/>
        </w:rPr>
        <w:t>);</w:t>
      </w:r>
      <w:r>
        <w:rPr>
          <w:rFonts w:hint="cs"/>
          <w:rtl/>
        </w:rPr>
        <w:t xml:space="preserve"> </w:t>
      </w:r>
      <w:r>
        <w:rPr>
          <w:rFonts w:ascii="Century" w:hAnsi="Century" w:hint="cs"/>
          <w:shd w:val="clear" w:color="auto" w:fill="FFFFFF"/>
          <w:rtl/>
        </w:rPr>
        <w:t xml:space="preserve">בג"ץ 265/87 </w:t>
      </w:r>
      <w:r w:rsidRPr="001A720C">
        <w:rPr>
          <w:rFonts w:ascii="Century" w:hAnsi="Century" w:cs="Miriam" w:hint="cs"/>
          <w:b/>
          <w:spacing w:val="0"/>
          <w:szCs w:val="24"/>
          <w:shd w:val="clear" w:color="auto" w:fill="FFFFFF"/>
          <w:rtl/>
        </w:rPr>
        <w:t>ברספורד נ' משרד הפנים</w:t>
      </w:r>
      <w:r>
        <w:rPr>
          <w:rFonts w:ascii="Century" w:hAnsi="Century" w:hint="cs"/>
          <w:shd w:val="clear" w:color="auto" w:fill="FFFFFF"/>
          <w:rtl/>
        </w:rPr>
        <w:t>, פ"ד מג(4) 793, 836, 845 (1989)</w:t>
      </w:r>
      <w:r>
        <w:rPr>
          <w:rFonts w:hint="cs"/>
          <w:rtl/>
        </w:rPr>
        <w:t xml:space="preserve"> (להלן: </w:t>
      </w:r>
      <w:r w:rsidRPr="00933431">
        <w:rPr>
          <w:rFonts w:ascii="Century" w:hAnsi="Century" w:cs="Miriam" w:hint="cs"/>
          <w:b/>
          <w:spacing w:val="0"/>
          <w:szCs w:val="24"/>
          <w:rtl/>
        </w:rPr>
        <w:t>עניין ברספורד</w:t>
      </w:r>
      <w:r>
        <w:rPr>
          <w:rFonts w:hint="cs"/>
          <w:rtl/>
        </w:rPr>
        <w:t xml:space="preserve">); </w:t>
      </w:r>
      <w:r w:rsidRPr="005E21DB">
        <w:rPr>
          <w:rFonts w:hint="eastAsia"/>
          <w:rtl/>
        </w:rPr>
        <w:t>בג</w:t>
      </w:r>
      <w:r w:rsidRPr="005E21DB">
        <w:rPr>
          <w:rtl/>
        </w:rPr>
        <w:t>"</w:t>
      </w:r>
      <w:r w:rsidRPr="005E21DB">
        <w:rPr>
          <w:rFonts w:hint="eastAsia"/>
          <w:rtl/>
        </w:rPr>
        <w:t>ץ</w:t>
      </w:r>
      <w:r w:rsidRPr="005E21DB">
        <w:rPr>
          <w:rtl/>
        </w:rPr>
        <w:t xml:space="preserve"> 5555/18 </w:t>
      </w:r>
      <w:r w:rsidRPr="005E21DB">
        <w:rPr>
          <w:rFonts w:ascii="Century" w:hAnsi="Century" w:cs="Miriam" w:hint="eastAsia"/>
          <w:b/>
          <w:spacing w:val="0"/>
          <w:szCs w:val="24"/>
          <w:rtl/>
        </w:rPr>
        <w:t>חסון</w:t>
      </w:r>
      <w:r w:rsidRPr="005E21DB">
        <w:rPr>
          <w:rFonts w:ascii="Century" w:hAnsi="Century" w:cs="Miriam"/>
          <w:b/>
          <w:spacing w:val="0"/>
          <w:szCs w:val="24"/>
          <w:rtl/>
        </w:rPr>
        <w:t xml:space="preserve"> </w:t>
      </w:r>
      <w:r w:rsidRPr="005E21DB">
        <w:rPr>
          <w:rFonts w:ascii="Century" w:hAnsi="Century" w:cs="Miriam" w:hint="eastAsia"/>
          <w:b/>
          <w:spacing w:val="0"/>
          <w:szCs w:val="24"/>
          <w:rtl/>
        </w:rPr>
        <w:t>נ</w:t>
      </w:r>
      <w:r w:rsidRPr="005E21DB">
        <w:rPr>
          <w:rFonts w:ascii="Century" w:hAnsi="Century" w:cs="Miriam"/>
          <w:b/>
          <w:spacing w:val="0"/>
          <w:szCs w:val="24"/>
          <w:rtl/>
        </w:rPr>
        <w:t xml:space="preserve">' </w:t>
      </w:r>
      <w:r w:rsidRPr="005E21DB">
        <w:rPr>
          <w:rFonts w:ascii="Century" w:hAnsi="Century" w:cs="Miriam" w:hint="eastAsia"/>
          <w:b/>
          <w:spacing w:val="0"/>
          <w:szCs w:val="24"/>
          <w:rtl/>
        </w:rPr>
        <w:t>כנסת</w:t>
      </w:r>
      <w:r w:rsidRPr="005E21DB">
        <w:rPr>
          <w:rFonts w:ascii="Century" w:hAnsi="Century" w:cs="Miriam"/>
          <w:b/>
          <w:spacing w:val="0"/>
          <w:szCs w:val="24"/>
          <w:rtl/>
        </w:rPr>
        <w:t xml:space="preserve"> </w:t>
      </w:r>
      <w:r w:rsidRPr="005E21DB">
        <w:rPr>
          <w:rFonts w:ascii="Century" w:hAnsi="Century" w:cs="Miriam" w:hint="eastAsia"/>
          <w:b/>
          <w:spacing w:val="0"/>
          <w:szCs w:val="24"/>
          <w:rtl/>
        </w:rPr>
        <w:t>ישראל</w:t>
      </w:r>
      <w:r>
        <w:rPr>
          <w:rFonts w:hint="cs"/>
          <w:rtl/>
        </w:rPr>
        <w:t xml:space="preserve">, פסקה 22 לפסק הדין של הנשיאה </w:t>
      </w:r>
      <w:r w:rsidRPr="005E21DB">
        <w:rPr>
          <w:rFonts w:ascii="Century" w:hAnsi="Century" w:cs="Miriam" w:hint="cs"/>
          <w:b/>
          <w:spacing w:val="0"/>
          <w:szCs w:val="24"/>
          <w:rtl/>
        </w:rPr>
        <w:t>א' חיות</w:t>
      </w:r>
      <w:r>
        <w:rPr>
          <w:rFonts w:hint="cs"/>
          <w:rtl/>
        </w:rPr>
        <w:t xml:space="preserve">, פסקה 22 לפסק הדין של חברתי, השופטת </w:t>
      </w:r>
      <w:r w:rsidRPr="00D76131">
        <w:rPr>
          <w:rFonts w:ascii="Century" w:hAnsi="Century" w:cs="Miriam" w:hint="cs"/>
          <w:b/>
          <w:spacing w:val="0"/>
          <w:szCs w:val="24"/>
          <w:rtl/>
        </w:rPr>
        <w:t>ד' ברק-ארז</w:t>
      </w:r>
      <w:r>
        <w:rPr>
          <w:rFonts w:hint="cs"/>
          <w:rtl/>
        </w:rPr>
        <w:t xml:space="preserve">, </w:t>
      </w:r>
      <w:r w:rsidRPr="00822075">
        <w:rPr>
          <w:rFonts w:hint="cs"/>
          <w:rtl/>
        </w:rPr>
        <w:t>ופסקה 28 לפסק דיני</w:t>
      </w:r>
      <w:r w:rsidRPr="00822075">
        <w:rPr>
          <w:rtl/>
        </w:rPr>
        <w:t xml:space="preserve"> (</w:t>
      </w:r>
      <w:r w:rsidRPr="00822075">
        <w:rPr>
          <w:rFonts w:hint="cs"/>
          <w:rtl/>
        </w:rPr>
        <w:t>8.7</w:t>
      </w:r>
      <w:r w:rsidRPr="00822075">
        <w:rPr>
          <w:rtl/>
        </w:rPr>
        <w:t>.2021</w:t>
      </w:r>
      <w:r w:rsidRPr="005E21DB">
        <w:rPr>
          <w:rtl/>
        </w:rPr>
        <w:t>)</w:t>
      </w:r>
      <w:r>
        <w:rPr>
          <w:rFonts w:hint="cs"/>
          <w:rtl/>
        </w:rPr>
        <w:t xml:space="preserve"> (להלן: עניין </w:t>
      </w:r>
      <w:r w:rsidRPr="008654D5">
        <w:rPr>
          <w:rFonts w:ascii="Century" w:hAnsi="Century" w:cs="Miriam" w:hint="cs"/>
          <w:b/>
          <w:spacing w:val="0"/>
          <w:szCs w:val="24"/>
          <w:rtl/>
        </w:rPr>
        <w:t>חסון</w:t>
      </w:r>
      <w:r>
        <w:rPr>
          <w:rFonts w:hint="cs"/>
          <w:rtl/>
        </w:rPr>
        <w:t xml:space="preserve">); </w:t>
      </w:r>
      <w:r w:rsidRPr="005E21DB">
        <w:rPr>
          <w:rFonts w:hint="eastAsia"/>
          <w:rtl/>
        </w:rPr>
        <w:t>רות</w:t>
      </w:r>
      <w:r w:rsidRPr="005E21DB">
        <w:rPr>
          <w:rtl/>
        </w:rPr>
        <w:t xml:space="preserve"> </w:t>
      </w:r>
      <w:r w:rsidRPr="005E21DB">
        <w:rPr>
          <w:rFonts w:hint="eastAsia"/>
          <w:rtl/>
        </w:rPr>
        <w:t>גביזון</w:t>
      </w:r>
      <w:r w:rsidRPr="005E21DB">
        <w:rPr>
          <w:rtl/>
        </w:rPr>
        <w:t xml:space="preserve"> "</w:t>
      </w:r>
      <w:r w:rsidRPr="005E21DB">
        <w:rPr>
          <w:rFonts w:hint="eastAsia"/>
          <w:rtl/>
        </w:rPr>
        <w:t>מדינה</w:t>
      </w:r>
      <w:r w:rsidRPr="005E21DB">
        <w:rPr>
          <w:rtl/>
        </w:rPr>
        <w:t xml:space="preserve"> </w:t>
      </w:r>
      <w:r w:rsidRPr="005E21DB">
        <w:rPr>
          <w:rFonts w:hint="eastAsia"/>
          <w:rtl/>
        </w:rPr>
        <w:t>יהודית</w:t>
      </w:r>
      <w:r w:rsidRPr="005E21DB">
        <w:rPr>
          <w:rtl/>
        </w:rPr>
        <w:t xml:space="preserve"> </w:t>
      </w:r>
      <w:r w:rsidRPr="005E21DB">
        <w:rPr>
          <w:rFonts w:hint="eastAsia"/>
          <w:rtl/>
        </w:rPr>
        <w:t>ודמוקרטית</w:t>
      </w:r>
      <w:r w:rsidRPr="005E21DB">
        <w:rPr>
          <w:rtl/>
        </w:rPr>
        <w:t xml:space="preserve">: </w:t>
      </w:r>
      <w:r w:rsidRPr="005E21DB">
        <w:rPr>
          <w:rFonts w:hint="eastAsia"/>
          <w:rtl/>
        </w:rPr>
        <w:t>זהות</w:t>
      </w:r>
      <w:r w:rsidRPr="005E21DB">
        <w:rPr>
          <w:rtl/>
        </w:rPr>
        <w:t xml:space="preserve"> </w:t>
      </w:r>
      <w:r w:rsidRPr="005E21DB">
        <w:rPr>
          <w:rFonts w:hint="eastAsia"/>
          <w:rtl/>
        </w:rPr>
        <w:t>פוליטית</w:t>
      </w:r>
      <w:r w:rsidRPr="005E21DB">
        <w:rPr>
          <w:rtl/>
        </w:rPr>
        <w:t xml:space="preserve">, </w:t>
      </w:r>
      <w:r w:rsidRPr="005E21DB">
        <w:rPr>
          <w:rFonts w:hint="eastAsia"/>
          <w:rtl/>
        </w:rPr>
        <w:t>אידיאולוגיה</w:t>
      </w:r>
      <w:r w:rsidRPr="005E21DB">
        <w:rPr>
          <w:rtl/>
        </w:rPr>
        <w:t xml:space="preserve"> </w:t>
      </w:r>
      <w:r w:rsidRPr="005E21DB">
        <w:rPr>
          <w:rFonts w:hint="eastAsia"/>
          <w:rtl/>
        </w:rPr>
        <w:t>ומשפט</w:t>
      </w:r>
      <w:r w:rsidRPr="005E21DB">
        <w:rPr>
          <w:rtl/>
        </w:rPr>
        <w:t xml:space="preserve">" </w:t>
      </w:r>
      <w:r w:rsidRPr="005E21DB">
        <w:rPr>
          <w:rFonts w:ascii="Century" w:hAnsi="Century" w:cs="Miriam" w:hint="eastAsia"/>
          <w:b/>
          <w:spacing w:val="0"/>
          <w:szCs w:val="24"/>
          <w:rtl/>
        </w:rPr>
        <w:t>עיוני</w:t>
      </w:r>
      <w:r w:rsidRPr="005E21DB">
        <w:rPr>
          <w:rFonts w:ascii="Century" w:hAnsi="Century" w:cs="Miriam"/>
          <w:b/>
          <w:spacing w:val="0"/>
          <w:szCs w:val="24"/>
          <w:rtl/>
        </w:rPr>
        <w:t xml:space="preserve"> </w:t>
      </w:r>
      <w:r w:rsidRPr="005E21DB">
        <w:rPr>
          <w:rFonts w:ascii="Century" w:hAnsi="Century" w:cs="Miriam" w:hint="eastAsia"/>
          <w:b/>
          <w:spacing w:val="0"/>
          <w:szCs w:val="24"/>
          <w:rtl/>
        </w:rPr>
        <w:t>משפט</w:t>
      </w:r>
      <w:r w:rsidRPr="005E21DB">
        <w:rPr>
          <w:rtl/>
        </w:rPr>
        <w:t xml:space="preserve"> </w:t>
      </w:r>
      <w:r w:rsidRPr="005E21DB">
        <w:rPr>
          <w:rFonts w:hint="eastAsia"/>
          <w:rtl/>
        </w:rPr>
        <w:t>יט</w:t>
      </w:r>
      <w:r w:rsidRPr="005E21DB">
        <w:rPr>
          <w:rtl/>
        </w:rPr>
        <w:t xml:space="preserve"> 631, 645 (1995)</w:t>
      </w:r>
      <w:r>
        <w:rPr>
          <w:rFonts w:hint="cs"/>
          <w:rtl/>
        </w:rPr>
        <w:t xml:space="preserve">).  </w:t>
      </w:r>
    </w:p>
    <w:p w:rsidR="00872589" w:rsidRPr="009B3554" w:rsidRDefault="00872589" w:rsidP="00872589">
      <w:pPr>
        <w:pStyle w:val="Ruller41"/>
        <w:rPr>
          <w:rtl/>
        </w:rPr>
      </w:pPr>
    </w:p>
    <w:p w:rsidR="00872589" w:rsidRDefault="00872589" w:rsidP="00872589">
      <w:pPr>
        <w:pStyle w:val="Ruller4"/>
        <w:textAlignment w:val="baseline"/>
      </w:pPr>
      <w:r>
        <w:rPr>
          <w:rFonts w:hint="cs"/>
          <w:rtl/>
        </w:rPr>
        <w:t xml:space="preserve">על חוק השבות נאמר, כי </w:t>
      </w:r>
      <w:r w:rsidRPr="00933431">
        <w:rPr>
          <w:rFonts w:ascii="Century" w:hAnsi="Century" w:cs="Miriam" w:hint="cs"/>
          <w:b/>
          <w:spacing w:val="0"/>
          <w:sz w:val="22"/>
          <w:szCs w:val="24"/>
          <w:rtl/>
        </w:rPr>
        <w:t>"אף שאין הוא 'חוק יסוד' בצורתו הוא בוודאי חוק יסודי במהותו [...] הוא היסו</w:t>
      </w:r>
      <w:r>
        <w:rPr>
          <w:rFonts w:ascii="Century" w:hAnsi="Century" w:cs="Miriam" w:hint="cs"/>
          <w:b/>
          <w:spacing w:val="0"/>
          <w:sz w:val="22"/>
          <w:szCs w:val="24"/>
          <w:rtl/>
        </w:rPr>
        <w:t>די</w:t>
      </w:r>
      <w:r w:rsidRPr="00933431">
        <w:rPr>
          <w:rFonts w:ascii="Century" w:hAnsi="Century" w:cs="Miriam" w:hint="cs"/>
          <w:b/>
          <w:spacing w:val="0"/>
          <w:sz w:val="22"/>
          <w:szCs w:val="24"/>
          <w:rtl/>
        </w:rPr>
        <w:t xml:space="preserve"> בחוקים כולם"</w:t>
      </w:r>
      <w:r>
        <w:rPr>
          <w:rFonts w:hint="cs"/>
          <w:rtl/>
        </w:rPr>
        <w:t xml:space="preserve"> (עניין </w:t>
      </w:r>
      <w:r w:rsidRPr="00933431">
        <w:rPr>
          <w:rFonts w:ascii="Century" w:hAnsi="Century" w:cs="Miriam" w:hint="cs"/>
          <w:b/>
          <w:spacing w:val="0"/>
          <w:sz w:val="22"/>
          <w:szCs w:val="24"/>
          <w:rtl/>
        </w:rPr>
        <w:t>טושביים</w:t>
      </w:r>
      <w:r>
        <w:rPr>
          <w:rFonts w:hint="cs"/>
          <w:rtl/>
        </w:rPr>
        <w:t xml:space="preserve">, עמוד 426; עניין </w:t>
      </w:r>
      <w:r w:rsidRPr="00933431">
        <w:rPr>
          <w:rFonts w:ascii="Century" w:hAnsi="Century" w:cs="Miriam" w:hint="cs"/>
          <w:b/>
          <w:spacing w:val="0"/>
          <w:sz w:val="22"/>
          <w:szCs w:val="24"/>
          <w:rtl/>
        </w:rPr>
        <w:t>ברספורד</w:t>
      </w:r>
      <w:r>
        <w:rPr>
          <w:rFonts w:hint="cs"/>
          <w:rtl/>
        </w:rPr>
        <w:t xml:space="preserve">, עמוד 436). אם לא די במעמד נישא זה, הרי שלפני זמן לא רב, זכתה תכליתו המרכזית של חוק השבות </w:t>
      </w:r>
      <w:r>
        <w:rPr>
          <w:rtl/>
        </w:rPr>
        <w:t>–</w:t>
      </w:r>
      <w:r>
        <w:rPr>
          <w:rFonts w:hint="cs"/>
          <w:rtl/>
        </w:rPr>
        <w:t xml:space="preserve"> שיבת יהודים לארצם </w:t>
      </w:r>
      <w:r>
        <w:rPr>
          <w:rtl/>
        </w:rPr>
        <w:t>–</w:t>
      </w:r>
      <w:r>
        <w:rPr>
          <w:rFonts w:hint="cs"/>
          <w:rtl/>
        </w:rPr>
        <w:t xml:space="preserve"> לעיגון מפורש וחגיגי נוסף, במסגרת חוק-יסוד: ישראל </w:t>
      </w:r>
      <w:r>
        <w:rPr>
          <w:rtl/>
        </w:rPr>
        <w:t>–</w:t>
      </w:r>
      <w:r>
        <w:rPr>
          <w:rFonts w:hint="cs"/>
          <w:rtl/>
        </w:rPr>
        <w:t xml:space="preserve"> מדינת הלאום של העם היהודי (להלן: </w:t>
      </w:r>
      <w:r>
        <w:rPr>
          <w:rFonts w:ascii="Century" w:hAnsi="Century" w:cs="Miriam" w:hint="cs"/>
          <w:b/>
          <w:spacing w:val="0"/>
          <w:sz w:val="22"/>
          <w:szCs w:val="24"/>
          <w:rtl/>
        </w:rPr>
        <w:t>חוק-</w:t>
      </w:r>
      <w:r w:rsidRPr="0090506E">
        <w:rPr>
          <w:rFonts w:ascii="Century" w:hAnsi="Century" w:cs="Miriam" w:hint="cs"/>
          <w:b/>
          <w:spacing w:val="0"/>
          <w:sz w:val="22"/>
          <w:szCs w:val="24"/>
          <w:rtl/>
        </w:rPr>
        <w:t>יסוד</w:t>
      </w:r>
      <w:r>
        <w:rPr>
          <w:rFonts w:ascii="Century" w:hAnsi="Century" w:cs="Miriam" w:hint="cs"/>
          <w:b/>
          <w:spacing w:val="0"/>
          <w:sz w:val="22"/>
          <w:szCs w:val="24"/>
          <w:rtl/>
        </w:rPr>
        <w:t>: הלאום</w:t>
      </w:r>
      <w:r>
        <w:rPr>
          <w:rFonts w:hint="cs"/>
          <w:rtl/>
        </w:rPr>
        <w:t xml:space="preserve">), שהוא חוק-יסוד הן בתוכנו, הן בצורתו. סעיף 5 לחוק-יסוד: הלאום מכריז, תחת הכותרת </w:t>
      </w:r>
      <w:r w:rsidRPr="00933431">
        <w:rPr>
          <w:rFonts w:ascii="Century" w:hAnsi="Century" w:cs="Miriam" w:hint="cs"/>
          <w:b/>
          <w:spacing w:val="0"/>
          <w:sz w:val="22"/>
          <w:szCs w:val="24"/>
          <w:rtl/>
        </w:rPr>
        <w:t>"קיבוץ גלויות"</w:t>
      </w:r>
      <w:r>
        <w:rPr>
          <w:rFonts w:hint="cs"/>
          <w:rtl/>
        </w:rPr>
        <w:t xml:space="preserve">, </w:t>
      </w:r>
      <w:r w:rsidRPr="004B139A">
        <w:rPr>
          <w:rFonts w:hint="cs"/>
          <w:rtl/>
        </w:rPr>
        <w:t xml:space="preserve">כי </w:t>
      </w:r>
      <w:r w:rsidRPr="004B139A">
        <w:rPr>
          <w:rFonts w:ascii="Century" w:hAnsi="Century" w:cs="Miriam" w:hint="cs"/>
          <w:b/>
          <w:spacing w:val="0"/>
          <w:sz w:val="22"/>
          <w:szCs w:val="24"/>
          <w:rtl/>
        </w:rPr>
        <w:t xml:space="preserve">"המדינה </w:t>
      </w:r>
      <w:r w:rsidRPr="004B139A">
        <w:rPr>
          <w:rFonts w:ascii="Century" w:hAnsi="Century" w:cs="Miriam" w:hint="cs"/>
          <w:b/>
          <w:spacing w:val="0"/>
          <w:sz w:val="22"/>
          <w:szCs w:val="24"/>
          <w:rtl/>
        </w:rPr>
        <w:lastRenderedPageBreak/>
        <w:t>תהיה פתוחה לעלייה יהודית ולקיבוץ גלויות"</w:t>
      </w:r>
      <w:r>
        <w:rPr>
          <w:rFonts w:hint="cs"/>
          <w:rtl/>
        </w:rPr>
        <w:t xml:space="preserve">, ומבטא בכך </w:t>
      </w:r>
      <w:r w:rsidRPr="004B139A">
        <w:rPr>
          <w:rFonts w:ascii="Century" w:hAnsi="Century" w:cs="Miriam" w:hint="cs"/>
          <w:b/>
          <w:spacing w:val="0"/>
          <w:sz w:val="22"/>
          <w:szCs w:val="24"/>
          <w:rtl/>
        </w:rPr>
        <w:t>"</w:t>
      </w:r>
      <w:r w:rsidRPr="004B139A">
        <w:rPr>
          <w:rFonts w:ascii="Century" w:hAnsi="Century" w:cs="Miriam"/>
          <w:b/>
          <w:spacing w:val="0"/>
          <w:sz w:val="22"/>
          <w:szCs w:val="24"/>
          <w:shd w:val="clear" w:color="auto" w:fill="FFFFFF"/>
          <w:rtl/>
        </w:rPr>
        <w:t>עיקרון חשוב שהוא חלק מן האתוס המכונן של מדינת ישראל היורד לשורש ההצדקה לקיומה</w:t>
      </w:r>
      <w:r w:rsidRPr="004B139A">
        <w:rPr>
          <w:rFonts w:ascii="Century" w:hAnsi="Century" w:cs="Miriam" w:hint="cs"/>
          <w:b/>
          <w:spacing w:val="0"/>
          <w:sz w:val="22"/>
          <w:szCs w:val="24"/>
          <w:shd w:val="clear" w:color="auto" w:fill="FFFFFF"/>
          <w:rtl/>
        </w:rPr>
        <w:t>"</w:t>
      </w:r>
      <w:r>
        <w:rPr>
          <w:rFonts w:hint="cs"/>
          <w:rtl/>
        </w:rPr>
        <w:t xml:space="preserve"> (עניין </w:t>
      </w:r>
      <w:r w:rsidRPr="008654D5">
        <w:rPr>
          <w:rFonts w:ascii="Century" w:hAnsi="Century" w:cs="Miriam" w:hint="cs"/>
          <w:b/>
          <w:spacing w:val="0"/>
          <w:sz w:val="22"/>
          <w:szCs w:val="24"/>
          <w:rtl/>
        </w:rPr>
        <w:t>חסון</w:t>
      </w:r>
      <w:r>
        <w:rPr>
          <w:rFonts w:hint="cs"/>
          <w:rtl/>
        </w:rPr>
        <w:t xml:space="preserve">, פסקה </w:t>
      </w:r>
      <w:r w:rsidRPr="00F023BB">
        <w:rPr>
          <w:rFonts w:hint="cs"/>
          <w:rtl/>
        </w:rPr>
        <w:t>22 לפסק הדין של</w:t>
      </w:r>
      <w:r>
        <w:rPr>
          <w:rFonts w:hint="cs"/>
          <w:rtl/>
        </w:rPr>
        <w:t xml:space="preserve"> חברתי, השופטת</w:t>
      </w:r>
      <w:r w:rsidRPr="008654D5">
        <w:rPr>
          <w:rFonts w:ascii="Century" w:hAnsi="Century" w:cs="Miriam" w:hint="cs"/>
          <w:b/>
          <w:spacing w:val="0"/>
          <w:sz w:val="22"/>
          <w:szCs w:val="24"/>
          <w:rtl/>
        </w:rPr>
        <w:t xml:space="preserve"> ברק-ארז</w:t>
      </w:r>
      <w:r>
        <w:rPr>
          <w:rFonts w:ascii="Century" w:hAnsi="Century" w:hint="cs"/>
          <w:sz w:val="22"/>
          <w:rtl/>
        </w:rPr>
        <w:t>)</w:t>
      </w:r>
      <w:r>
        <w:rPr>
          <w:rFonts w:hint="cs"/>
          <w:rtl/>
        </w:rPr>
        <w:t>. הנה כי כן, ערך תשתיתי זה, של 'עלייה יהודית', הניצב ביסודו של חוק השבות, זכה להכרה מפורשת על-ידי הרשות המכוננת, במסגרת הוראה חוקתית על-חוקית. דברים ידועים הם, ש</w:t>
      </w:r>
      <w:r w:rsidRPr="00B7344D">
        <w:rPr>
          <w:rFonts w:ascii="Century" w:hAnsi="Century" w:cs="Miriam" w:hint="cs"/>
          <w:b/>
          <w:spacing w:val="0"/>
          <w:sz w:val="22"/>
          <w:szCs w:val="24"/>
          <w:rtl/>
        </w:rPr>
        <w:t>"</w:t>
      </w:r>
      <w:r w:rsidRPr="00B7344D">
        <w:rPr>
          <w:rFonts w:ascii="Century" w:hAnsi="Century" w:cs="Miriam"/>
          <w:b/>
          <w:spacing w:val="0"/>
          <w:sz w:val="22"/>
          <w:szCs w:val="24"/>
          <w:shd w:val="clear" w:color="auto" w:fill="FFFFFF"/>
          <w:rtl/>
        </w:rPr>
        <w:t xml:space="preserve">פרשנות נורמה חקיקתית תיעשה </w:t>
      </w:r>
      <w:r w:rsidRPr="00B7344D">
        <w:rPr>
          <w:rFonts w:ascii="Century" w:hAnsi="Century" w:cs="Miriam" w:hint="cs"/>
          <w:b/>
          <w:spacing w:val="0"/>
          <w:sz w:val="22"/>
          <w:szCs w:val="24"/>
          <w:shd w:val="clear" w:color="auto" w:fill="FFFFFF"/>
          <w:rtl/>
        </w:rPr>
        <w:t>'</w:t>
      </w:r>
      <w:r w:rsidRPr="00B7344D">
        <w:rPr>
          <w:rFonts w:ascii="Century" w:hAnsi="Century" w:cs="Miriam"/>
          <w:b/>
          <w:spacing w:val="0"/>
          <w:sz w:val="22"/>
          <w:szCs w:val="24"/>
          <w:shd w:val="clear" w:color="auto" w:fill="FFFFFF"/>
          <w:rtl/>
        </w:rPr>
        <w:t>ברוח ההצהרה הערכית-נורמטיבית שנעשתה בחוק היסוד, לעתים תוך איזון מחודש של הערכים המצויים בבסיס דבר החקיקה, ברוח האיזון החוקתי המחודש</w:t>
      </w:r>
      <w:r w:rsidRPr="00B7344D">
        <w:rPr>
          <w:rFonts w:ascii="Century" w:hAnsi="Century" w:cs="Miriam" w:hint="cs"/>
          <w:b/>
          <w:spacing w:val="0"/>
          <w:sz w:val="22"/>
          <w:szCs w:val="24"/>
          <w:shd w:val="clear" w:color="auto" w:fill="FFFFFF"/>
          <w:rtl/>
        </w:rPr>
        <w:t xml:space="preserve">' [...] </w:t>
      </w:r>
      <w:r w:rsidRPr="00B7344D">
        <w:rPr>
          <w:rFonts w:ascii="Century" w:hAnsi="Century" w:cs="Miriam" w:hint="eastAsia"/>
          <w:b/>
          <w:spacing w:val="0"/>
          <w:sz w:val="22"/>
          <w:szCs w:val="24"/>
          <w:rtl/>
        </w:rPr>
        <w:t>הבסיס</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לכלל</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זה</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הוא</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ההכרה</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במעמדם</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העליון</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של</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חוקי</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היסוד</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והצורך</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להבטיח</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כי</w:t>
      </w:r>
      <w:r w:rsidRPr="00B7344D">
        <w:rPr>
          <w:rFonts w:ascii="Century" w:hAnsi="Century" w:cs="Miriam" w:hint="cs"/>
          <w:b/>
          <w:spacing w:val="0"/>
          <w:sz w:val="22"/>
          <w:szCs w:val="24"/>
          <w:rtl/>
        </w:rPr>
        <w:t xml:space="preserve"> </w:t>
      </w:r>
      <w:r w:rsidRPr="00B7344D">
        <w:rPr>
          <w:rFonts w:ascii="Century" w:hAnsi="Century" w:cs="Miriam"/>
          <w:b/>
          <w:spacing w:val="0"/>
          <w:sz w:val="22"/>
          <w:szCs w:val="24"/>
          <w:shd w:val="clear" w:color="auto" w:fill="FFFFFF"/>
          <w:rtl/>
        </w:rPr>
        <w:t>העקרונות שביסודם אכן ישפיעו  על פרשנות כלל דברי החקיקה</w:t>
      </w:r>
      <w:r w:rsidRPr="00B7344D">
        <w:rPr>
          <w:rFonts w:ascii="Century" w:hAnsi="Century" w:cs="Miriam" w:hint="cs"/>
          <w:b/>
          <w:spacing w:val="0"/>
          <w:sz w:val="22"/>
          <w:szCs w:val="24"/>
          <w:rtl/>
        </w:rPr>
        <w:t>"</w:t>
      </w:r>
      <w:r>
        <w:rPr>
          <w:rFonts w:hint="cs"/>
          <w:rtl/>
        </w:rPr>
        <w:t xml:space="preserve"> (</w:t>
      </w:r>
      <w:r w:rsidRPr="00B7344D">
        <w:rPr>
          <w:rFonts w:hint="eastAsia"/>
          <w:rtl/>
        </w:rPr>
        <w:t>דנג</w:t>
      </w:r>
      <w:r w:rsidRPr="00B7344D">
        <w:rPr>
          <w:rtl/>
        </w:rPr>
        <w:t>"</w:t>
      </w:r>
      <w:r w:rsidRPr="00B7344D">
        <w:rPr>
          <w:rFonts w:hint="eastAsia"/>
          <w:rtl/>
        </w:rPr>
        <w:t>ץ</w:t>
      </w:r>
      <w:r w:rsidRPr="00B7344D">
        <w:rPr>
          <w:rtl/>
        </w:rPr>
        <w:t xml:space="preserve"> 5026/16 </w:t>
      </w:r>
      <w:r w:rsidRPr="00B7344D">
        <w:rPr>
          <w:rFonts w:ascii="Century" w:hAnsi="Century" w:cs="Miriam" w:hint="eastAsia"/>
          <w:b/>
          <w:spacing w:val="0"/>
          <w:sz w:val="22"/>
          <w:szCs w:val="24"/>
          <w:rtl/>
        </w:rPr>
        <w:t>גיני</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נ</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הרבנות</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הראשית</w:t>
      </w:r>
      <w:r w:rsidRPr="00B7344D">
        <w:rPr>
          <w:rFonts w:ascii="Century" w:hAnsi="Century" w:cs="Miriam"/>
          <w:b/>
          <w:spacing w:val="0"/>
          <w:sz w:val="22"/>
          <w:szCs w:val="24"/>
          <w:rtl/>
        </w:rPr>
        <w:t xml:space="preserve"> </w:t>
      </w:r>
      <w:r w:rsidRPr="00B7344D">
        <w:rPr>
          <w:rFonts w:ascii="Century" w:hAnsi="Century" w:cs="Miriam" w:hint="eastAsia"/>
          <w:b/>
          <w:spacing w:val="0"/>
          <w:sz w:val="22"/>
          <w:szCs w:val="24"/>
          <w:rtl/>
        </w:rPr>
        <w:t>לישראל</w:t>
      </w:r>
      <w:r>
        <w:rPr>
          <w:rFonts w:hint="cs"/>
          <w:rtl/>
        </w:rPr>
        <w:t xml:space="preserve">, פסקה 5 לפסק הדין של המשנה לנשיאה </w:t>
      </w:r>
      <w:r w:rsidRPr="00B7344D">
        <w:rPr>
          <w:rFonts w:ascii="Century" w:hAnsi="Century" w:cs="Miriam" w:hint="cs"/>
          <w:b/>
          <w:spacing w:val="0"/>
          <w:sz w:val="22"/>
          <w:szCs w:val="24"/>
          <w:rtl/>
        </w:rPr>
        <w:t>ס' ג'ובראן</w:t>
      </w:r>
      <w:r w:rsidRPr="00B7344D">
        <w:rPr>
          <w:rtl/>
        </w:rPr>
        <w:t xml:space="preserve"> (12.</w:t>
      </w:r>
      <w:r>
        <w:rPr>
          <w:rFonts w:hint="cs"/>
          <w:rtl/>
        </w:rPr>
        <w:t>9</w:t>
      </w:r>
      <w:r w:rsidRPr="00B7344D">
        <w:rPr>
          <w:rtl/>
        </w:rPr>
        <w:t>.2017)</w:t>
      </w:r>
      <w:r>
        <w:rPr>
          <w:rFonts w:hint="cs"/>
          <w:rtl/>
        </w:rPr>
        <w:t xml:space="preserve">. כן ראו: סעיף 10 לחוק-יסוד: חופש העיסוק; דנ"פ 2316/95 </w:t>
      </w:r>
      <w:r w:rsidRPr="00B7344D">
        <w:rPr>
          <w:rFonts w:ascii="Century" w:hAnsi="Century" w:cs="Miriam" w:hint="cs"/>
          <w:b/>
          <w:spacing w:val="0"/>
          <w:sz w:val="22"/>
          <w:szCs w:val="24"/>
          <w:rtl/>
        </w:rPr>
        <w:t>גנימאת נ' מדינת ישראל</w:t>
      </w:r>
      <w:r>
        <w:rPr>
          <w:rFonts w:hint="cs"/>
          <w:rtl/>
        </w:rPr>
        <w:t xml:space="preserve">, פ"ד מט(4) 589, 643-639, 655-652 (1995); בש"פ 537/95 </w:t>
      </w:r>
      <w:r w:rsidRPr="00B7344D">
        <w:rPr>
          <w:rFonts w:ascii="Century" w:hAnsi="Century" w:cs="Miriam" w:hint="cs"/>
          <w:b/>
          <w:spacing w:val="0"/>
          <w:sz w:val="22"/>
          <w:szCs w:val="24"/>
          <w:rtl/>
        </w:rPr>
        <w:t>גנימאת נ' מדינת ישראל</w:t>
      </w:r>
      <w:r>
        <w:rPr>
          <w:rFonts w:hint="cs"/>
          <w:rtl/>
        </w:rPr>
        <w:t xml:space="preserve">, פ"ד מט(3) 355, 401-388, 417-410 (1995); ע"פ 5121/98 </w:t>
      </w:r>
      <w:r w:rsidRPr="0090506E">
        <w:rPr>
          <w:rFonts w:ascii="Century" w:hAnsi="Century" w:cs="Miriam" w:hint="cs"/>
          <w:b/>
          <w:spacing w:val="0"/>
          <w:sz w:val="22"/>
          <w:szCs w:val="24"/>
          <w:rtl/>
        </w:rPr>
        <w:t>יששכרוב נ' התובע הצבאי הראשי</w:t>
      </w:r>
      <w:r>
        <w:rPr>
          <w:rFonts w:hint="cs"/>
          <w:rtl/>
        </w:rPr>
        <w:t>, פ"ד סא(1) 461, 515 (2006)). דברים אלה, שנאמרו לא פעם בהתייחס לחוק-יסוד: כבוד האדם וחירותו, ולחוק-יסוד: חופש העיסוק, יפים כמובן גם לגבי יתר חוקי-היסוד המרכיבים את מפעל החוקה הישראלית, ההולכת ומתהווה פרקים פרקים; מכאן, שבבואנו לעסוק בשאלה הפרשנית שלפנינו, עלינו לעשות כן גם ברוח התפיסה הנשקפת לנו מחוק-יסוד: הלאום.</w:t>
      </w:r>
    </w:p>
    <w:p w:rsidR="00872589" w:rsidRDefault="00872589" w:rsidP="00872589">
      <w:pPr>
        <w:pStyle w:val="Ruller4"/>
        <w:numPr>
          <w:ilvl w:val="0"/>
          <w:numId w:val="0"/>
        </w:numPr>
      </w:pPr>
    </w:p>
    <w:p w:rsidR="00872589" w:rsidRPr="00933431" w:rsidRDefault="00872589" w:rsidP="00872589">
      <w:pPr>
        <w:pStyle w:val="Ruller4"/>
        <w:numPr>
          <w:ilvl w:val="0"/>
          <w:numId w:val="0"/>
        </w:numPr>
      </w:pPr>
      <w:r>
        <w:rPr>
          <w:rtl/>
        </w:rPr>
        <w:tab/>
      </w:r>
      <w:r>
        <w:rPr>
          <w:rFonts w:hint="cs"/>
          <w:rtl/>
        </w:rPr>
        <w:t xml:space="preserve">משעמדתי על הצופן הגנטי של חוק השבות בכללותו, ועל </w:t>
      </w:r>
      <w:r w:rsidRPr="00B050E3">
        <w:rPr>
          <w:rFonts w:hint="cs"/>
          <w:rtl/>
        </w:rPr>
        <w:t xml:space="preserve">תכליתו המרכזית, </w:t>
      </w:r>
      <w:r>
        <w:rPr>
          <w:rFonts w:hint="cs"/>
          <w:rtl/>
        </w:rPr>
        <w:t>אפנה עתה</w:t>
      </w:r>
      <w:r w:rsidRPr="00B050E3">
        <w:rPr>
          <w:rFonts w:hint="cs"/>
          <w:rtl/>
        </w:rPr>
        <w:t xml:space="preserve"> לעסוק בתכליותי</w:t>
      </w:r>
      <w:r>
        <w:rPr>
          <w:rFonts w:hint="cs"/>
          <w:rtl/>
        </w:rPr>
        <w:t>ו</w:t>
      </w:r>
      <w:r w:rsidRPr="00B050E3">
        <w:rPr>
          <w:rFonts w:hint="cs"/>
          <w:rtl/>
        </w:rPr>
        <w:t xml:space="preserve"> הספציפיות של סעי</w:t>
      </w:r>
      <w:r>
        <w:rPr>
          <w:rFonts w:hint="cs"/>
          <w:rtl/>
        </w:rPr>
        <w:t>ף</w:t>
      </w:r>
      <w:r w:rsidRPr="00B050E3">
        <w:rPr>
          <w:rFonts w:hint="cs"/>
          <w:rtl/>
        </w:rPr>
        <w:t xml:space="preserve"> 4א</w:t>
      </w:r>
      <w:r>
        <w:rPr>
          <w:rFonts w:hint="cs"/>
          <w:rtl/>
        </w:rPr>
        <w:t xml:space="preserve"> </w:t>
      </w:r>
      <w:r w:rsidRPr="00B050E3">
        <w:rPr>
          <w:rFonts w:hint="cs"/>
          <w:rtl/>
        </w:rPr>
        <w:t>לחוק</w:t>
      </w:r>
      <w:r>
        <w:rPr>
          <w:rFonts w:hint="cs"/>
          <w:rtl/>
        </w:rPr>
        <w:t xml:space="preserve">.   </w:t>
      </w:r>
    </w:p>
    <w:p w:rsidR="00872589" w:rsidRPr="007E37FB" w:rsidRDefault="00872589" w:rsidP="00872589">
      <w:pPr>
        <w:pStyle w:val="Ruller4"/>
        <w:numPr>
          <w:ilvl w:val="0"/>
          <w:numId w:val="0"/>
        </w:numPr>
        <w:rPr>
          <w:rtl/>
        </w:rPr>
      </w:pPr>
    </w:p>
    <w:p w:rsidR="00872589" w:rsidRDefault="00872589" w:rsidP="00216C97">
      <w:pPr>
        <w:pStyle w:val="Ruller41"/>
        <w:numPr>
          <w:ilvl w:val="0"/>
          <w:numId w:val="37"/>
        </w:numPr>
        <w:rPr>
          <w:rFonts w:ascii="Century" w:hAnsi="Century" w:cs="Miriam"/>
          <w:b/>
          <w:spacing w:val="0"/>
          <w:szCs w:val="24"/>
          <w:rtl/>
        </w:rPr>
      </w:pPr>
      <w:r w:rsidRPr="00B050E3">
        <w:rPr>
          <w:rFonts w:ascii="Century" w:hAnsi="Century" w:cs="Miriam" w:hint="cs"/>
          <w:b/>
          <w:spacing w:val="0"/>
          <w:szCs w:val="24"/>
          <w:rtl/>
        </w:rPr>
        <w:t>תכליות סעי</w:t>
      </w:r>
      <w:r>
        <w:rPr>
          <w:rFonts w:ascii="Century" w:hAnsi="Century" w:cs="Miriam" w:hint="cs"/>
          <w:b/>
          <w:spacing w:val="0"/>
          <w:szCs w:val="24"/>
          <w:rtl/>
        </w:rPr>
        <w:t>ף</w:t>
      </w:r>
      <w:r w:rsidRPr="00B050E3">
        <w:rPr>
          <w:rFonts w:ascii="Century" w:hAnsi="Century" w:cs="Miriam" w:hint="cs"/>
          <w:b/>
          <w:spacing w:val="0"/>
          <w:szCs w:val="24"/>
          <w:rtl/>
        </w:rPr>
        <w:t xml:space="preserve"> 4א לחוק השבות</w:t>
      </w:r>
    </w:p>
    <w:p w:rsidR="00216C97" w:rsidRPr="004B1639" w:rsidRDefault="00216C97" w:rsidP="00216C97">
      <w:pPr>
        <w:pStyle w:val="Ruller41"/>
        <w:ind w:left="1155"/>
        <w:rPr>
          <w:rFonts w:ascii="Century" w:hAnsi="Century" w:cs="Miriam"/>
          <w:b/>
          <w:spacing w:val="0"/>
          <w:szCs w:val="24"/>
          <w:rtl/>
        </w:rPr>
      </w:pPr>
    </w:p>
    <w:p w:rsidR="00872589" w:rsidRDefault="00872589" w:rsidP="00872589">
      <w:pPr>
        <w:pStyle w:val="Ruller4"/>
        <w:textAlignment w:val="baseline"/>
        <w:rPr>
          <w:rtl/>
        </w:rPr>
      </w:pPr>
      <w:r>
        <w:rPr>
          <w:rFonts w:hint="cs"/>
          <w:rtl/>
        </w:rPr>
        <w:t xml:space="preserve">בפסיקת בית משפט זה </w:t>
      </w:r>
      <w:r>
        <w:rPr>
          <w:rtl/>
        </w:rPr>
        <w:t>–</w:t>
      </w:r>
      <w:r>
        <w:rPr>
          <w:rFonts w:hint="cs"/>
          <w:rtl/>
        </w:rPr>
        <w:t xml:space="preserve"> שעליה נסמך גם חברי, מ"מ הנשיא </w:t>
      </w:r>
      <w:r>
        <w:rPr>
          <w:rtl/>
        </w:rPr>
        <w:t>–</w:t>
      </w:r>
      <w:r>
        <w:rPr>
          <w:rFonts w:hint="cs"/>
          <w:rtl/>
        </w:rPr>
        <w:t xml:space="preserve"> תואר כי בבסיסו </w:t>
      </w:r>
      <w:r w:rsidRPr="00B050E3">
        <w:rPr>
          <w:rFonts w:hint="cs"/>
          <w:rtl/>
        </w:rPr>
        <w:t>של סעיף 4א לחוק</w:t>
      </w:r>
      <w:r>
        <w:rPr>
          <w:rFonts w:hint="cs"/>
          <w:rtl/>
        </w:rPr>
        <w:t xml:space="preserve"> השבות ניצבות 5 </w:t>
      </w:r>
      <w:r w:rsidRPr="00F023BB">
        <w:rPr>
          <w:rFonts w:hint="cs"/>
          <w:rtl/>
        </w:rPr>
        <w:t>תכליות שונות; כך</w:t>
      </w:r>
      <w:r>
        <w:rPr>
          <w:rFonts w:hint="cs"/>
          <w:rtl/>
        </w:rPr>
        <w:t xml:space="preserve"> סיכמה את הדברים השופטת </w:t>
      </w:r>
      <w:r w:rsidRPr="008048E5">
        <w:rPr>
          <w:rFonts w:ascii="Century" w:hAnsi="Century" w:cs="Miriam" w:hint="cs"/>
          <w:b/>
          <w:spacing w:val="0"/>
          <w:sz w:val="22"/>
          <w:szCs w:val="24"/>
          <w:rtl/>
        </w:rPr>
        <w:t>ארבל</w:t>
      </w:r>
      <w:r>
        <w:rPr>
          <w:rFonts w:hint="cs"/>
          <w:rtl/>
        </w:rPr>
        <w:t xml:space="preserve">, בעניין </w:t>
      </w:r>
      <w:r w:rsidRPr="008048E5">
        <w:rPr>
          <w:rFonts w:ascii="Century" w:hAnsi="Century" w:cs="Miriam" w:hint="cs"/>
          <w:b/>
          <w:spacing w:val="0"/>
          <w:sz w:val="22"/>
          <w:szCs w:val="24"/>
          <w:rtl/>
        </w:rPr>
        <w:t>גורודצקי</w:t>
      </w:r>
      <w:r>
        <w:rPr>
          <w:rFonts w:hint="cs"/>
          <w:rtl/>
        </w:rPr>
        <w:t xml:space="preserve"> (פסקה 33):</w:t>
      </w:r>
    </w:p>
    <w:p w:rsidR="00872589" w:rsidRPr="00B11152" w:rsidRDefault="00872589" w:rsidP="00872589">
      <w:pPr>
        <w:pStyle w:val="Ruller41"/>
      </w:pPr>
    </w:p>
    <w:p w:rsidR="00872589" w:rsidRPr="00784C6F" w:rsidRDefault="00872589" w:rsidP="00872589">
      <w:pPr>
        <w:pStyle w:val="Ruller5"/>
        <w:spacing w:line="360" w:lineRule="auto"/>
        <w:rPr>
          <w:rtl/>
        </w:rPr>
      </w:pPr>
      <w:r w:rsidRPr="00B11152">
        <w:rPr>
          <w:rFonts w:ascii="Century" w:hAnsi="Century" w:cs="Miriam" w:hint="cs"/>
          <w:b/>
          <w:spacing w:val="0"/>
          <w:szCs w:val="24"/>
          <w:rtl/>
        </w:rPr>
        <w:t>"</w:t>
      </w:r>
      <w:r w:rsidRPr="00B11152">
        <w:rPr>
          <w:rFonts w:ascii="Century" w:hAnsi="Century" w:cs="Miriam"/>
          <w:b/>
          <w:spacing w:val="0"/>
          <w:szCs w:val="24"/>
          <w:rtl/>
        </w:rPr>
        <w:t xml:space="preserve">ניתן לסכם את תכליותיו של סעיף 4א לחוק השבות בחמש אלו: הראשונה, עידוד מי שאינו יהודי על-פי ההלכה אך יש לו זיקה משפחתית ליהודים לעלות לישראל ולהצטרף לעם היושב בציון כאמצעי למניעת התבוללות; השניה, עידוד יהודים הנשואים בנישואי תערובת לעלות לישראל ומציאת פתרון למשפחות מעורבות; השלישית, עשיית צדק על-ידי השוואת הסטאטוס של בני משפחה מעורבת שעולים לישראל, בלי שחלק מבני המשפחה ידרשו לעמוד במבחני </w:t>
      </w:r>
      <w:r w:rsidRPr="00B11152">
        <w:rPr>
          <w:rFonts w:ascii="Century" w:hAnsi="Century" w:cs="Miriam"/>
          <w:b/>
          <w:spacing w:val="0"/>
          <w:szCs w:val="24"/>
          <w:rtl/>
        </w:rPr>
        <w:lastRenderedPageBreak/>
        <w:t xml:space="preserve">חוק האזרחות בעוד האחרים יקבלו מעמד אוטומאטי; הרביעית, איזון בין ההגדרה המסורתית לבין ההגדרה הלאומית של המונח </w:t>
      </w:r>
      <w:r w:rsidRPr="00B11152">
        <w:rPr>
          <w:rFonts w:ascii="Century" w:hAnsi="Century" w:cs="Miriam" w:hint="cs"/>
          <w:b/>
          <w:spacing w:val="0"/>
          <w:szCs w:val="24"/>
          <w:rtl/>
        </w:rPr>
        <w:t>'</w:t>
      </w:r>
      <w:r w:rsidRPr="00B11152">
        <w:rPr>
          <w:rFonts w:ascii="Century" w:hAnsi="Century" w:cs="Miriam"/>
          <w:b/>
          <w:spacing w:val="0"/>
          <w:szCs w:val="24"/>
          <w:rtl/>
        </w:rPr>
        <w:t>יהודי</w:t>
      </w:r>
      <w:r w:rsidRPr="00B11152">
        <w:rPr>
          <w:rFonts w:ascii="Century" w:hAnsi="Century" w:cs="Miriam" w:hint="cs"/>
          <w:b/>
          <w:spacing w:val="0"/>
          <w:szCs w:val="24"/>
          <w:rtl/>
        </w:rPr>
        <w:t>'</w:t>
      </w:r>
      <w:r w:rsidRPr="00B11152">
        <w:rPr>
          <w:rFonts w:ascii="Century" w:hAnsi="Century" w:cs="Miriam"/>
          <w:b/>
          <w:spacing w:val="0"/>
          <w:szCs w:val="24"/>
          <w:rtl/>
        </w:rPr>
        <w:t xml:space="preserve"> בחוק השבות, כפי שעלה מדיוני הכנסת; החמישית, איחוד משפחות והגשמת הזכות לחיי משפחה משותפים</w:t>
      </w:r>
      <w:r w:rsidRPr="00B11152">
        <w:rPr>
          <w:rFonts w:ascii="Century" w:hAnsi="Century" w:cs="Miriam" w:hint="cs"/>
          <w:b/>
          <w:spacing w:val="0"/>
          <w:szCs w:val="24"/>
          <w:rtl/>
        </w:rPr>
        <w:t>"</w:t>
      </w:r>
      <w:r w:rsidRPr="00B11152">
        <w:rPr>
          <w:rtl/>
        </w:rPr>
        <w:t xml:space="preserve"> </w:t>
      </w:r>
      <w:r w:rsidRPr="00784C6F">
        <w:rPr>
          <w:rtl/>
        </w:rPr>
        <w:t>(</w:t>
      </w:r>
      <w:r>
        <w:rPr>
          <w:rFonts w:hint="cs"/>
          <w:rtl/>
        </w:rPr>
        <w:t xml:space="preserve">ראו גם: עניין </w:t>
      </w:r>
      <w:r w:rsidRPr="00D76131">
        <w:rPr>
          <w:rFonts w:ascii="Century" w:hAnsi="Century" w:cs="Miriam" w:hint="cs"/>
          <w:b/>
          <w:spacing w:val="0"/>
          <w:szCs w:val="24"/>
          <w:rtl/>
        </w:rPr>
        <w:t>שטה</w:t>
      </w:r>
      <w:r>
        <w:rPr>
          <w:rFonts w:hint="cs"/>
          <w:rtl/>
        </w:rPr>
        <w:t>, פסקה 9</w:t>
      </w:r>
      <w:r w:rsidRPr="00784C6F">
        <w:rPr>
          <w:rtl/>
        </w:rPr>
        <w:t xml:space="preserve">). </w:t>
      </w:r>
    </w:p>
    <w:p w:rsidR="00872589" w:rsidRDefault="00872589" w:rsidP="00872589">
      <w:pPr>
        <w:pStyle w:val="Ruller4"/>
        <w:numPr>
          <w:ilvl w:val="0"/>
          <w:numId w:val="0"/>
        </w:numPr>
        <w:rPr>
          <w:rtl/>
        </w:rPr>
      </w:pPr>
      <w:r>
        <w:rPr>
          <w:rFonts w:hint="cs"/>
          <w:rtl/>
        </w:rPr>
        <w:t xml:space="preserve"> </w:t>
      </w:r>
    </w:p>
    <w:p w:rsidR="00872589" w:rsidRDefault="00872589" w:rsidP="00872589">
      <w:pPr>
        <w:pStyle w:val="Ruller4"/>
        <w:textAlignment w:val="baseline"/>
      </w:pPr>
      <w:bookmarkStart w:id="6" w:name="_Ref140392999"/>
      <w:r>
        <w:rPr>
          <w:rFonts w:hint="cs"/>
          <w:rtl/>
        </w:rPr>
        <w:t xml:space="preserve">לצד זאת, ועל מנת שלא ישתכח היער מבעד לעצים, רואה אני להזכיר פסיקה מושרשת של בית משפט זה, שלפיה אין מדובר בתכליות שווֹת מעמד, שכן </w:t>
      </w:r>
      <w:r w:rsidRPr="00CF45B1">
        <w:rPr>
          <w:rFonts w:ascii="Century" w:hAnsi="Century" w:cs="Miriam" w:hint="cs"/>
          <w:b/>
          <w:spacing w:val="0"/>
          <w:sz w:val="22"/>
          <w:szCs w:val="24"/>
          <w:rtl/>
        </w:rPr>
        <w:t>"</w:t>
      </w:r>
      <w:r w:rsidRPr="00CF45B1">
        <w:rPr>
          <w:rFonts w:ascii="Century" w:hAnsi="Century" w:cs="Miriam" w:hint="eastAsia"/>
          <w:b/>
          <w:spacing w:val="0"/>
          <w:sz w:val="22"/>
          <w:szCs w:val="24"/>
          <w:u w:val="single"/>
          <w:rtl/>
        </w:rPr>
        <w:t>תכליתו</w:t>
      </w:r>
      <w:r w:rsidRPr="00CF45B1">
        <w:rPr>
          <w:rFonts w:ascii="Century" w:hAnsi="Century" w:cs="Miriam"/>
          <w:b/>
          <w:spacing w:val="0"/>
          <w:sz w:val="22"/>
          <w:szCs w:val="24"/>
          <w:u w:val="single"/>
          <w:rtl/>
        </w:rPr>
        <w:t xml:space="preserve"> </w:t>
      </w:r>
      <w:r w:rsidRPr="00CF45B1">
        <w:rPr>
          <w:rFonts w:ascii="Century" w:hAnsi="Century" w:cs="Miriam" w:hint="eastAsia"/>
          <w:b/>
          <w:spacing w:val="0"/>
          <w:sz w:val="22"/>
          <w:szCs w:val="24"/>
          <w:u w:val="single"/>
          <w:rtl/>
        </w:rPr>
        <w:t>המרכזית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של</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סעיף</w:t>
      </w:r>
      <w:r w:rsidRPr="00CF45B1">
        <w:rPr>
          <w:rFonts w:ascii="Century" w:hAnsi="Century" w:cs="Miriam"/>
          <w:b/>
          <w:spacing w:val="0"/>
          <w:sz w:val="22"/>
          <w:szCs w:val="24"/>
          <w:rtl/>
        </w:rPr>
        <w:t xml:space="preserve"> 4</w:t>
      </w:r>
      <w:r w:rsidRPr="00CF45B1">
        <w:rPr>
          <w:rFonts w:ascii="Century" w:hAnsi="Century" w:cs="Miriam" w:hint="eastAsia"/>
          <w:b/>
          <w:spacing w:val="0"/>
          <w:sz w:val="22"/>
          <w:szCs w:val="24"/>
          <w:rtl/>
        </w:rPr>
        <w:t>א</w:t>
      </w:r>
      <w:r w:rsidRPr="00CF45B1">
        <w:rPr>
          <w:rFonts w:ascii="Century" w:hAnsi="Century" w:cs="Miriam"/>
          <w:b/>
          <w:spacing w:val="0"/>
          <w:sz w:val="22"/>
          <w:szCs w:val="24"/>
          <w:rtl/>
        </w:rPr>
        <w:t>(</w:t>
      </w:r>
      <w:r w:rsidRPr="00CF45B1">
        <w:rPr>
          <w:rFonts w:ascii="Century" w:hAnsi="Century" w:cs="Miriam" w:hint="eastAsia"/>
          <w:b/>
          <w:spacing w:val="0"/>
          <w:sz w:val="22"/>
          <w:szCs w:val="24"/>
          <w:rtl/>
        </w:rPr>
        <w:t>א</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לחוק</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השבות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הינה</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לאפשר</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למשפחות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מעורבות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לעלות</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יחד</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ארצה</w:t>
      </w:r>
      <w:r w:rsidRPr="00CF45B1">
        <w:rPr>
          <w:rFonts w:ascii="Century" w:hAnsi="Century" w:cs="Miriam" w:hint="cs"/>
          <w:b/>
          <w:spacing w:val="0"/>
          <w:sz w:val="22"/>
          <w:szCs w:val="24"/>
          <w:rtl/>
        </w:rPr>
        <w:t>"</w:t>
      </w:r>
      <w:r w:rsidRPr="0076033E">
        <w:rPr>
          <w:rFonts w:hint="cs"/>
          <w:rtl/>
        </w:rPr>
        <w:t xml:space="preserve"> </w:t>
      </w:r>
      <w:r>
        <w:rPr>
          <w:rFonts w:hint="cs"/>
          <w:rtl/>
        </w:rPr>
        <w:t>(</w:t>
      </w:r>
      <w:r w:rsidRPr="0076033E">
        <w:rPr>
          <w:rFonts w:hint="eastAsia"/>
          <w:rtl/>
        </w:rPr>
        <w:t>בג</w:t>
      </w:r>
      <w:r w:rsidRPr="0076033E">
        <w:rPr>
          <w:rtl/>
        </w:rPr>
        <w:t>"</w:t>
      </w:r>
      <w:r w:rsidRPr="0076033E">
        <w:rPr>
          <w:rFonts w:hint="eastAsia"/>
          <w:rtl/>
        </w:rPr>
        <w:t>ץ</w:t>
      </w:r>
      <w:r w:rsidRPr="0076033E">
        <w:rPr>
          <w:rtl/>
        </w:rPr>
        <w:t xml:space="preserve"> 1188/10 </w:t>
      </w:r>
      <w:r w:rsidRPr="00CF45B1">
        <w:rPr>
          <w:rFonts w:ascii="Century" w:hAnsi="Century" w:cs="Miriam" w:hint="eastAsia"/>
          <w:b/>
          <w:spacing w:val="0"/>
          <w:sz w:val="22"/>
          <w:szCs w:val="24"/>
          <w:rtl/>
        </w:rPr>
        <w:t>פוזרסקי</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נ</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משרד</w:t>
      </w:r>
      <w:r w:rsidRPr="00CF45B1">
        <w:rPr>
          <w:rFonts w:ascii="Century" w:hAnsi="Century" w:cs="Miriam"/>
          <w:b/>
          <w:spacing w:val="0"/>
          <w:sz w:val="22"/>
          <w:szCs w:val="24"/>
          <w:rtl/>
        </w:rPr>
        <w:t xml:space="preserve"> </w:t>
      </w:r>
      <w:r w:rsidRPr="00CF45B1">
        <w:rPr>
          <w:rFonts w:ascii="Century" w:hAnsi="Century" w:cs="Miriam" w:hint="eastAsia"/>
          <w:b/>
          <w:spacing w:val="0"/>
          <w:sz w:val="22"/>
          <w:szCs w:val="24"/>
          <w:rtl/>
        </w:rPr>
        <w:t>הפנים</w:t>
      </w:r>
      <w:r>
        <w:rPr>
          <w:rFonts w:hint="cs"/>
          <w:rtl/>
        </w:rPr>
        <w:t>, פסקה 25</w:t>
      </w:r>
      <w:r w:rsidRPr="0076033E">
        <w:rPr>
          <w:rtl/>
        </w:rPr>
        <w:t xml:space="preserve"> (31.</w:t>
      </w:r>
      <w:r>
        <w:rPr>
          <w:rFonts w:hint="cs"/>
          <w:rtl/>
        </w:rPr>
        <w:t>7</w:t>
      </w:r>
      <w:r w:rsidRPr="0076033E">
        <w:rPr>
          <w:rtl/>
        </w:rPr>
        <w:t>.2013)</w:t>
      </w:r>
      <w:r>
        <w:rPr>
          <w:rFonts w:hint="cs"/>
          <w:rtl/>
        </w:rPr>
        <w:t xml:space="preserve"> (להלן: </w:t>
      </w:r>
      <w:r w:rsidRPr="00600AE5">
        <w:rPr>
          <w:rFonts w:ascii="Century" w:hAnsi="Century" w:cs="Miriam" w:hint="cs"/>
          <w:b/>
          <w:spacing w:val="0"/>
          <w:sz w:val="22"/>
          <w:szCs w:val="24"/>
          <w:rtl/>
        </w:rPr>
        <w:t>עניין פוזרסקי</w:t>
      </w:r>
      <w:r>
        <w:rPr>
          <w:rFonts w:hint="cs"/>
          <w:rtl/>
        </w:rPr>
        <w:t xml:space="preserve">) (ההדגשה הוּספה </w:t>
      </w:r>
      <w:r>
        <w:rPr>
          <w:rtl/>
        </w:rPr>
        <w:t>–</w:t>
      </w:r>
      <w:r>
        <w:rPr>
          <w:rFonts w:hint="cs"/>
          <w:rtl/>
        </w:rPr>
        <w:t xml:space="preserve"> נ' ס')); אף לי הזדמן לציין באחת הפרשות:</w:t>
      </w:r>
      <w:bookmarkEnd w:id="6"/>
    </w:p>
    <w:p w:rsidR="00872589" w:rsidRPr="00CF1F9D" w:rsidRDefault="00872589" w:rsidP="00872589">
      <w:pPr>
        <w:pStyle w:val="Ruller4"/>
        <w:numPr>
          <w:ilvl w:val="0"/>
          <w:numId w:val="0"/>
        </w:numPr>
        <w:rPr>
          <w:rtl/>
        </w:rPr>
      </w:pPr>
    </w:p>
    <w:p w:rsidR="00872589" w:rsidRDefault="00872589" w:rsidP="00872589">
      <w:pPr>
        <w:pStyle w:val="Ruller5"/>
        <w:spacing w:line="360" w:lineRule="auto"/>
        <w:rPr>
          <w:rtl/>
        </w:rPr>
      </w:pPr>
      <w:r w:rsidRPr="000E268E">
        <w:rPr>
          <w:rFonts w:ascii="Century" w:hAnsi="Century" w:cs="Miriam" w:hint="cs"/>
          <w:b/>
          <w:spacing w:val="0"/>
          <w:szCs w:val="24"/>
          <w:rtl/>
        </w:rPr>
        <w:t>"</w:t>
      </w:r>
      <w:r w:rsidRPr="000E268E">
        <w:rPr>
          <w:rFonts w:ascii="Century" w:hAnsi="Century" w:cs="Miriam" w:hint="eastAsia"/>
          <w:b/>
          <w:spacing w:val="0"/>
          <w:szCs w:val="24"/>
          <w:rtl/>
        </w:rPr>
        <w:t>הענקת</w:t>
      </w:r>
      <w:r w:rsidRPr="000E268E">
        <w:rPr>
          <w:rFonts w:ascii="Century" w:hAnsi="Century" w:cs="Miriam"/>
          <w:b/>
          <w:spacing w:val="0"/>
          <w:szCs w:val="24"/>
          <w:rtl/>
        </w:rPr>
        <w:t xml:space="preserve"> </w:t>
      </w:r>
      <w:r w:rsidRPr="000E268E">
        <w:rPr>
          <w:rFonts w:ascii="Century" w:hAnsi="Century" w:cs="Miriam" w:hint="eastAsia"/>
          <w:b/>
          <w:spacing w:val="0"/>
          <w:szCs w:val="24"/>
          <w:rtl/>
        </w:rPr>
        <w:t>הזכויות</w:t>
      </w:r>
      <w:r w:rsidRPr="000E268E">
        <w:rPr>
          <w:rFonts w:ascii="Century" w:hAnsi="Century" w:cs="Miriam"/>
          <w:b/>
          <w:spacing w:val="0"/>
          <w:szCs w:val="24"/>
          <w:rtl/>
        </w:rPr>
        <w:t xml:space="preserve"> </w:t>
      </w:r>
      <w:r w:rsidRPr="000E268E">
        <w:rPr>
          <w:rFonts w:ascii="Century" w:hAnsi="Century" w:cs="Miriam" w:hint="eastAsia"/>
          <w:b/>
          <w:spacing w:val="0"/>
          <w:szCs w:val="24"/>
          <w:rtl/>
        </w:rPr>
        <w:t>לבני</w:t>
      </w:r>
      <w:r w:rsidRPr="000E268E">
        <w:rPr>
          <w:rFonts w:ascii="Century" w:hAnsi="Century" w:cs="Miriam"/>
          <w:b/>
          <w:spacing w:val="0"/>
          <w:szCs w:val="24"/>
          <w:rtl/>
        </w:rPr>
        <w:t xml:space="preserve"> </w:t>
      </w:r>
      <w:r w:rsidRPr="000E268E">
        <w:rPr>
          <w:rFonts w:ascii="Century" w:hAnsi="Century" w:cs="Miriam" w:hint="eastAsia"/>
          <w:b/>
          <w:spacing w:val="0"/>
          <w:szCs w:val="24"/>
          <w:rtl/>
        </w:rPr>
        <w:t>משפחתו</w:t>
      </w:r>
      <w:r w:rsidRPr="000E268E">
        <w:rPr>
          <w:rFonts w:ascii="Century" w:hAnsi="Century" w:cs="Miriam"/>
          <w:b/>
          <w:spacing w:val="0"/>
          <w:szCs w:val="24"/>
          <w:rtl/>
        </w:rPr>
        <w:t xml:space="preserve"> </w:t>
      </w:r>
      <w:r w:rsidRPr="000E268E">
        <w:rPr>
          <w:rFonts w:ascii="Century" w:hAnsi="Century" w:cs="Miriam" w:hint="eastAsia"/>
          <w:b/>
          <w:spacing w:val="0"/>
          <w:szCs w:val="24"/>
          <w:rtl/>
        </w:rPr>
        <w:t>הלא</w:t>
      </w:r>
      <w:r w:rsidRPr="000E268E">
        <w:rPr>
          <w:rFonts w:ascii="Century" w:hAnsi="Century" w:cs="Miriam"/>
          <w:b/>
          <w:spacing w:val="0"/>
          <w:szCs w:val="24"/>
          <w:rtl/>
        </w:rPr>
        <w:t>-</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זכאי</w:t>
      </w:r>
      <w:r w:rsidRPr="000E268E">
        <w:rPr>
          <w:rFonts w:ascii="Century" w:hAnsi="Century" w:cs="Miriam"/>
          <w:b/>
          <w:spacing w:val="0"/>
          <w:szCs w:val="24"/>
          <w:rtl/>
        </w:rPr>
        <w:t xml:space="preserve"> </w:t>
      </w:r>
      <w:r w:rsidRPr="000E268E">
        <w:rPr>
          <w:rFonts w:ascii="Century" w:hAnsi="Century" w:cs="Miriam" w:hint="eastAsia"/>
          <w:b/>
          <w:spacing w:val="0"/>
          <w:szCs w:val="24"/>
          <w:rtl/>
        </w:rPr>
        <w:t>השבות</w:t>
      </w:r>
      <w:r w:rsidRPr="000E268E">
        <w:rPr>
          <w:rFonts w:ascii="Century" w:hAnsi="Century" w:cs="Miriam"/>
          <w:b/>
          <w:spacing w:val="0"/>
          <w:szCs w:val="24"/>
          <w:rtl/>
        </w:rPr>
        <w:t xml:space="preserve"> </w:t>
      </w:r>
      <w:r w:rsidRPr="000E268E">
        <w:rPr>
          <w:rFonts w:ascii="Century" w:hAnsi="Century" w:cs="Miriam" w:hint="eastAsia"/>
          <w:b/>
          <w:spacing w:val="0"/>
          <w:szCs w:val="24"/>
          <w:rtl/>
        </w:rPr>
        <w:t>נועדה</w:t>
      </w:r>
      <w:r w:rsidRPr="000E268E">
        <w:rPr>
          <w:rFonts w:ascii="Century" w:hAnsi="Century" w:cs="Miriam"/>
          <w:b/>
          <w:spacing w:val="0"/>
          <w:szCs w:val="24"/>
          <w:rtl/>
        </w:rPr>
        <w:t xml:space="preserve"> </w:t>
      </w:r>
      <w:r w:rsidRPr="000E268E">
        <w:rPr>
          <w:rFonts w:ascii="Century" w:hAnsi="Century" w:cs="Miriam" w:hint="eastAsia"/>
          <w:b/>
          <w:spacing w:val="0"/>
          <w:szCs w:val="24"/>
          <w:rtl/>
        </w:rPr>
        <w:t>לאפשר</w:t>
      </w:r>
      <w:r w:rsidRPr="000E268E">
        <w:rPr>
          <w:rFonts w:ascii="Century" w:hAnsi="Century" w:cs="Miriam"/>
          <w:b/>
          <w:spacing w:val="0"/>
          <w:szCs w:val="24"/>
          <w:rtl/>
        </w:rPr>
        <w:t xml:space="preserve"> </w:t>
      </w:r>
      <w:r w:rsidRPr="000E268E">
        <w:rPr>
          <w:rFonts w:ascii="Century" w:hAnsi="Century" w:cs="Miriam" w:hint="eastAsia"/>
          <w:b/>
          <w:spacing w:val="0"/>
          <w:szCs w:val="24"/>
          <w:rtl/>
        </w:rPr>
        <w:t>לו</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יחד</w:t>
      </w:r>
      <w:r w:rsidRPr="000E268E">
        <w:rPr>
          <w:rFonts w:ascii="Century" w:hAnsi="Century" w:cs="Miriam"/>
          <w:b/>
          <w:spacing w:val="0"/>
          <w:szCs w:val="24"/>
          <w:rtl/>
        </w:rPr>
        <w:t xml:space="preserve"> </w:t>
      </w:r>
      <w:r w:rsidRPr="000E268E">
        <w:rPr>
          <w:rFonts w:ascii="Century" w:hAnsi="Century" w:cs="Miriam" w:hint="eastAsia"/>
          <w:b/>
          <w:spacing w:val="0"/>
          <w:szCs w:val="24"/>
          <w:rtl/>
        </w:rPr>
        <w:t>עם</w:t>
      </w:r>
      <w:r w:rsidRPr="000E268E">
        <w:rPr>
          <w:rFonts w:ascii="Century" w:hAnsi="Century" w:cs="Miriam"/>
          <w:b/>
          <w:spacing w:val="0"/>
          <w:szCs w:val="24"/>
          <w:rtl/>
        </w:rPr>
        <w:t xml:space="preserve"> </w:t>
      </w:r>
      <w:r w:rsidRPr="000E268E">
        <w:rPr>
          <w:rFonts w:ascii="Century" w:hAnsi="Century" w:cs="Miriam" w:hint="eastAsia"/>
          <w:b/>
          <w:spacing w:val="0"/>
          <w:szCs w:val="24"/>
          <w:rtl/>
        </w:rPr>
        <w:t>בני</w:t>
      </w:r>
      <w:r w:rsidRPr="000E268E">
        <w:rPr>
          <w:rFonts w:ascii="Century" w:hAnsi="Century" w:cs="Miriam"/>
          <w:b/>
          <w:spacing w:val="0"/>
          <w:szCs w:val="24"/>
          <w:rtl/>
        </w:rPr>
        <w:t>-</w:t>
      </w:r>
      <w:r w:rsidRPr="000E268E">
        <w:rPr>
          <w:rFonts w:ascii="Century" w:hAnsi="Century" w:cs="Miriam" w:hint="eastAsia"/>
          <w:b/>
          <w:spacing w:val="0"/>
          <w:szCs w:val="24"/>
          <w:rtl/>
        </w:rPr>
        <w:t>משפחתו</w:t>
      </w:r>
      <w:r w:rsidRPr="000E268E">
        <w:rPr>
          <w:rFonts w:ascii="Century" w:hAnsi="Century" w:cs="Miriam"/>
          <w:b/>
          <w:spacing w:val="0"/>
          <w:szCs w:val="24"/>
          <w:rtl/>
        </w:rPr>
        <w:t xml:space="preserve">, </w:t>
      </w:r>
      <w:r w:rsidRPr="000E268E">
        <w:rPr>
          <w:rFonts w:ascii="Century" w:hAnsi="Century" w:cs="Miriam" w:hint="eastAsia"/>
          <w:b/>
          <w:spacing w:val="0"/>
          <w:szCs w:val="24"/>
          <w:rtl/>
        </w:rPr>
        <w:t>הגם</w:t>
      </w:r>
      <w:r w:rsidRPr="000E268E">
        <w:rPr>
          <w:rFonts w:ascii="Century" w:hAnsi="Century" w:cs="Miriam"/>
          <w:b/>
          <w:spacing w:val="0"/>
          <w:szCs w:val="24"/>
          <w:rtl/>
        </w:rPr>
        <w:t xml:space="preserve"> </w:t>
      </w:r>
      <w:r w:rsidRPr="000E268E">
        <w:rPr>
          <w:rFonts w:ascii="Century" w:hAnsi="Century" w:cs="Miriam" w:hint="eastAsia"/>
          <w:b/>
          <w:spacing w:val="0"/>
          <w:szCs w:val="24"/>
          <w:rtl/>
        </w:rPr>
        <w:t>שאינם</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כדי</w:t>
      </w:r>
      <w:r w:rsidRPr="000E268E">
        <w:rPr>
          <w:rFonts w:ascii="Century" w:hAnsi="Century" w:cs="Miriam"/>
          <w:b/>
          <w:spacing w:val="0"/>
          <w:szCs w:val="24"/>
          <w:rtl/>
        </w:rPr>
        <w:t xml:space="preserve"> </w:t>
      </w:r>
      <w:r w:rsidRPr="000E268E">
        <w:rPr>
          <w:rFonts w:ascii="Century" w:hAnsi="Century" w:cs="Miriam" w:hint="eastAsia"/>
          <w:b/>
          <w:spacing w:val="0"/>
          <w:szCs w:val="24"/>
          <w:rtl/>
        </w:rPr>
        <w:t>שיוכלו</w:t>
      </w:r>
      <w:r w:rsidRPr="000E268E">
        <w:rPr>
          <w:rFonts w:ascii="Century" w:hAnsi="Century" w:cs="Miriam"/>
          <w:b/>
          <w:spacing w:val="0"/>
          <w:szCs w:val="24"/>
          <w:rtl/>
        </w:rPr>
        <w:t xml:space="preserve"> </w:t>
      </w:r>
      <w:r w:rsidRPr="000E268E">
        <w:rPr>
          <w:rFonts w:ascii="Century" w:hAnsi="Century" w:cs="Miriam" w:hint="eastAsia"/>
          <w:b/>
          <w:spacing w:val="0"/>
          <w:szCs w:val="24"/>
          <w:rtl/>
        </w:rPr>
        <w:t>לחיות</w:t>
      </w:r>
      <w:r w:rsidRPr="000E268E">
        <w:rPr>
          <w:rFonts w:ascii="Century" w:hAnsi="Century" w:cs="Miriam"/>
          <w:b/>
          <w:spacing w:val="0"/>
          <w:szCs w:val="24"/>
          <w:rtl/>
        </w:rPr>
        <w:t xml:space="preserve"> </w:t>
      </w:r>
      <w:r w:rsidRPr="000E268E">
        <w:rPr>
          <w:rFonts w:ascii="Century" w:hAnsi="Century" w:cs="Miriam" w:hint="eastAsia"/>
          <w:b/>
          <w:spacing w:val="0"/>
          <w:szCs w:val="24"/>
          <w:rtl/>
        </w:rPr>
        <w:t>חיי</w:t>
      </w:r>
      <w:r w:rsidRPr="000E268E">
        <w:rPr>
          <w:rFonts w:ascii="Century" w:hAnsi="Century" w:cs="Miriam"/>
          <w:b/>
          <w:spacing w:val="0"/>
          <w:szCs w:val="24"/>
          <w:rtl/>
        </w:rPr>
        <w:t xml:space="preserve"> </w:t>
      </w:r>
      <w:r w:rsidRPr="000E268E">
        <w:rPr>
          <w:rFonts w:ascii="Century" w:hAnsi="Century" w:cs="Miriam" w:hint="eastAsia"/>
          <w:b/>
          <w:spacing w:val="0"/>
          <w:szCs w:val="24"/>
          <w:rtl/>
        </w:rPr>
        <w:t>משפחה</w:t>
      </w:r>
      <w:r w:rsidRPr="000E268E">
        <w:rPr>
          <w:rFonts w:ascii="Century" w:hAnsi="Century" w:cs="Miriam"/>
          <w:b/>
          <w:spacing w:val="0"/>
          <w:szCs w:val="24"/>
          <w:rtl/>
        </w:rPr>
        <w:t xml:space="preserve"> </w:t>
      </w:r>
      <w:r w:rsidRPr="000E268E">
        <w:rPr>
          <w:rFonts w:ascii="Century" w:hAnsi="Century" w:cs="Miriam" w:hint="eastAsia"/>
          <w:b/>
          <w:spacing w:val="0"/>
          <w:szCs w:val="24"/>
          <w:rtl/>
        </w:rPr>
        <w:t>משותפים</w:t>
      </w:r>
      <w:r w:rsidRPr="000E268E">
        <w:rPr>
          <w:rFonts w:ascii="Century" w:hAnsi="Century" w:cs="Miriam"/>
          <w:b/>
          <w:spacing w:val="0"/>
          <w:szCs w:val="24"/>
          <w:rtl/>
        </w:rPr>
        <w:t xml:space="preserve"> </w:t>
      </w:r>
      <w:r w:rsidRPr="000E268E">
        <w:rPr>
          <w:rFonts w:ascii="Century" w:hAnsi="Century" w:cs="Miriam" w:hint="eastAsia"/>
          <w:b/>
          <w:spacing w:val="0"/>
          <w:szCs w:val="24"/>
          <w:rtl/>
        </w:rPr>
        <w:t>בישראל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וזאת</w:t>
      </w:r>
      <w:r w:rsidRPr="000E268E">
        <w:rPr>
          <w:rFonts w:ascii="Century" w:hAnsi="Century" w:cs="Miriam"/>
          <w:b/>
          <w:spacing w:val="0"/>
          <w:szCs w:val="24"/>
          <w:rtl/>
        </w:rPr>
        <w:t xml:space="preserve"> </w:t>
      </w:r>
      <w:r w:rsidRPr="000E268E">
        <w:rPr>
          <w:rFonts w:ascii="Century" w:hAnsi="Century" w:cs="Miriam" w:hint="eastAsia"/>
          <w:b/>
          <w:spacing w:val="0"/>
          <w:szCs w:val="24"/>
          <w:rtl/>
        </w:rPr>
        <w:t>מתוך</w:t>
      </w:r>
      <w:r w:rsidRPr="000E268E">
        <w:rPr>
          <w:rFonts w:ascii="Century" w:hAnsi="Century" w:cs="Miriam"/>
          <w:b/>
          <w:spacing w:val="0"/>
          <w:szCs w:val="24"/>
          <w:rtl/>
        </w:rPr>
        <w:t xml:space="preserve"> </w:t>
      </w:r>
      <w:r w:rsidRPr="000E268E">
        <w:rPr>
          <w:rFonts w:ascii="Century" w:hAnsi="Century" w:cs="Miriam" w:hint="eastAsia"/>
          <w:b/>
          <w:spacing w:val="0"/>
          <w:szCs w:val="24"/>
          <w:rtl/>
        </w:rPr>
        <w:t>מטרה</w:t>
      </w:r>
      <w:r w:rsidRPr="000E268E">
        <w:rPr>
          <w:rFonts w:ascii="Century" w:hAnsi="Century" w:cs="Miriam"/>
          <w:b/>
          <w:spacing w:val="0"/>
          <w:szCs w:val="24"/>
          <w:rtl/>
        </w:rPr>
        <w:t xml:space="preserve"> </w:t>
      </w:r>
      <w:r w:rsidRPr="000E268E">
        <w:rPr>
          <w:rFonts w:ascii="Century" w:hAnsi="Century" w:cs="Miriam" w:hint="eastAsia"/>
          <w:b/>
          <w:spacing w:val="0"/>
          <w:szCs w:val="24"/>
          <w:rtl/>
        </w:rPr>
        <w:t>לעודד</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החיים</w:t>
      </w:r>
      <w:r w:rsidRPr="000E268E">
        <w:rPr>
          <w:rFonts w:ascii="Century" w:hAnsi="Century" w:cs="Miriam"/>
          <w:b/>
          <w:spacing w:val="0"/>
          <w:szCs w:val="24"/>
          <w:rtl/>
        </w:rPr>
        <w:t xml:space="preserve"> </w:t>
      </w:r>
      <w:r w:rsidRPr="000E268E">
        <w:rPr>
          <w:rFonts w:ascii="Century" w:hAnsi="Century" w:cs="Miriam" w:hint="eastAsia"/>
          <w:b/>
          <w:spacing w:val="0"/>
          <w:szCs w:val="24"/>
          <w:rtl/>
        </w:rPr>
        <w:t>מחוץ</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ארצה</w:t>
      </w:r>
      <w:r w:rsidRPr="000E268E">
        <w:rPr>
          <w:rFonts w:ascii="Century" w:hAnsi="Century" w:cs="Miriam"/>
          <w:b/>
          <w:spacing w:val="0"/>
          <w:szCs w:val="24"/>
          <w:rtl/>
        </w:rPr>
        <w:t xml:space="preserve">, </w:t>
      </w:r>
      <w:r w:rsidRPr="000E268E">
        <w:rPr>
          <w:rFonts w:ascii="Century" w:hAnsi="Century" w:cs="Miriam" w:hint="eastAsia"/>
          <w:b/>
          <w:spacing w:val="0"/>
          <w:szCs w:val="24"/>
          <w:rtl/>
        </w:rPr>
        <w:t>ועל</w:t>
      </w:r>
      <w:r w:rsidRPr="000E268E">
        <w:rPr>
          <w:rFonts w:ascii="Century" w:hAnsi="Century" w:cs="Miriam"/>
          <w:b/>
          <w:spacing w:val="0"/>
          <w:szCs w:val="24"/>
          <w:rtl/>
        </w:rPr>
        <w:t xml:space="preserve"> </w:t>
      </w:r>
      <w:r w:rsidRPr="000E268E">
        <w:rPr>
          <w:rFonts w:ascii="Century" w:hAnsi="Century" w:cs="Miriam" w:hint="eastAsia"/>
          <w:b/>
          <w:spacing w:val="0"/>
          <w:szCs w:val="24"/>
          <w:rtl/>
        </w:rPr>
        <w:t>מנת</w:t>
      </w:r>
      <w:r w:rsidRPr="000E268E">
        <w:rPr>
          <w:rFonts w:ascii="Century" w:hAnsi="Century" w:cs="Miriam"/>
          <w:b/>
          <w:spacing w:val="0"/>
          <w:szCs w:val="24"/>
          <w:rtl/>
        </w:rPr>
        <w:t xml:space="preserve"> </w:t>
      </w:r>
      <w:r w:rsidRPr="000E268E">
        <w:rPr>
          <w:rFonts w:ascii="Century" w:hAnsi="Century" w:cs="Miriam" w:hint="eastAsia"/>
          <w:b/>
          <w:spacing w:val="0"/>
          <w:szCs w:val="24"/>
          <w:rtl/>
        </w:rPr>
        <w:t>להבטיח</w:t>
      </w:r>
      <w:r w:rsidRPr="000E268E">
        <w:rPr>
          <w:rFonts w:ascii="Century" w:hAnsi="Century" w:cs="Miriam"/>
          <w:b/>
          <w:spacing w:val="0"/>
          <w:szCs w:val="24"/>
          <w:rtl/>
        </w:rPr>
        <w:t xml:space="preserve"> </w:t>
      </w:r>
      <w:r w:rsidRPr="000E268E">
        <w:rPr>
          <w:rFonts w:ascii="Century" w:hAnsi="Century" w:cs="Miriam" w:hint="eastAsia"/>
          <w:b/>
          <w:spacing w:val="0"/>
          <w:szCs w:val="24"/>
          <w:rtl/>
        </w:rPr>
        <w:t>כי</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שנישאו</w:t>
      </w:r>
      <w:r w:rsidRPr="000E268E">
        <w:rPr>
          <w:rFonts w:ascii="Century" w:hAnsi="Century" w:cs="Miriam"/>
          <w:b/>
          <w:spacing w:val="0"/>
          <w:szCs w:val="24"/>
          <w:rtl/>
        </w:rPr>
        <w:t xml:space="preserve"> </w:t>
      </w:r>
      <w:r w:rsidRPr="000E268E">
        <w:rPr>
          <w:rFonts w:ascii="Century" w:hAnsi="Century" w:cs="Miriam" w:hint="eastAsia"/>
          <w:b/>
          <w:spacing w:val="0"/>
          <w:szCs w:val="24"/>
          <w:rtl/>
        </w:rPr>
        <w:t>בנישואי</w:t>
      </w:r>
      <w:r w:rsidRPr="000E268E">
        <w:rPr>
          <w:rFonts w:ascii="Century" w:hAnsi="Century" w:cs="Miriam"/>
          <w:b/>
          <w:spacing w:val="0"/>
          <w:szCs w:val="24"/>
          <w:rtl/>
        </w:rPr>
        <w:t xml:space="preserve"> </w:t>
      </w:r>
      <w:r w:rsidRPr="000E268E">
        <w:rPr>
          <w:rFonts w:ascii="Century" w:hAnsi="Century" w:cs="Miriam" w:hint="eastAsia"/>
          <w:b/>
          <w:spacing w:val="0"/>
          <w:szCs w:val="24"/>
          <w:rtl/>
        </w:rPr>
        <w:t>תערובת</w:t>
      </w:r>
      <w:r w:rsidRPr="000E268E">
        <w:rPr>
          <w:rFonts w:ascii="Century" w:hAnsi="Century" w:cs="Miriam"/>
          <w:b/>
          <w:spacing w:val="0"/>
          <w:szCs w:val="24"/>
          <w:rtl/>
        </w:rPr>
        <w:t xml:space="preserve"> </w:t>
      </w:r>
      <w:r w:rsidRPr="000E268E">
        <w:rPr>
          <w:rFonts w:ascii="Century" w:hAnsi="Century" w:cs="Miriam" w:hint="eastAsia"/>
          <w:b/>
          <w:spacing w:val="0"/>
          <w:szCs w:val="24"/>
          <w:rtl/>
        </w:rPr>
        <w:t>לא</w:t>
      </w:r>
      <w:r w:rsidRPr="000E268E">
        <w:rPr>
          <w:rFonts w:ascii="Century" w:hAnsi="Century" w:cs="Miriam"/>
          <w:b/>
          <w:spacing w:val="0"/>
          <w:szCs w:val="24"/>
          <w:rtl/>
        </w:rPr>
        <w:t xml:space="preserve"> </w:t>
      </w:r>
      <w:r w:rsidRPr="000E268E">
        <w:rPr>
          <w:rFonts w:ascii="Century" w:hAnsi="Century" w:cs="Miriam" w:hint="eastAsia"/>
          <w:b/>
          <w:spacing w:val="0"/>
          <w:szCs w:val="24"/>
          <w:rtl/>
        </w:rPr>
        <w:t>יֵרתעו</w:t>
      </w:r>
      <w:r w:rsidRPr="000E268E">
        <w:rPr>
          <w:rFonts w:ascii="Century" w:hAnsi="Century" w:cs="Miriam"/>
          <w:b/>
          <w:spacing w:val="0"/>
          <w:szCs w:val="24"/>
          <w:rtl/>
        </w:rPr>
        <w:t xml:space="preserve"> </w:t>
      </w:r>
      <w:r w:rsidRPr="000E268E">
        <w:rPr>
          <w:rFonts w:ascii="Century" w:hAnsi="Century" w:cs="Miriam" w:hint="eastAsia"/>
          <w:b/>
          <w:spacing w:val="0"/>
          <w:szCs w:val="24"/>
          <w:rtl/>
        </w:rPr>
        <w:t>מהגשמת</w:t>
      </w:r>
      <w:r w:rsidRPr="000E268E">
        <w:rPr>
          <w:rFonts w:ascii="Century" w:hAnsi="Century" w:cs="Miriam"/>
          <w:b/>
          <w:spacing w:val="0"/>
          <w:szCs w:val="24"/>
          <w:rtl/>
        </w:rPr>
        <w:t xml:space="preserve"> </w:t>
      </w:r>
      <w:r w:rsidRPr="000E268E">
        <w:rPr>
          <w:rFonts w:ascii="Century" w:hAnsi="Century" w:cs="Miriam" w:hint="eastAsia"/>
          <w:b/>
          <w:spacing w:val="0"/>
          <w:szCs w:val="24"/>
          <w:rtl/>
        </w:rPr>
        <w:t>זכותם</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ברם</w:t>
      </w:r>
      <w:r w:rsidRPr="000E268E">
        <w:rPr>
          <w:rFonts w:ascii="Century" w:hAnsi="Century" w:cs="Miriam"/>
          <w:b/>
          <w:spacing w:val="0"/>
          <w:szCs w:val="24"/>
          <w:rtl/>
        </w:rPr>
        <w:t xml:space="preserve">, </w:t>
      </w:r>
      <w:r w:rsidRPr="000E268E">
        <w:rPr>
          <w:rFonts w:ascii="Century" w:hAnsi="Century" w:cs="Miriam" w:hint="eastAsia"/>
          <w:b/>
          <w:spacing w:val="0"/>
          <w:szCs w:val="24"/>
          <w:rtl/>
        </w:rPr>
        <w:t>לא</w:t>
      </w:r>
      <w:r w:rsidRPr="000E268E">
        <w:rPr>
          <w:rFonts w:ascii="Century" w:hAnsi="Century" w:cs="Miriam"/>
          <w:b/>
          <w:spacing w:val="0"/>
          <w:szCs w:val="24"/>
          <w:rtl/>
        </w:rPr>
        <w:t xml:space="preserve"> </w:t>
      </w:r>
      <w:r w:rsidRPr="000E268E">
        <w:rPr>
          <w:rFonts w:ascii="Century" w:hAnsi="Century" w:cs="Miriam" w:hint="eastAsia"/>
          <w:b/>
          <w:spacing w:val="0"/>
          <w:szCs w:val="24"/>
          <w:rtl/>
        </w:rPr>
        <w:t>דומה</w:t>
      </w:r>
      <w:r w:rsidRPr="000E268E">
        <w:rPr>
          <w:rFonts w:ascii="Century" w:hAnsi="Century" w:cs="Miriam"/>
          <w:b/>
          <w:spacing w:val="0"/>
          <w:szCs w:val="24"/>
          <w:rtl/>
        </w:rPr>
        <w:t xml:space="preserve"> </w:t>
      </w:r>
      <w:r w:rsidRPr="000E268E">
        <w:rPr>
          <w:rFonts w:ascii="Century" w:hAnsi="Century" w:cs="Miriam" w:hint="eastAsia"/>
          <w:b/>
          <w:spacing w:val="0"/>
          <w:szCs w:val="24"/>
          <w:rtl/>
        </w:rPr>
        <w:t>זכאותו</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ארצה</w:t>
      </w:r>
      <w:r w:rsidRPr="000E268E">
        <w:rPr>
          <w:rFonts w:ascii="Century" w:hAnsi="Century" w:cs="Miriam"/>
          <w:b/>
          <w:spacing w:val="0"/>
          <w:szCs w:val="24"/>
          <w:rtl/>
        </w:rPr>
        <w:t xml:space="preserve"> </w:t>
      </w:r>
      <w:r w:rsidRPr="000E268E">
        <w:rPr>
          <w:rFonts w:ascii="Century" w:hAnsi="Century"/>
          <w:rtl/>
        </w:rPr>
        <w:t>–</w:t>
      </w:r>
      <w:r w:rsidRPr="000E268E">
        <w:rPr>
          <w:rFonts w:ascii="Century" w:hAnsi="Century" w:cs="Miriam"/>
          <w:b/>
          <w:spacing w:val="0"/>
          <w:szCs w:val="24"/>
          <w:rtl/>
        </w:rPr>
        <w:t xml:space="preserve"> </w:t>
      </w:r>
      <w:r w:rsidRPr="000E268E">
        <w:rPr>
          <w:rFonts w:ascii="Century" w:hAnsi="Century" w:cs="Miriam" w:hint="eastAsia"/>
          <w:b/>
          <w:spacing w:val="0"/>
          <w:szCs w:val="24"/>
          <w:rtl/>
        </w:rPr>
        <w:t>בחינת</w:t>
      </w:r>
      <w:r w:rsidRPr="000E268E">
        <w:rPr>
          <w:rFonts w:ascii="Century" w:hAnsi="Century" w:cs="Miriam"/>
          <w:b/>
          <w:spacing w:val="0"/>
          <w:szCs w:val="24"/>
          <w:rtl/>
        </w:rPr>
        <w:t xml:space="preserve"> '</w:t>
      </w:r>
      <w:r w:rsidRPr="000E268E">
        <w:rPr>
          <w:rFonts w:ascii="Century" w:hAnsi="Century" w:cs="Miriam" w:hint="eastAsia"/>
          <w:b/>
          <w:spacing w:val="0"/>
          <w:szCs w:val="24"/>
          <w:rtl/>
        </w:rPr>
        <w:t>ושבו</w:t>
      </w:r>
      <w:r w:rsidRPr="000E268E">
        <w:rPr>
          <w:rFonts w:ascii="Century" w:hAnsi="Century" w:cs="Miriam"/>
          <w:b/>
          <w:spacing w:val="0"/>
          <w:szCs w:val="24"/>
          <w:rtl/>
        </w:rPr>
        <w:t xml:space="preserve"> </w:t>
      </w:r>
      <w:r w:rsidRPr="000E268E">
        <w:rPr>
          <w:rFonts w:ascii="Century" w:hAnsi="Century" w:cs="Miriam" w:hint="eastAsia"/>
          <w:b/>
          <w:spacing w:val="0"/>
          <w:szCs w:val="24"/>
          <w:rtl/>
        </w:rPr>
        <w:t>בנים</w:t>
      </w:r>
      <w:r w:rsidRPr="000E268E">
        <w:rPr>
          <w:rFonts w:ascii="Century" w:hAnsi="Century" w:cs="Miriam"/>
          <w:b/>
          <w:spacing w:val="0"/>
          <w:szCs w:val="24"/>
          <w:rtl/>
        </w:rPr>
        <w:t xml:space="preserve"> </w:t>
      </w:r>
      <w:r w:rsidRPr="000E268E">
        <w:rPr>
          <w:rFonts w:ascii="Century" w:hAnsi="Century" w:cs="Miriam" w:hint="eastAsia"/>
          <w:b/>
          <w:spacing w:val="0"/>
          <w:szCs w:val="24"/>
          <w:rtl/>
        </w:rPr>
        <w:t>לגבולם</w:t>
      </w:r>
      <w:r w:rsidRPr="000E268E">
        <w:rPr>
          <w:rFonts w:ascii="Century" w:hAnsi="Century" w:cs="Miriam"/>
          <w:b/>
          <w:spacing w:val="0"/>
          <w:szCs w:val="24"/>
          <w:rtl/>
        </w:rPr>
        <w:t xml:space="preserve">' </w:t>
      </w:r>
      <w:r w:rsidRPr="000E268E">
        <w:rPr>
          <w:rFonts w:ascii="Century" w:hAnsi="Century"/>
          <w:rtl/>
        </w:rPr>
        <w:t>–</w:t>
      </w:r>
      <w:r w:rsidRPr="000E268E">
        <w:rPr>
          <w:rFonts w:ascii="Century" w:hAnsi="Century" w:cs="Miriam"/>
          <w:b/>
          <w:spacing w:val="0"/>
          <w:szCs w:val="24"/>
          <w:rtl/>
        </w:rPr>
        <w:t xml:space="preserve"> </w:t>
      </w:r>
      <w:r w:rsidRPr="000E268E">
        <w:rPr>
          <w:rFonts w:ascii="Century" w:hAnsi="Century" w:cs="Miriam" w:hint="eastAsia"/>
          <w:b/>
          <w:spacing w:val="0"/>
          <w:szCs w:val="24"/>
          <w:rtl/>
        </w:rPr>
        <w:t>לזכויותיהם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בני</w:t>
      </w:r>
      <w:r w:rsidRPr="000E268E">
        <w:rPr>
          <w:rFonts w:ascii="Century" w:hAnsi="Century" w:cs="Miriam"/>
          <w:b/>
          <w:spacing w:val="0"/>
          <w:szCs w:val="24"/>
          <w:rtl/>
        </w:rPr>
        <w:t xml:space="preserve"> </w:t>
      </w:r>
      <w:r w:rsidRPr="000E268E">
        <w:rPr>
          <w:rFonts w:ascii="Century" w:hAnsi="Century" w:cs="Miriam" w:hint="eastAsia"/>
          <w:b/>
          <w:spacing w:val="0"/>
          <w:szCs w:val="24"/>
          <w:rtl/>
        </w:rPr>
        <w:t>משפחתו</w:t>
      </w:r>
      <w:r w:rsidRPr="000E268E">
        <w:rPr>
          <w:rFonts w:ascii="Century" w:hAnsi="Century" w:cs="Miriam"/>
          <w:b/>
          <w:spacing w:val="0"/>
          <w:szCs w:val="24"/>
          <w:rtl/>
        </w:rPr>
        <w:t xml:space="preserve"> </w:t>
      </w:r>
      <w:r w:rsidRPr="000E268E">
        <w:rPr>
          <w:rFonts w:ascii="Century" w:hAnsi="Century" w:cs="Miriam" w:hint="eastAsia"/>
          <w:b/>
          <w:spacing w:val="0"/>
          <w:szCs w:val="24"/>
          <w:rtl/>
        </w:rPr>
        <w:t>הלא</w:t>
      </w:r>
      <w:r w:rsidRPr="000E268E">
        <w:rPr>
          <w:rFonts w:ascii="Century" w:hAnsi="Century" w:cs="Miriam"/>
          <w:b/>
          <w:spacing w:val="0"/>
          <w:szCs w:val="24"/>
          <w:rtl/>
        </w:rPr>
        <w:t>-</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המחוקק</w:t>
      </w:r>
      <w:r w:rsidRPr="000E268E">
        <w:rPr>
          <w:rFonts w:ascii="Century" w:hAnsi="Century" w:cs="Miriam"/>
          <w:b/>
          <w:spacing w:val="0"/>
          <w:szCs w:val="24"/>
          <w:rtl/>
        </w:rPr>
        <w:t xml:space="preserve"> </w:t>
      </w:r>
      <w:r w:rsidRPr="000E268E">
        <w:rPr>
          <w:rFonts w:ascii="Century" w:hAnsi="Century" w:cs="Miriam" w:hint="eastAsia"/>
          <w:b/>
          <w:spacing w:val="0"/>
          <w:szCs w:val="24"/>
          <w:rtl/>
        </w:rPr>
        <w:t>ביקש</w:t>
      </w:r>
      <w:r w:rsidRPr="000E268E">
        <w:rPr>
          <w:rFonts w:ascii="Century" w:hAnsi="Century" w:cs="Miriam"/>
          <w:b/>
          <w:spacing w:val="0"/>
          <w:szCs w:val="24"/>
          <w:rtl/>
        </w:rPr>
        <w:t xml:space="preserve"> </w:t>
      </w:r>
      <w:r w:rsidRPr="000E268E">
        <w:rPr>
          <w:rFonts w:ascii="Century" w:hAnsi="Century" w:cs="Miriam" w:hint="eastAsia"/>
          <w:b/>
          <w:spacing w:val="0"/>
          <w:szCs w:val="24"/>
          <w:rtl/>
        </w:rPr>
        <w:t>להמריץ</w:t>
      </w:r>
      <w:r w:rsidRPr="000E268E">
        <w:rPr>
          <w:rFonts w:ascii="Century" w:hAnsi="Century" w:cs="Miriam"/>
          <w:b/>
          <w:spacing w:val="0"/>
          <w:szCs w:val="24"/>
          <w:rtl/>
        </w:rPr>
        <w:t xml:space="preserve"> </w:t>
      </w:r>
      <w:r w:rsidRPr="000E268E">
        <w:rPr>
          <w:rFonts w:ascii="Century" w:hAnsi="Century" w:cs="Miriam" w:hint="eastAsia"/>
          <w:b/>
          <w:spacing w:val="0"/>
          <w:szCs w:val="24"/>
          <w:rtl/>
        </w:rPr>
        <w:t>את</w:t>
      </w:r>
      <w:r w:rsidRPr="000E268E">
        <w:rPr>
          <w:rFonts w:ascii="Century" w:hAnsi="Century" w:cs="Miriam"/>
          <w:b/>
          <w:spacing w:val="0"/>
          <w:szCs w:val="24"/>
          <w:rtl/>
        </w:rPr>
        <w:t xml:space="preserve"> </w:t>
      </w:r>
      <w:r w:rsidRPr="000E268E">
        <w:rPr>
          <w:rFonts w:ascii="Century" w:hAnsi="Century" w:cs="Miriam" w:hint="eastAsia"/>
          <w:b/>
          <w:spacing w:val="0"/>
          <w:szCs w:val="24"/>
          <w:rtl/>
        </w:rPr>
        <w:t>זכאי</w:t>
      </w:r>
      <w:r w:rsidRPr="000E268E">
        <w:rPr>
          <w:rFonts w:ascii="Century" w:hAnsi="Century" w:cs="Miriam"/>
          <w:b/>
          <w:spacing w:val="0"/>
          <w:szCs w:val="24"/>
          <w:rtl/>
        </w:rPr>
        <w:t xml:space="preserve"> </w:t>
      </w:r>
      <w:r w:rsidRPr="000E268E">
        <w:rPr>
          <w:rFonts w:ascii="Century" w:hAnsi="Century" w:cs="Miriam" w:hint="eastAsia"/>
          <w:b/>
          <w:spacing w:val="0"/>
          <w:szCs w:val="24"/>
          <w:rtl/>
        </w:rPr>
        <w:t>השבות</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במגמה</w:t>
      </w:r>
      <w:r w:rsidRPr="000E268E">
        <w:rPr>
          <w:rFonts w:ascii="Century" w:hAnsi="Century" w:cs="Miriam"/>
          <w:b/>
          <w:spacing w:val="0"/>
          <w:szCs w:val="24"/>
          <w:rtl/>
        </w:rPr>
        <w:t xml:space="preserve"> </w:t>
      </w:r>
      <w:r w:rsidRPr="000E268E">
        <w:rPr>
          <w:rFonts w:ascii="Century" w:hAnsi="Century" w:cs="Miriam" w:hint="eastAsia"/>
          <w:b/>
          <w:spacing w:val="0"/>
          <w:szCs w:val="24"/>
          <w:rtl/>
        </w:rPr>
        <w:t>לעודד</w:t>
      </w:r>
      <w:r w:rsidRPr="000E268E">
        <w:rPr>
          <w:rFonts w:ascii="Century" w:hAnsi="Century" w:cs="Miriam"/>
          <w:b/>
          <w:spacing w:val="0"/>
          <w:szCs w:val="24"/>
          <w:rtl/>
        </w:rPr>
        <w:t xml:space="preserve"> </w:t>
      </w:r>
      <w:r w:rsidRPr="000E268E">
        <w:rPr>
          <w:rFonts w:ascii="Century" w:hAnsi="Century" w:cs="Miriam" w:hint="eastAsia"/>
          <w:b/>
          <w:spacing w:val="0"/>
          <w:szCs w:val="24"/>
          <w:rtl/>
        </w:rPr>
        <w:t>את</w:t>
      </w:r>
      <w:r w:rsidRPr="000E268E">
        <w:rPr>
          <w:rFonts w:ascii="Century" w:hAnsi="Century" w:cs="Miriam"/>
          <w:b/>
          <w:spacing w:val="0"/>
          <w:szCs w:val="24"/>
          <w:rtl/>
        </w:rPr>
        <w:t xml:space="preserve"> </w:t>
      </w:r>
      <w:r w:rsidRPr="000E268E">
        <w:rPr>
          <w:rFonts w:ascii="Century" w:hAnsi="Century" w:cs="Miriam" w:hint="eastAsia"/>
          <w:b/>
          <w:spacing w:val="0"/>
          <w:szCs w:val="24"/>
          <w:rtl/>
        </w:rPr>
        <w:t>שיבתם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לציון</w:t>
      </w:r>
      <w:r w:rsidRPr="000E268E">
        <w:rPr>
          <w:rFonts w:ascii="Century" w:hAnsi="Century" w:cs="Miriam"/>
          <w:b/>
          <w:spacing w:val="0"/>
          <w:szCs w:val="24"/>
          <w:rtl/>
        </w:rPr>
        <w:t xml:space="preserve">, </w:t>
      </w:r>
      <w:r w:rsidRPr="000E268E">
        <w:rPr>
          <w:rFonts w:ascii="Century" w:hAnsi="Century" w:cs="Miriam" w:hint="eastAsia"/>
          <w:b/>
          <w:spacing w:val="0"/>
          <w:szCs w:val="24"/>
          <w:rtl/>
        </w:rPr>
        <w:t>אך</w:t>
      </w:r>
      <w:r w:rsidRPr="000E268E">
        <w:rPr>
          <w:rFonts w:ascii="Century" w:hAnsi="Century" w:cs="Miriam"/>
          <w:b/>
          <w:spacing w:val="0"/>
          <w:szCs w:val="24"/>
          <w:rtl/>
        </w:rPr>
        <w:t xml:space="preserve"> </w:t>
      </w:r>
      <w:r w:rsidRPr="000E268E">
        <w:rPr>
          <w:rFonts w:ascii="Century" w:hAnsi="Century" w:cs="Miriam" w:hint="eastAsia"/>
          <w:b/>
          <w:spacing w:val="0"/>
          <w:szCs w:val="24"/>
          <w:rtl/>
        </w:rPr>
        <w:t>זוהי</w:t>
      </w:r>
      <w:r w:rsidRPr="000E268E">
        <w:rPr>
          <w:rFonts w:ascii="Century" w:hAnsi="Century" w:cs="Miriam"/>
          <w:b/>
          <w:spacing w:val="0"/>
          <w:szCs w:val="24"/>
          <w:rtl/>
        </w:rPr>
        <w:t xml:space="preserve"> </w:t>
      </w:r>
      <w:r w:rsidRPr="000E268E">
        <w:rPr>
          <w:rFonts w:ascii="Century" w:hAnsi="Century" w:cs="Miriam" w:hint="eastAsia"/>
          <w:b/>
          <w:spacing w:val="0"/>
          <w:szCs w:val="24"/>
          <w:rtl/>
        </w:rPr>
        <w:t>איננה</w:t>
      </w:r>
      <w:r w:rsidRPr="000E268E">
        <w:rPr>
          <w:rFonts w:ascii="Century" w:hAnsi="Century" w:cs="Miriam"/>
          <w:b/>
          <w:spacing w:val="0"/>
          <w:szCs w:val="24"/>
          <w:rtl/>
        </w:rPr>
        <w:t xml:space="preserve"> </w:t>
      </w:r>
      <w:r w:rsidRPr="000E268E">
        <w:rPr>
          <w:rFonts w:ascii="Century" w:hAnsi="Century" w:cs="Miriam" w:hint="eastAsia"/>
          <w:b/>
          <w:spacing w:val="0"/>
          <w:szCs w:val="24"/>
          <w:rtl/>
        </w:rPr>
        <w:t>התכלית</w:t>
      </w:r>
      <w:r w:rsidRPr="000E268E">
        <w:rPr>
          <w:rFonts w:ascii="Century" w:hAnsi="Century" w:cs="Miriam"/>
          <w:b/>
          <w:spacing w:val="0"/>
          <w:szCs w:val="24"/>
          <w:rtl/>
        </w:rPr>
        <w:t xml:space="preserve"> </w:t>
      </w:r>
      <w:r w:rsidRPr="000E268E">
        <w:rPr>
          <w:rFonts w:ascii="Century" w:hAnsi="Century" w:cs="Miriam" w:hint="eastAsia"/>
          <w:b/>
          <w:spacing w:val="0"/>
          <w:szCs w:val="24"/>
          <w:rtl/>
        </w:rPr>
        <w:t>העומדת</w:t>
      </w:r>
      <w:r w:rsidRPr="000E268E">
        <w:rPr>
          <w:rFonts w:ascii="Century" w:hAnsi="Century" w:cs="Miriam"/>
          <w:b/>
          <w:spacing w:val="0"/>
          <w:szCs w:val="24"/>
          <w:rtl/>
        </w:rPr>
        <w:t xml:space="preserve"> </w:t>
      </w:r>
      <w:r w:rsidRPr="000E268E">
        <w:rPr>
          <w:rFonts w:ascii="Century" w:hAnsi="Century" w:cs="Miriam" w:hint="eastAsia"/>
          <w:b/>
          <w:spacing w:val="0"/>
          <w:szCs w:val="24"/>
          <w:rtl/>
        </w:rPr>
        <w:t>בבסיס</w:t>
      </w:r>
      <w:r w:rsidRPr="000E268E">
        <w:rPr>
          <w:rFonts w:ascii="Century" w:hAnsi="Century" w:cs="Miriam"/>
          <w:b/>
          <w:spacing w:val="0"/>
          <w:szCs w:val="24"/>
          <w:rtl/>
        </w:rPr>
        <w:t xml:space="preserve"> </w:t>
      </w:r>
      <w:r w:rsidRPr="000E268E">
        <w:rPr>
          <w:rFonts w:ascii="Century" w:hAnsi="Century" w:cs="Miriam" w:hint="eastAsia"/>
          <w:b/>
          <w:spacing w:val="0"/>
          <w:szCs w:val="24"/>
          <w:rtl/>
        </w:rPr>
        <w:t>ההכרה</w:t>
      </w:r>
      <w:r w:rsidRPr="000E268E">
        <w:rPr>
          <w:rFonts w:ascii="Century" w:hAnsi="Century" w:cs="Miriam"/>
          <w:b/>
          <w:spacing w:val="0"/>
          <w:szCs w:val="24"/>
          <w:rtl/>
        </w:rPr>
        <w:t xml:space="preserve"> </w:t>
      </w:r>
      <w:r w:rsidRPr="000E268E">
        <w:rPr>
          <w:rFonts w:ascii="Century" w:hAnsi="Century" w:cs="Miriam" w:hint="eastAsia"/>
          <w:b/>
          <w:spacing w:val="0"/>
          <w:szCs w:val="24"/>
          <w:rtl/>
        </w:rPr>
        <w:t>בזכויותיהם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בני</w:t>
      </w:r>
      <w:r w:rsidRPr="000E268E">
        <w:rPr>
          <w:rFonts w:ascii="Century" w:hAnsi="Century" w:cs="Miriam"/>
          <w:b/>
          <w:spacing w:val="0"/>
          <w:szCs w:val="24"/>
          <w:rtl/>
        </w:rPr>
        <w:t xml:space="preserve"> </w:t>
      </w:r>
      <w:r w:rsidRPr="000E268E">
        <w:rPr>
          <w:rFonts w:ascii="Century" w:hAnsi="Century" w:cs="Miriam" w:hint="eastAsia"/>
          <w:b/>
          <w:spacing w:val="0"/>
          <w:szCs w:val="24"/>
          <w:rtl/>
        </w:rPr>
        <w:t>משפחתו</w:t>
      </w:r>
      <w:r w:rsidRPr="000E268E">
        <w:rPr>
          <w:rFonts w:ascii="Century" w:hAnsi="Century" w:cs="Miriam"/>
          <w:b/>
          <w:spacing w:val="0"/>
          <w:szCs w:val="24"/>
          <w:rtl/>
        </w:rPr>
        <w:t xml:space="preserve"> </w:t>
      </w:r>
      <w:r w:rsidRPr="000E268E">
        <w:rPr>
          <w:rFonts w:ascii="Century" w:hAnsi="Century" w:cs="Miriam" w:hint="eastAsia"/>
          <w:b/>
          <w:spacing w:val="0"/>
          <w:szCs w:val="24"/>
          <w:rtl/>
        </w:rPr>
        <w:t>הלא</w:t>
      </w:r>
      <w:r w:rsidRPr="000E268E">
        <w:rPr>
          <w:rFonts w:ascii="Century" w:hAnsi="Century" w:cs="Miriam"/>
          <w:b/>
          <w:spacing w:val="0"/>
          <w:szCs w:val="24"/>
          <w:rtl/>
        </w:rPr>
        <w:t>-</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זכאי</w:t>
      </w:r>
      <w:r w:rsidRPr="000E268E">
        <w:rPr>
          <w:rFonts w:ascii="Century" w:hAnsi="Century" w:cs="Miriam"/>
          <w:b/>
          <w:spacing w:val="0"/>
          <w:szCs w:val="24"/>
          <w:rtl/>
        </w:rPr>
        <w:t xml:space="preserve"> </w:t>
      </w:r>
      <w:r w:rsidRPr="000E268E">
        <w:rPr>
          <w:rFonts w:ascii="Century" w:hAnsi="Century" w:cs="Miriam" w:hint="eastAsia"/>
          <w:b/>
          <w:spacing w:val="0"/>
          <w:szCs w:val="24"/>
          <w:rtl/>
        </w:rPr>
        <w:t>השבות</w:t>
      </w:r>
      <w:r w:rsidRPr="000E268E">
        <w:rPr>
          <w:rFonts w:ascii="Century" w:hAnsi="Century" w:cs="Miriam"/>
          <w:b/>
          <w:spacing w:val="0"/>
          <w:szCs w:val="24"/>
          <w:rtl/>
        </w:rPr>
        <w:t xml:space="preserve">. </w:t>
      </w:r>
      <w:r w:rsidRPr="000E268E">
        <w:rPr>
          <w:rFonts w:ascii="Century" w:hAnsi="Century" w:cs="Miriam" w:hint="eastAsia"/>
          <w:b/>
          <w:spacing w:val="0"/>
          <w:szCs w:val="24"/>
          <w:rtl/>
        </w:rPr>
        <w:t>אלה</w:t>
      </w:r>
      <w:r w:rsidRPr="000E268E">
        <w:rPr>
          <w:rFonts w:ascii="Century" w:hAnsi="Century" w:cs="Miriam"/>
          <w:b/>
          <w:spacing w:val="0"/>
          <w:szCs w:val="24"/>
          <w:rtl/>
        </w:rPr>
        <w:t xml:space="preserve"> </w:t>
      </w:r>
      <w:r w:rsidRPr="000E268E">
        <w:rPr>
          <w:rFonts w:ascii="Century" w:hAnsi="Century" w:cs="Miriam" w:hint="eastAsia"/>
          <w:b/>
          <w:spacing w:val="0"/>
          <w:szCs w:val="24"/>
          <w:rtl/>
        </w:rPr>
        <w:t>באים</w:t>
      </w:r>
      <w:r w:rsidRPr="000E268E">
        <w:rPr>
          <w:rFonts w:ascii="Century" w:hAnsi="Century" w:cs="Miriam"/>
          <w:b/>
          <w:spacing w:val="0"/>
          <w:szCs w:val="24"/>
          <w:rtl/>
        </w:rPr>
        <w:t xml:space="preserve"> </w:t>
      </w:r>
      <w:r w:rsidRPr="000E268E">
        <w:rPr>
          <w:rFonts w:ascii="Century" w:hAnsi="Century" w:cs="Miriam" w:hint="eastAsia"/>
          <w:b/>
          <w:spacing w:val="0"/>
          <w:szCs w:val="24"/>
          <w:rtl/>
        </w:rPr>
        <w:t>על</w:t>
      </w:r>
      <w:r w:rsidRPr="000E268E">
        <w:rPr>
          <w:rFonts w:ascii="Century" w:hAnsi="Century" w:cs="Miriam"/>
          <w:b/>
          <w:spacing w:val="0"/>
          <w:szCs w:val="24"/>
          <w:rtl/>
        </w:rPr>
        <w:t xml:space="preserve"> </w:t>
      </w:r>
      <w:r w:rsidRPr="000E268E">
        <w:rPr>
          <w:rFonts w:ascii="Century" w:hAnsi="Century" w:cs="Miriam" w:hint="eastAsia"/>
          <w:b/>
          <w:spacing w:val="0"/>
          <w:szCs w:val="24"/>
          <w:rtl/>
        </w:rPr>
        <w:t>מנת</w:t>
      </w:r>
      <w:r w:rsidRPr="000E268E">
        <w:rPr>
          <w:rFonts w:ascii="Century" w:hAnsi="Century" w:cs="Miriam"/>
          <w:b/>
          <w:spacing w:val="0"/>
          <w:szCs w:val="24"/>
          <w:rtl/>
        </w:rPr>
        <w:t xml:space="preserve"> </w:t>
      </w:r>
      <w:r w:rsidRPr="000E268E">
        <w:rPr>
          <w:rFonts w:ascii="Century" w:hAnsi="Century" w:cs="Miriam" w:hint="eastAsia"/>
          <w:b/>
          <w:spacing w:val="0"/>
          <w:szCs w:val="24"/>
          <w:rtl/>
        </w:rPr>
        <w:t>להיות</w:t>
      </w:r>
      <w:r w:rsidRPr="000E268E">
        <w:rPr>
          <w:rFonts w:ascii="Century" w:hAnsi="Century" w:cs="Miriam"/>
          <w:b/>
          <w:spacing w:val="0"/>
          <w:szCs w:val="24"/>
          <w:rtl/>
        </w:rPr>
        <w:t xml:space="preserve"> </w:t>
      </w:r>
      <w:r w:rsidRPr="000E268E">
        <w:rPr>
          <w:rFonts w:ascii="Century" w:hAnsi="Century" w:cs="Miriam" w:hint="eastAsia"/>
          <w:b/>
          <w:spacing w:val="0"/>
          <w:szCs w:val="24"/>
          <w:rtl/>
        </w:rPr>
        <w:t>עם</w:t>
      </w:r>
      <w:r w:rsidRPr="000E268E">
        <w:rPr>
          <w:rFonts w:ascii="Century" w:hAnsi="Century" w:cs="Miriam"/>
          <w:b/>
          <w:spacing w:val="0"/>
          <w:szCs w:val="24"/>
          <w:rtl/>
        </w:rPr>
        <w:t xml:space="preserve"> </w:t>
      </w:r>
      <w:r w:rsidRPr="000E268E">
        <w:rPr>
          <w:rFonts w:ascii="Century" w:hAnsi="Century" w:cs="Miriam" w:hint="eastAsia"/>
          <w:b/>
          <w:spacing w:val="0"/>
          <w:szCs w:val="24"/>
          <w:rtl/>
        </w:rPr>
        <w:t>בן</w:t>
      </w:r>
      <w:r w:rsidRPr="000E268E">
        <w:rPr>
          <w:rFonts w:ascii="Century" w:hAnsi="Century" w:cs="Miriam"/>
          <w:b/>
          <w:spacing w:val="0"/>
          <w:szCs w:val="24"/>
          <w:rtl/>
        </w:rPr>
        <w:t>-</w:t>
      </w:r>
      <w:r w:rsidRPr="000E268E">
        <w:rPr>
          <w:rFonts w:ascii="Century" w:hAnsi="Century" w:cs="Miriam" w:hint="eastAsia"/>
          <w:b/>
          <w:spacing w:val="0"/>
          <w:szCs w:val="24"/>
          <w:rtl/>
        </w:rPr>
        <w:t>משפחתם</w:t>
      </w:r>
      <w:r w:rsidRPr="000E268E">
        <w:rPr>
          <w:rFonts w:ascii="Century" w:hAnsi="Century" w:cs="Miriam"/>
          <w:b/>
          <w:spacing w:val="0"/>
          <w:szCs w:val="24"/>
          <w:rtl/>
        </w:rPr>
        <w:t xml:space="preserve"> </w:t>
      </w:r>
      <w:r w:rsidRPr="000E268E">
        <w:rPr>
          <w:rFonts w:ascii="Century" w:hAnsi="Century" w:cs="Miriam" w:hint="eastAsia"/>
          <w:b/>
          <w:spacing w:val="0"/>
          <w:szCs w:val="24"/>
          <w:rtl/>
        </w:rPr>
        <w:t>הזכאי</w:t>
      </w:r>
      <w:r w:rsidRPr="000E268E">
        <w:rPr>
          <w:rFonts w:ascii="Century" w:hAnsi="Century" w:cs="Miriam"/>
          <w:b/>
          <w:spacing w:val="0"/>
          <w:szCs w:val="24"/>
          <w:rtl/>
        </w:rPr>
        <w:t xml:space="preserve">. </w:t>
      </w:r>
      <w:r w:rsidRPr="000E268E">
        <w:rPr>
          <w:rFonts w:ascii="Century" w:hAnsi="Century" w:cs="Miriam" w:hint="eastAsia"/>
          <w:b/>
          <w:spacing w:val="0"/>
          <w:szCs w:val="24"/>
          <w:rtl/>
        </w:rPr>
        <w:t>הם</w:t>
      </w:r>
      <w:r w:rsidRPr="000E268E">
        <w:rPr>
          <w:rFonts w:ascii="Century" w:hAnsi="Century" w:cs="Miriam"/>
          <w:b/>
          <w:spacing w:val="0"/>
          <w:szCs w:val="24"/>
          <w:rtl/>
        </w:rPr>
        <w:t xml:space="preserve"> </w:t>
      </w:r>
      <w:r w:rsidRPr="000E268E">
        <w:rPr>
          <w:rFonts w:ascii="Century" w:hAnsi="Century" w:cs="Miriam" w:hint="eastAsia"/>
          <w:b/>
          <w:spacing w:val="0"/>
          <w:szCs w:val="24"/>
          <w:rtl/>
        </w:rPr>
        <w:t>אינם</w:t>
      </w:r>
      <w:r w:rsidRPr="000E268E">
        <w:rPr>
          <w:rFonts w:ascii="Century" w:hAnsi="Century" w:cs="Miriam"/>
          <w:b/>
          <w:spacing w:val="0"/>
          <w:szCs w:val="24"/>
          <w:rtl/>
        </w:rPr>
        <w:t xml:space="preserve"> </w:t>
      </w:r>
      <w:r w:rsidRPr="000E268E">
        <w:rPr>
          <w:rFonts w:ascii="Century" w:hAnsi="Century" w:cs="Miriam" w:hint="eastAsia"/>
          <w:b/>
          <w:spacing w:val="0"/>
          <w:szCs w:val="24"/>
          <w:rtl/>
        </w:rPr>
        <w:t>שבים</w:t>
      </w:r>
      <w:r w:rsidRPr="000E268E">
        <w:rPr>
          <w:rFonts w:ascii="Century" w:hAnsi="Century" w:cs="Miriam"/>
          <w:b/>
          <w:spacing w:val="0"/>
          <w:szCs w:val="24"/>
          <w:rtl/>
        </w:rPr>
        <w:t xml:space="preserve"> </w:t>
      </w:r>
      <w:r w:rsidRPr="000E268E">
        <w:rPr>
          <w:rFonts w:ascii="Century" w:hAnsi="Century" w:cs="Miriam" w:hint="eastAsia"/>
          <w:b/>
          <w:spacing w:val="0"/>
          <w:szCs w:val="24"/>
          <w:rtl/>
        </w:rPr>
        <w:t>למולדת</w:t>
      </w:r>
      <w:r w:rsidRPr="000E268E">
        <w:rPr>
          <w:rFonts w:ascii="Century" w:hAnsi="Century" w:cs="Miriam"/>
          <w:b/>
          <w:spacing w:val="0"/>
          <w:szCs w:val="24"/>
          <w:rtl/>
        </w:rPr>
        <w:t xml:space="preserve"> </w:t>
      </w:r>
      <w:r w:rsidRPr="000E268E">
        <w:rPr>
          <w:rFonts w:ascii="Century" w:hAnsi="Century" w:cs="Miriam" w:hint="eastAsia"/>
          <w:b/>
          <w:spacing w:val="0"/>
          <w:szCs w:val="24"/>
          <w:rtl/>
        </w:rPr>
        <w:t>אבותם</w:t>
      </w:r>
      <w:r w:rsidRPr="000E268E">
        <w:rPr>
          <w:rFonts w:ascii="Century" w:hAnsi="Century" w:cs="Miriam"/>
          <w:b/>
          <w:spacing w:val="0"/>
          <w:szCs w:val="24"/>
          <w:rtl/>
        </w:rPr>
        <w:t xml:space="preserve">, </w:t>
      </w:r>
      <w:r w:rsidRPr="000E268E">
        <w:rPr>
          <w:rFonts w:ascii="Century" w:hAnsi="Century" w:cs="Miriam" w:hint="eastAsia"/>
          <w:b/>
          <w:spacing w:val="0"/>
          <w:szCs w:val="24"/>
          <w:rtl/>
        </w:rPr>
        <w:t>זיקתם</w:t>
      </w:r>
      <w:r w:rsidRPr="000E268E">
        <w:rPr>
          <w:rFonts w:ascii="Century" w:hAnsi="Century" w:cs="Miriam"/>
          <w:b/>
          <w:spacing w:val="0"/>
          <w:szCs w:val="24"/>
          <w:rtl/>
        </w:rPr>
        <w:t xml:space="preserve"> </w:t>
      </w:r>
      <w:r w:rsidRPr="000E268E">
        <w:rPr>
          <w:rFonts w:ascii="Century" w:hAnsi="Century" w:cs="Miriam" w:hint="eastAsia"/>
          <w:b/>
          <w:spacing w:val="0"/>
          <w:szCs w:val="24"/>
          <w:rtl/>
        </w:rPr>
        <w:t>איננה</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כי</w:t>
      </w:r>
      <w:r w:rsidRPr="000E268E">
        <w:rPr>
          <w:rFonts w:ascii="Century" w:hAnsi="Century" w:cs="Miriam"/>
          <w:b/>
          <w:spacing w:val="0"/>
          <w:szCs w:val="24"/>
          <w:rtl/>
        </w:rPr>
        <w:t xml:space="preserve"> </w:t>
      </w:r>
      <w:r w:rsidRPr="000E268E">
        <w:rPr>
          <w:rFonts w:ascii="Century" w:hAnsi="Century" w:cs="Miriam" w:hint="eastAsia"/>
          <w:b/>
          <w:spacing w:val="0"/>
          <w:szCs w:val="24"/>
          <w:rtl/>
        </w:rPr>
        <w:t>אם</w:t>
      </w:r>
      <w:r w:rsidRPr="000E268E">
        <w:rPr>
          <w:rFonts w:ascii="Century" w:hAnsi="Century" w:cs="Miriam"/>
          <w:b/>
          <w:spacing w:val="0"/>
          <w:szCs w:val="24"/>
          <w:rtl/>
        </w:rPr>
        <w:t xml:space="preserve"> </w:t>
      </w:r>
      <w:r w:rsidRPr="000E268E">
        <w:rPr>
          <w:rFonts w:ascii="Century" w:hAnsi="Century" w:cs="Miriam" w:hint="eastAsia"/>
          <w:b/>
          <w:spacing w:val="0"/>
          <w:szCs w:val="24"/>
          <w:rtl/>
        </w:rPr>
        <w:t>לבן</w:t>
      </w:r>
      <w:r w:rsidRPr="000E268E">
        <w:rPr>
          <w:rFonts w:ascii="Century" w:hAnsi="Century" w:cs="Miriam"/>
          <w:b/>
          <w:spacing w:val="0"/>
          <w:szCs w:val="24"/>
          <w:rtl/>
        </w:rPr>
        <w:t>-</w:t>
      </w:r>
      <w:r w:rsidRPr="000E268E">
        <w:rPr>
          <w:rFonts w:ascii="Century" w:hAnsi="Century" w:cs="Miriam" w:hint="eastAsia"/>
          <w:b/>
          <w:spacing w:val="0"/>
          <w:szCs w:val="24"/>
          <w:rtl/>
        </w:rPr>
        <w:t>משפחתם</w:t>
      </w:r>
      <w:r w:rsidRPr="000E268E">
        <w:rPr>
          <w:rFonts w:ascii="Century" w:hAnsi="Century" w:cs="Miriam"/>
          <w:b/>
          <w:spacing w:val="0"/>
          <w:szCs w:val="24"/>
          <w:rtl/>
        </w:rPr>
        <w:t xml:space="preserve">, </w:t>
      </w:r>
      <w:r w:rsidRPr="000E268E">
        <w:rPr>
          <w:rFonts w:ascii="Century" w:hAnsi="Century" w:cs="Miriam" w:hint="eastAsia"/>
          <w:b/>
          <w:spacing w:val="0"/>
          <w:szCs w:val="24"/>
          <w:rtl/>
        </w:rPr>
        <w:t>הוא</w:t>
      </w:r>
      <w:r w:rsidRPr="000E268E">
        <w:rPr>
          <w:rFonts w:ascii="Century" w:hAnsi="Century" w:cs="Miriam"/>
          <w:b/>
          <w:spacing w:val="0"/>
          <w:szCs w:val="24"/>
          <w:rtl/>
        </w:rPr>
        <w:t xml:space="preserve"> </w:t>
      </w:r>
      <w:r w:rsidRPr="000E268E">
        <w:rPr>
          <w:rFonts w:ascii="Century" w:hAnsi="Century" w:cs="Miriam" w:hint="eastAsia"/>
          <w:b/>
          <w:spacing w:val="0"/>
          <w:szCs w:val="24"/>
          <w:rtl/>
        </w:rPr>
        <w:t>היהודי</w:t>
      </w:r>
      <w:r w:rsidRPr="000E268E">
        <w:rPr>
          <w:rFonts w:ascii="Century" w:hAnsi="Century" w:cs="Miriam"/>
          <w:b/>
          <w:spacing w:val="0"/>
          <w:szCs w:val="24"/>
          <w:rtl/>
        </w:rPr>
        <w:t xml:space="preserve"> </w:t>
      </w:r>
      <w:r w:rsidRPr="000E268E">
        <w:rPr>
          <w:rFonts w:ascii="Century" w:hAnsi="Century" w:cs="Miriam" w:hint="eastAsia"/>
          <w:b/>
          <w:spacing w:val="0"/>
          <w:szCs w:val="24"/>
          <w:rtl/>
        </w:rPr>
        <w:t>הזכאי</w:t>
      </w:r>
      <w:r w:rsidRPr="000E268E">
        <w:rPr>
          <w:rFonts w:ascii="Century" w:hAnsi="Century" w:cs="Miriam" w:hint="cs"/>
          <w:b/>
          <w:spacing w:val="0"/>
          <w:szCs w:val="24"/>
          <w:rtl/>
        </w:rPr>
        <w:t xml:space="preserve"> [...] </w:t>
      </w:r>
      <w:r w:rsidRPr="000E268E">
        <w:rPr>
          <w:rFonts w:ascii="Century" w:hAnsi="Century" w:cs="Miriam" w:hint="eastAsia"/>
          <w:b/>
          <w:spacing w:val="0"/>
          <w:szCs w:val="24"/>
          <w:rtl/>
        </w:rPr>
        <w:t>עיקר</w:t>
      </w:r>
      <w:r w:rsidRPr="000E268E">
        <w:rPr>
          <w:rFonts w:ascii="Century" w:hAnsi="Century" w:cs="Miriam"/>
          <w:b/>
          <w:spacing w:val="0"/>
          <w:szCs w:val="24"/>
          <w:rtl/>
        </w:rPr>
        <w:t xml:space="preserve"> </w:t>
      </w:r>
      <w:r w:rsidRPr="000E268E">
        <w:rPr>
          <w:rFonts w:ascii="Century" w:hAnsi="Century" w:cs="Miriam" w:hint="eastAsia"/>
          <w:b/>
          <w:spacing w:val="0"/>
          <w:szCs w:val="24"/>
          <w:rtl/>
        </w:rPr>
        <w:t>העיקרים</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חוק</w:t>
      </w:r>
      <w:r w:rsidRPr="000E268E">
        <w:rPr>
          <w:rFonts w:ascii="Century" w:hAnsi="Century" w:cs="Miriam"/>
          <w:b/>
          <w:spacing w:val="0"/>
          <w:szCs w:val="24"/>
          <w:rtl/>
        </w:rPr>
        <w:t xml:space="preserve"> </w:t>
      </w:r>
      <w:r w:rsidRPr="000E268E">
        <w:rPr>
          <w:rFonts w:ascii="Century" w:hAnsi="Century" w:cs="Miriam" w:hint="eastAsia"/>
          <w:b/>
          <w:spacing w:val="0"/>
          <w:szCs w:val="24"/>
          <w:rtl/>
        </w:rPr>
        <w:t>השבות</w:t>
      </w:r>
      <w:r w:rsidRPr="000E268E">
        <w:rPr>
          <w:rFonts w:ascii="Century" w:hAnsi="Century" w:cs="Miriam"/>
          <w:b/>
          <w:spacing w:val="0"/>
          <w:szCs w:val="24"/>
          <w:rtl/>
        </w:rPr>
        <w:t xml:space="preserve"> </w:t>
      </w:r>
      <w:r w:rsidRPr="000E268E">
        <w:rPr>
          <w:rFonts w:ascii="Century" w:hAnsi="Century" w:cs="Miriam" w:hint="eastAsia"/>
          <w:b/>
          <w:spacing w:val="0"/>
          <w:szCs w:val="24"/>
          <w:rtl/>
        </w:rPr>
        <w:t>הוא</w:t>
      </w:r>
      <w:r w:rsidRPr="000E268E">
        <w:rPr>
          <w:rFonts w:ascii="Century" w:hAnsi="Century" w:cs="Miriam"/>
          <w:b/>
          <w:spacing w:val="0"/>
          <w:szCs w:val="24"/>
          <w:rtl/>
        </w:rPr>
        <w:t xml:space="preserve"> </w:t>
      </w:r>
      <w:r w:rsidRPr="000E268E">
        <w:rPr>
          <w:rFonts w:ascii="Century" w:hAnsi="Century" w:cs="Miriam" w:hint="cs"/>
          <w:b/>
          <w:spacing w:val="0"/>
          <w:szCs w:val="24"/>
          <w:rtl/>
        </w:rPr>
        <w:t>'</w:t>
      </w:r>
      <w:r w:rsidRPr="000E268E">
        <w:rPr>
          <w:rFonts w:ascii="Century" w:hAnsi="Century" w:cs="Miriam" w:hint="eastAsia"/>
          <w:b/>
          <w:spacing w:val="0"/>
          <w:szCs w:val="24"/>
          <w:rtl/>
        </w:rPr>
        <w:t>קיבוץ</w:t>
      </w:r>
      <w:r w:rsidRPr="000E268E">
        <w:rPr>
          <w:rFonts w:ascii="Century" w:hAnsi="Century" w:cs="Miriam"/>
          <w:b/>
          <w:spacing w:val="0"/>
          <w:szCs w:val="24"/>
          <w:rtl/>
        </w:rPr>
        <w:t xml:space="preserve"> </w:t>
      </w:r>
      <w:r w:rsidRPr="000E268E">
        <w:rPr>
          <w:rFonts w:ascii="Century" w:hAnsi="Century" w:cs="Miriam" w:hint="eastAsia"/>
          <w:b/>
          <w:spacing w:val="0"/>
          <w:szCs w:val="24"/>
          <w:rtl/>
        </w:rPr>
        <w:t>גלויות</w:t>
      </w:r>
      <w:r w:rsidRPr="000E268E">
        <w:rPr>
          <w:rFonts w:ascii="Century" w:hAnsi="Century" w:cs="Miriam"/>
          <w:b/>
          <w:spacing w:val="0"/>
          <w:szCs w:val="24"/>
          <w:rtl/>
        </w:rPr>
        <w:t xml:space="preserve"> </w:t>
      </w:r>
      <w:r w:rsidRPr="000E268E">
        <w:rPr>
          <w:rFonts w:ascii="Century" w:hAnsi="Century" w:cs="Miriam" w:hint="eastAsia"/>
          <w:b/>
          <w:spacing w:val="0"/>
          <w:szCs w:val="24"/>
          <w:rtl/>
        </w:rPr>
        <w:t>העם</w:t>
      </w:r>
      <w:r w:rsidRPr="000E268E">
        <w:rPr>
          <w:rFonts w:ascii="Century" w:hAnsi="Century" w:cs="Miriam"/>
          <w:b/>
          <w:spacing w:val="0"/>
          <w:szCs w:val="24"/>
          <w:rtl/>
        </w:rPr>
        <w:t xml:space="preserve"> </w:t>
      </w:r>
      <w:r w:rsidRPr="000E268E">
        <w:rPr>
          <w:rFonts w:ascii="Century" w:hAnsi="Century" w:cs="Miriam" w:hint="eastAsia"/>
          <w:b/>
          <w:spacing w:val="0"/>
          <w:szCs w:val="24"/>
          <w:rtl/>
        </w:rPr>
        <w:t>היהודי</w:t>
      </w:r>
      <w:r w:rsidRPr="000E268E">
        <w:rPr>
          <w:rFonts w:ascii="Century" w:hAnsi="Century" w:cs="Miriam"/>
          <w:b/>
          <w:spacing w:val="0"/>
          <w:szCs w:val="24"/>
          <w:rtl/>
        </w:rPr>
        <w:t xml:space="preserve"> </w:t>
      </w:r>
      <w:r w:rsidRPr="000E268E">
        <w:rPr>
          <w:rFonts w:ascii="Century" w:hAnsi="Century" w:cs="Miriam" w:hint="eastAsia"/>
          <w:b/>
          <w:spacing w:val="0"/>
          <w:szCs w:val="24"/>
          <w:rtl/>
        </w:rPr>
        <w:t>אל</w:t>
      </w:r>
      <w:r w:rsidRPr="000E268E">
        <w:rPr>
          <w:rFonts w:ascii="Century" w:hAnsi="Century" w:cs="Miriam"/>
          <w:b/>
          <w:spacing w:val="0"/>
          <w:szCs w:val="24"/>
          <w:rtl/>
        </w:rPr>
        <w:t xml:space="preserve"> </w:t>
      </w:r>
      <w:r w:rsidRPr="000E268E">
        <w:rPr>
          <w:rFonts w:ascii="Century" w:hAnsi="Century" w:cs="Miriam" w:hint="eastAsia"/>
          <w:b/>
          <w:spacing w:val="0"/>
          <w:szCs w:val="24"/>
          <w:rtl/>
        </w:rPr>
        <w:t>מדינת</w:t>
      </w:r>
      <w:r w:rsidRPr="000E268E">
        <w:rPr>
          <w:rFonts w:ascii="Century" w:hAnsi="Century" w:cs="Miriam"/>
          <w:b/>
          <w:spacing w:val="0"/>
          <w:szCs w:val="24"/>
          <w:rtl/>
        </w:rPr>
        <w:t xml:space="preserve"> </w:t>
      </w:r>
      <w:r w:rsidRPr="000E268E">
        <w:rPr>
          <w:rFonts w:ascii="Century" w:hAnsi="Century" w:cs="Miriam" w:hint="eastAsia"/>
          <w:b/>
          <w:spacing w:val="0"/>
          <w:szCs w:val="24"/>
          <w:rtl/>
        </w:rPr>
        <w:t>היהודים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שיבת</w:t>
      </w:r>
      <w:r w:rsidRPr="000E268E">
        <w:rPr>
          <w:rFonts w:ascii="Century" w:hAnsi="Century" w:cs="Miriam"/>
          <w:b/>
          <w:spacing w:val="0"/>
          <w:szCs w:val="24"/>
          <w:rtl/>
        </w:rPr>
        <w:t xml:space="preserve"> </w:t>
      </w:r>
      <w:r w:rsidRPr="000E268E">
        <w:rPr>
          <w:rFonts w:ascii="Century" w:hAnsi="Century" w:cs="Miriam" w:hint="eastAsia"/>
          <w:b/>
          <w:spacing w:val="0"/>
          <w:szCs w:val="24"/>
          <w:rtl/>
        </w:rPr>
        <w:t>הבנים</w:t>
      </w:r>
      <w:r w:rsidRPr="000E268E">
        <w:rPr>
          <w:rFonts w:ascii="Century" w:hAnsi="Century" w:cs="Miriam"/>
          <w:b/>
          <w:spacing w:val="0"/>
          <w:szCs w:val="24"/>
          <w:rtl/>
        </w:rPr>
        <w:t xml:space="preserve"> </w:t>
      </w:r>
      <w:r w:rsidRPr="000E268E">
        <w:rPr>
          <w:rFonts w:ascii="Century" w:hAnsi="Century" w:cs="Miriam" w:hint="eastAsia"/>
          <w:b/>
          <w:spacing w:val="0"/>
          <w:szCs w:val="24"/>
          <w:rtl/>
        </w:rPr>
        <w:t>אל</w:t>
      </w:r>
      <w:r w:rsidRPr="000E268E">
        <w:rPr>
          <w:rFonts w:ascii="Century" w:hAnsi="Century" w:cs="Miriam"/>
          <w:b/>
          <w:spacing w:val="0"/>
          <w:szCs w:val="24"/>
          <w:rtl/>
        </w:rPr>
        <w:t xml:space="preserve"> </w:t>
      </w:r>
      <w:r w:rsidRPr="000E268E">
        <w:rPr>
          <w:rFonts w:ascii="Century" w:hAnsi="Century" w:cs="Miriam" w:hint="eastAsia"/>
          <w:b/>
          <w:spacing w:val="0"/>
          <w:szCs w:val="24"/>
          <w:rtl/>
        </w:rPr>
        <w:t>ביתם</w:t>
      </w:r>
      <w:r w:rsidRPr="000E268E">
        <w:rPr>
          <w:rFonts w:ascii="Century" w:hAnsi="Century" w:cs="Miriam" w:hint="cs"/>
          <w:b/>
          <w:spacing w:val="0"/>
          <w:szCs w:val="24"/>
          <w:rtl/>
        </w:rPr>
        <w:t>' [...]</w:t>
      </w:r>
      <w:r w:rsidRPr="000E268E">
        <w:rPr>
          <w:rFonts w:ascii="Century" w:hAnsi="Century" w:cs="Miriam"/>
          <w:b/>
          <w:spacing w:val="0"/>
          <w:szCs w:val="24"/>
          <w:rtl/>
        </w:rPr>
        <w:t xml:space="preserve">. </w:t>
      </w:r>
      <w:r w:rsidRPr="000E268E">
        <w:rPr>
          <w:rFonts w:ascii="Century" w:hAnsi="Century" w:cs="Miriam" w:hint="eastAsia"/>
          <w:b/>
          <w:spacing w:val="0"/>
          <w:szCs w:val="24"/>
          <w:rtl/>
        </w:rPr>
        <w:t>מן</w:t>
      </w:r>
      <w:r w:rsidRPr="000E268E">
        <w:rPr>
          <w:rFonts w:ascii="Century" w:hAnsi="Century" w:cs="Miriam"/>
          <w:b/>
          <w:spacing w:val="0"/>
          <w:szCs w:val="24"/>
          <w:rtl/>
        </w:rPr>
        <w:t xml:space="preserve"> </w:t>
      </w:r>
      <w:r w:rsidRPr="000E268E">
        <w:rPr>
          <w:rFonts w:ascii="Century" w:hAnsi="Century" w:cs="Miriam" w:hint="eastAsia"/>
          <w:b/>
          <w:spacing w:val="0"/>
          <w:szCs w:val="24"/>
          <w:rtl/>
        </w:rPr>
        <w:t>התכלית</w:t>
      </w:r>
      <w:r w:rsidRPr="000E268E">
        <w:rPr>
          <w:rFonts w:ascii="Century" w:hAnsi="Century" w:cs="Miriam"/>
          <w:b/>
          <w:spacing w:val="0"/>
          <w:szCs w:val="24"/>
          <w:rtl/>
        </w:rPr>
        <w:t xml:space="preserve"> </w:t>
      </w:r>
      <w:r w:rsidRPr="000E268E">
        <w:rPr>
          <w:rFonts w:ascii="Century" w:hAnsi="Century" w:cs="Miriam" w:hint="eastAsia"/>
          <w:b/>
          <w:spacing w:val="0"/>
          <w:szCs w:val="24"/>
          <w:rtl/>
        </w:rPr>
        <w:t>הגדולה</w:t>
      </w:r>
      <w:r w:rsidRPr="000E268E">
        <w:rPr>
          <w:rFonts w:ascii="Century" w:hAnsi="Century" w:cs="Miriam"/>
          <w:b/>
          <w:spacing w:val="0"/>
          <w:szCs w:val="24"/>
          <w:rtl/>
        </w:rPr>
        <w:t xml:space="preserve"> </w:t>
      </w:r>
      <w:r w:rsidRPr="000E268E">
        <w:rPr>
          <w:rFonts w:ascii="Century" w:hAnsi="Century" w:cs="Miriam" w:hint="eastAsia"/>
          <w:b/>
          <w:spacing w:val="0"/>
          <w:szCs w:val="24"/>
          <w:rtl/>
        </w:rPr>
        <w:t>הזו</w:t>
      </w:r>
      <w:r w:rsidRPr="000E268E">
        <w:rPr>
          <w:rFonts w:ascii="Century" w:hAnsi="Century" w:cs="Miriam"/>
          <w:b/>
          <w:spacing w:val="0"/>
          <w:szCs w:val="24"/>
          <w:rtl/>
        </w:rPr>
        <w:t xml:space="preserve">, </w:t>
      </w:r>
      <w:r w:rsidRPr="000E268E">
        <w:rPr>
          <w:rFonts w:ascii="Century" w:hAnsi="Century" w:cs="Miriam" w:hint="eastAsia"/>
          <w:b/>
          <w:spacing w:val="0"/>
          <w:szCs w:val="24"/>
          <w:rtl/>
        </w:rPr>
        <w:t>נלמד</w:t>
      </w:r>
      <w:r w:rsidRPr="000E268E">
        <w:rPr>
          <w:rFonts w:ascii="Century" w:hAnsi="Century" w:cs="Miriam"/>
          <w:b/>
          <w:spacing w:val="0"/>
          <w:szCs w:val="24"/>
          <w:rtl/>
        </w:rPr>
        <w:t xml:space="preserve"> </w:t>
      </w:r>
      <w:r w:rsidRPr="000E268E">
        <w:rPr>
          <w:rFonts w:ascii="Century" w:hAnsi="Century" w:cs="Miriam" w:hint="eastAsia"/>
          <w:b/>
          <w:spacing w:val="0"/>
          <w:szCs w:val="24"/>
          <w:rtl/>
        </w:rPr>
        <w:t>על</w:t>
      </w:r>
      <w:r w:rsidRPr="000E268E">
        <w:rPr>
          <w:rFonts w:ascii="Century" w:hAnsi="Century" w:cs="Miriam"/>
          <w:b/>
          <w:spacing w:val="0"/>
          <w:szCs w:val="24"/>
          <w:rtl/>
        </w:rPr>
        <w:t xml:space="preserve"> </w:t>
      </w:r>
      <w:r w:rsidRPr="000E268E">
        <w:rPr>
          <w:rFonts w:ascii="Century" w:hAnsi="Century" w:cs="Miriam" w:hint="eastAsia"/>
          <w:b/>
          <w:spacing w:val="0"/>
          <w:szCs w:val="24"/>
          <w:rtl/>
        </w:rPr>
        <w:t>תכלית</w:t>
      </w:r>
      <w:r w:rsidRPr="000E268E">
        <w:rPr>
          <w:rFonts w:ascii="Century" w:hAnsi="Century" w:cs="Miriam"/>
          <w:b/>
          <w:spacing w:val="0"/>
          <w:szCs w:val="24"/>
          <w:rtl/>
        </w:rPr>
        <w:t>-</w:t>
      </w:r>
      <w:r w:rsidRPr="000E268E">
        <w:rPr>
          <w:rFonts w:ascii="Century" w:hAnsi="Century" w:cs="Miriam" w:hint="eastAsia"/>
          <w:b/>
          <w:spacing w:val="0"/>
          <w:szCs w:val="24"/>
          <w:rtl/>
        </w:rPr>
        <w:t>המשנה</w:t>
      </w:r>
      <w:r w:rsidRPr="000E268E">
        <w:rPr>
          <w:rFonts w:ascii="Century" w:hAnsi="Century" w:cs="Miriam"/>
          <w:b/>
          <w:spacing w:val="0"/>
          <w:szCs w:val="24"/>
          <w:rtl/>
        </w:rPr>
        <w:t xml:space="preserve"> </w:t>
      </w:r>
      <w:r w:rsidRPr="000E268E">
        <w:rPr>
          <w:rFonts w:ascii="Century" w:hAnsi="Century" w:cs="Miriam" w:hint="eastAsia"/>
          <w:b/>
          <w:spacing w:val="0"/>
          <w:szCs w:val="24"/>
          <w:rtl/>
        </w:rPr>
        <w:t>של</w:t>
      </w:r>
      <w:r w:rsidRPr="000E268E">
        <w:rPr>
          <w:rFonts w:ascii="Century" w:hAnsi="Century" w:cs="Miriam"/>
          <w:b/>
          <w:spacing w:val="0"/>
          <w:szCs w:val="24"/>
          <w:rtl/>
        </w:rPr>
        <w:t xml:space="preserve"> </w:t>
      </w:r>
      <w:r w:rsidRPr="000E268E">
        <w:rPr>
          <w:rFonts w:ascii="Century" w:hAnsi="Century" w:cs="Miriam" w:hint="eastAsia"/>
          <w:b/>
          <w:spacing w:val="0"/>
          <w:szCs w:val="24"/>
          <w:rtl/>
        </w:rPr>
        <w:t>סעיף</w:t>
      </w:r>
      <w:r w:rsidRPr="000E268E">
        <w:rPr>
          <w:rFonts w:ascii="Century" w:hAnsi="Century" w:cs="Miriam"/>
          <w:b/>
          <w:spacing w:val="0"/>
          <w:szCs w:val="24"/>
          <w:rtl/>
        </w:rPr>
        <w:t xml:space="preserve"> 4</w:t>
      </w:r>
      <w:r w:rsidRPr="000E268E">
        <w:rPr>
          <w:rFonts w:ascii="Century" w:hAnsi="Century" w:cs="Miriam" w:hint="eastAsia"/>
          <w:b/>
          <w:spacing w:val="0"/>
          <w:szCs w:val="24"/>
          <w:rtl/>
        </w:rPr>
        <w:t>א</w:t>
      </w:r>
      <w:r w:rsidRPr="000E268E">
        <w:rPr>
          <w:rFonts w:ascii="Century" w:hAnsi="Century" w:cs="Miriam"/>
          <w:b/>
          <w:spacing w:val="0"/>
          <w:szCs w:val="24"/>
          <w:rtl/>
        </w:rPr>
        <w:t xml:space="preserve">, </w:t>
      </w:r>
      <w:r w:rsidRPr="000E268E">
        <w:rPr>
          <w:rFonts w:ascii="Century" w:hAnsi="Century" w:cs="Miriam" w:hint="eastAsia"/>
          <w:b/>
          <w:spacing w:val="0"/>
          <w:szCs w:val="24"/>
          <w:rtl/>
        </w:rPr>
        <w:t>להבטיח</w:t>
      </w:r>
      <w:r w:rsidRPr="000E268E">
        <w:rPr>
          <w:rFonts w:ascii="Century" w:hAnsi="Century" w:cs="Miriam"/>
          <w:b/>
          <w:spacing w:val="0"/>
          <w:szCs w:val="24"/>
          <w:rtl/>
        </w:rPr>
        <w:t xml:space="preserve"> </w:t>
      </w:r>
      <w:r w:rsidRPr="000E268E">
        <w:rPr>
          <w:rFonts w:ascii="Century" w:hAnsi="Century" w:cs="Miriam" w:hint="eastAsia"/>
          <w:b/>
          <w:spacing w:val="0"/>
          <w:szCs w:val="24"/>
          <w:rtl/>
        </w:rPr>
        <w:t>כי</w:t>
      </w:r>
      <w:r w:rsidRPr="000E268E">
        <w:rPr>
          <w:rFonts w:ascii="Century" w:hAnsi="Century" w:cs="Miriam"/>
          <w:b/>
          <w:spacing w:val="0"/>
          <w:szCs w:val="24"/>
          <w:rtl/>
        </w:rPr>
        <w:t xml:space="preserve"> </w:t>
      </w:r>
      <w:r w:rsidRPr="000E268E">
        <w:rPr>
          <w:rFonts w:ascii="Century" w:hAnsi="Century" w:cs="Miriam" w:hint="eastAsia"/>
          <w:b/>
          <w:spacing w:val="0"/>
          <w:szCs w:val="24"/>
          <w:rtl/>
        </w:rPr>
        <w:t>יהודים</w:t>
      </w:r>
      <w:r w:rsidRPr="000E268E">
        <w:rPr>
          <w:rFonts w:ascii="Century" w:hAnsi="Century" w:cs="Miriam"/>
          <w:b/>
          <w:spacing w:val="0"/>
          <w:szCs w:val="24"/>
          <w:rtl/>
        </w:rPr>
        <w:t xml:space="preserve"> </w:t>
      </w:r>
      <w:r w:rsidRPr="000E268E">
        <w:rPr>
          <w:rFonts w:ascii="Century" w:hAnsi="Century" w:cs="Miriam" w:hint="eastAsia"/>
          <w:b/>
          <w:spacing w:val="0"/>
          <w:szCs w:val="24"/>
          <w:rtl/>
        </w:rPr>
        <w:t>שנישאו</w:t>
      </w:r>
      <w:r w:rsidRPr="000E268E">
        <w:rPr>
          <w:rFonts w:ascii="Century" w:hAnsi="Century" w:cs="Miriam"/>
          <w:b/>
          <w:spacing w:val="0"/>
          <w:szCs w:val="24"/>
          <w:rtl/>
        </w:rPr>
        <w:t xml:space="preserve"> </w:t>
      </w:r>
      <w:r w:rsidRPr="000E268E">
        <w:rPr>
          <w:rFonts w:ascii="Century" w:hAnsi="Century" w:cs="Miriam" w:hint="eastAsia"/>
          <w:b/>
          <w:spacing w:val="0"/>
          <w:szCs w:val="24"/>
          <w:rtl/>
        </w:rPr>
        <w:t>בנישואי</w:t>
      </w:r>
      <w:r w:rsidRPr="000E268E">
        <w:rPr>
          <w:rFonts w:ascii="Century" w:hAnsi="Century" w:cs="Miriam"/>
          <w:b/>
          <w:spacing w:val="0"/>
          <w:szCs w:val="24"/>
          <w:rtl/>
        </w:rPr>
        <w:t xml:space="preserve"> </w:t>
      </w:r>
      <w:r w:rsidRPr="000E268E">
        <w:rPr>
          <w:rFonts w:ascii="Century" w:hAnsi="Century" w:cs="Miriam" w:hint="eastAsia"/>
          <w:b/>
          <w:spacing w:val="0"/>
          <w:szCs w:val="24"/>
          <w:rtl/>
        </w:rPr>
        <w:t>תערובת</w:t>
      </w:r>
      <w:r w:rsidRPr="000E268E">
        <w:rPr>
          <w:rFonts w:ascii="Century" w:hAnsi="Century" w:cs="Miriam"/>
          <w:b/>
          <w:spacing w:val="0"/>
          <w:szCs w:val="24"/>
          <w:rtl/>
        </w:rPr>
        <w:t xml:space="preserve"> </w:t>
      </w:r>
      <w:r w:rsidRPr="000E268E">
        <w:rPr>
          <w:rFonts w:ascii="Century" w:hAnsi="Century" w:cs="Miriam" w:hint="eastAsia"/>
          <w:b/>
          <w:spacing w:val="0"/>
          <w:szCs w:val="24"/>
          <w:rtl/>
        </w:rPr>
        <w:t>לא</w:t>
      </w:r>
      <w:r w:rsidRPr="000E268E">
        <w:rPr>
          <w:rFonts w:ascii="Century" w:hAnsi="Century" w:cs="Miriam"/>
          <w:b/>
          <w:spacing w:val="0"/>
          <w:szCs w:val="24"/>
          <w:rtl/>
        </w:rPr>
        <w:t xml:space="preserve"> </w:t>
      </w:r>
      <w:r w:rsidRPr="000E268E">
        <w:rPr>
          <w:rFonts w:ascii="Century" w:hAnsi="Century" w:cs="Miriam" w:hint="eastAsia"/>
          <w:b/>
          <w:spacing w:val="0"/>
          <w:szCs w:val="24"/>
          <w:rtl/>
        </w:rPr>
        <w:t>יֵרתעו</w:t>
      </w:r>
      <w:r w:rsidRPr="000E268E">
        <w:rPr>
          <w:rFonts w:ascii="Century" w:hAnsi="Century" w:cs="Miriam"/>
          <w:b/>
          <w:spacing w:val="0"/>
          <w:szCs w:val="24"/>
          <w:rtl/>
        </w:rPr>
        <w:t xml:space="preserve"> </w:t>
      </w:r>
      <w:r w:rsidRPr="000E268E">
        <w:rPr>
          <w:rFonts w:ascii="Century" w:hAnsi="Century" w:cs="Miriam" w:hint="eastAsia"/>
          <w:b/>
          <w:spacing w:val="0"/>
          <w:szCs w:val="24"/>
          <w:rtl/>
        </w:rPr>
        <w:t>מהגשמת</w:t>
      </w:r>
      <w:r w:rsidRPr="000E268E">
        <w:rPr>
          <w:rFonts w:ascii="Century" w:hAnsi="Century" w:cs="Miriam"/>
          <w:b/>
          <w:spacing w:val="0"/>
          <w:szCs w:val="24"/>
          <w:rtl/>
        </w:rPr>
        <w:t xml:space="preserve"> </w:t>
      </w:r>
      <w:r w:rsidRPr="000E268E">
        <w:rPr>
          <w:rFonts w:ascii="Century" w:hAnsi="Century" w:cs="Miriam" w:hint="eastAsia"/>
          <w:b/>
          <w:spacing w:val="0"/>
          <w:szCs w:val="24"/>
          <w:rtl/>
        </w:rPr>
        <w:t>זכותם</w:t>
      </w:r>
      <w:r w:rsidRPr="000E268E">
        <w:rPr>
          <w:rFonts w:ascii="Century" w:hAnsi="Century" w:cs="Miriam"/>
          <w:b/>
          <w:spacing w:val="0"/>
          <w:szCs w:val="24"/>
          <w:rtl/>
        </w:rPr>
        <w:t xml:space="preserve"> </w:t>
      </w:r>
      <w:r w:rsidRPr="000E268E">
        <w:rPr>
          <w:rFonts w:ascii="Century" w:hAnsi="Century" w:cs="Miriam" w:hint="eastAsia"/>
          <w:b/>
          <w:spacing w:val="0"/>
          <w:szCs w:val="24"/>
          <w:rtl/>
        </w:rPr>
        <w:t>לעלות</w:t>
      </w:r>
      <w:r w:rsidRPr="000E268E">
        <w:rPr>
          <w:rFonts w:ascii="Century" w:hAnsi="Century" w:cs="Miriam"/>
          <w:b/>
          <w:spacing w:val="0"/>
          <w:szCs w:val="24"/>
          <w:rtl/>
        </w:rPr>
        <w:t xml:space="preserve"> </w:t>
      </w:r>
      <w:r w:rsidRPr="000E268E">
        <w:rPr>
          <w:rFonts w:ascii="Century" w:hAnsi="Century" w:cs="Miriam" w:hint="eastAsia"/>
          <w:b/>
          <w:spacing w:val="0"/>
          <w:szCs w:val="24"/>
          <w:rtl/>
        </w:rPr>
        <w:t>לישראל</w:t>
      </w:r>
      <w:r w:rsidRPr="000E268E">
        <w:rPr>
          <w:rFonts w:ascii="Century" w:hAnsi="Century" w:cs="Miriam"/>
          <w:b/>
          <w:spacing w:val="0"/>
          <w:szCs w:val="24"/>
          <w:rtl/>
        </w:rPr>
        <w:t xml:space="preserve">. </w:t>
      </w:r>
      <w:r w:rsidRPr="000E268E">
        <w:rPr>
          <w:rFonts w:ascii="Century" w:hAnsi="Century" w:cs="Miriam" w:hint="eastAsia"/>
          <w:b/>
          <w:spacing w:val="0"/>
          <w:szCs w:val="24"/>
          <w:rtl/>
        </w:rPr>
        <w:t>כזאת</w:t>
      </w:r>
      <w:r w:rsidRPr="000E268E">
        <w:rPr>
          <w:rFonts w:ascii="Century" w:hAnsi="Century" w:cs="Miriam"/>
          <w:b/>
          <w:spacing w:val="0"/>
          <w:szCs w:val="24"/>
          <w:rtl/>
        </w:rPr>
        <w:t xml:space="preserve">, </w:t>
      </w:r>
      <w:r w:rsidRPr="000E268E">
        <w:rPr>
          <w:rFonts w:ascii="Century" w:hAnsi="Century" w:cs="Miriam" w:hint="eastAsia"/>
          <w:b/>
          <w:spacing w:val="0"/>
          <w:szCs w:val="24"/>
          <w:rtl/>
        </w:rPr>
        <w:t>אך</w:t>
      </w:r>
      <w:r w:rsidRPr="000E268E">
        <w:rPr>
          <w:rFonts w:ascii="Century" w:hAnsi="Century" w:cs="Miriam"/>
          <w:b/>
          <w:spacing w:val="0"/>
          <w:szCs w:val="24"/>
          <w:rtl/>
        </w:rPr>
        <w:t xml:space="preserve"> </w:t>
      </w:r>
      <w:r w:rsidRPr="000E268E">
        <w:rPr>
          <w:rFonts w:ascii="Century" w:hAnsi="Century" w:cs="Miriam" w:hint="eastAsia"/>
          <w:b/>
          <w:spacing w:val="0"/>
          <w:szCs w:val="24"/>
          <w:rtl/>
        </w:rPr>
        <w:t>לא</w:t>
      </w:r>
      <w:r w:rsidRPr="000E268E">
        <w:rPr>
          <w:rFonts w:ascii="Century" w:hAnsi="Century" w:cs="Miriam"/>
          <w:b/>
          <w:spacing w:val="0"/>
          <w:szCs w:val="24"/>
          <w:rtl/>
        </w:rPr>
        <w:t xml:space="preserve"> </w:t>
      </w:r>
      <w:r w:rsidRPr="000E268E">
        <w:rPr>
          <w:rFonts w:ascii="Century" w:hAnsi="Century" w:cs="Miriam" w:hint="eastAsia"/>
          <w:b/>
          <w:spacing w:val="0"/>
          <w:szCs w:val="24"/>
          <w:rtl/>
        </w:rPr>
        <w:t>עוד</w:t>
      </w:r>
      <w:r w:rsidRPr="000E268E">
        <w:rPr>
          <w:rFonts w:ascii="Century" w:hAnsi="Century" w:cs="Miriam" w:hint="cs"/>
          <w:b/>
          <w:spacing w:val="0"/>
          <w:szCs w:val="24"/>
          <w:rtl/>
        </w:rPr>
        <w:t>"</w:t>
      </w:r>
      <w:r>
        <w:rPr>
          <w:rFonts w:hint="cs"/>
          <w:rtl/>
        </w:rPr>
        <w:t xml:space="preserve"> (עניין </w:t>
      </w:r>
      <w:r w:rsidRPr="004F470F">
        <w:rPr>
          <w:rFonts w:ascii="Century" w:hAnsi="Century" w:cs="Miriam" w:hint="cs"/>
          <w:b/>
          <w:spacing w:val="0"/>
          <w:szCs w:val="24"/>
          <w:rtl/>
        </w:rPr>
        <w:t>שטה</w:t>
      </w:r>
      <w:r>
        <w:rPr>
          <w:rFonts w:hint="cs"/>
          <w:rtl/>
        </w:rPr>
        <w:t xml:space="preserve">, פסקאות 11-10. וראו עוד: ע"פ 3363/98 </w:t>
      </w:r>
      <w:r w:rsidRPr="004F470F">
        <w:rPr>
          <w:rFonts w:ascii="Century" w:hAnsi="Century" w:cs="Miriam" w:hint="cs"/>
          <w:b/>
          <w:spacing w:val="0"/>
          <w:szCs w:val="24"/>
          <w:rtl/>
        </w:rPr>
        <w:t>קניאז'ינסקי נ' מדינת ישראל</w:t>
      </w:r>
      <w:r>
        <w:rPr>
          <w:rFonts w:hint="cs"/>
          <w:rtl/>
        </w:rPr>
        <w:t xml:space="preserve">, פ"ד נג(2) 479, 489 (1999); </w:t>
      </w:r>
      <w:r w:rsidRPr="0091284B">
        <w:rPr>
          <w:rFonts w:hint="eastAsia"/>
          <w:rtl/>
        </w:rPr>
        <w:t>בג</w:t>
      </w:r>
      <w:r w:rsidRPr="0091284B">
        <w:rPr>
          <w:rtl/>
        </w:rPr>
        <w:t>"</w:t>
      </w:r>
      <w:r w:rsidRPr="0091284B">
        <w:rPr>
          <w:rFonts w:hint="eastAsia"/>
          <w:rtl/>
        </w:rPr>
        <w:t>ץ</w:t>
      </w:r>
      <w:r w:rsidRPr="0091284B">
        <w:rPr>
          <w:rtl/>
        </w:rPr>
        <w:t xml:space="preserve"> 8030/03‏ </w:t>
      </w:r>
      <w:r w:rsidRPr="0091284B">
        <w:rPr>
          <w:rFonts w:ascii="Century" w:hAnsi="Century" w:cs="Miriam" w:hint="eastAsia"/>
          <w:b/>
          <w:spacing w:val="0"/>
          <w:szCs w:val="24"/>
          <w:rtl/>
        </w:rPr>
        <w:t>סמוילוב</w:t>
      </w:r>
      <w:r w:rsidRPr="0091284B">
        <w:rPr>
          <w:rFonts w:ascii="Century" w:hAnsi="Century" w:cs="Miriam"/>
          <w:b/>
          <w:spacing w:val="0"/>
          <w:szCs w:val="24"/>
          <w:rtl/>
        </w:rPr>
        <w:t xml:space="preserve"> </w:t>
      </w:r>
      <w:r w:rsidRPr="0091284B">
        <w:rPr>
          <w:rFonts w:ascii="Century" w:hAnsi="Century" w:cs="Miriam" w:hint="eastAsia"/>
          <w:b/>
          <w:spacing w:val="0"/>
          <w:szCs w:val="24"/>
          <w:rtl/>
        </w:rPr>
        <w:t>נ</w:t>
      </w:r>
      <w:r w:rsidRPr="0091284B">
        <w:rPr>
          <w:rFonts w:ascii="Century" w:hAnsi="Century" w:cs="Miriam"/>
          <w:b/>
          <w:spacing w:val="0"/>
          <w:szCs w:val="24"/>
          <w:rtl/>
        </w:rPr>
        <w:t xml:space="preserve">' </w:t>
      </w:r>
      <w:r w:rsidRPr="0091284B">
        <w:rPr>
          <w:rFonts w:ascii="Century" w:hAnsi="Century" w:cs="Miriam" w:hint="eastAsia"/>
          <w:b/>
          <w:spacing w:val="0"/>
          <w:szCs w:val="24"/>
          <w:rtl/>
        </w:rPr>
        <w:t>משרד</w:t>
      </w:r>
      <w:r w:rsidRPr="0091284B">
        <w:rPr>
          <w:rFonts w:ascii="Century" w:hAnsi="Century" w:cs="Miriam"/>
          <w:b/>
          <w:spacing w:val="0"/>
          <w:szCs w:val="24"/>
          <w:rtl/>
        </w:rPr>
        <w:t xml:space="preserve"> </w:t>
      </w:r>
      <w:r w:rsidRPr="0091284B">
        <w:rPr>
          <w:rFonts w:ascii="Century" w:hAnsi="Century" w:cs="Miriam" w:hint="eastAsia"/>
          <w:b/>
          <w:spacing w:val="0"/>
          <w:szCs w:val="24"/>
          <w:rtl/>
        </w:rPr>
        <w:t>הפנים</w:t>
      </w:r>
      <w:r w:rsidRPr="0091284B">
        <w:rPr>
          <w:rtl/>
        </w:rPr>
        <w:t xml:space="preserve">, </w:t>
      </w:r>
      <w:r w:rsidRPr="0091284B">
        <w:rPr>
          <w:rFonts w:hint="eastAsia"/>
          <w:rtl/>
        </w:rPr>
        <w:t>פ</w:t>
      </w:r>
      <w:r w:rsidRPr="0091284B">
        <w:rPr>
          <w:rtl/>
        </w:rPr>
        <w:t>"</w:t>
      </w:r>
      <w:r w:rsidRPr="0091284B">
        <w:rPr>
          <w:rFonts w:hint="eastAsia"/>
          <w:rtl/>
        </w:rPr>
        <w:t>ד</w:t>
      </w:r>
      <w:r w:rsidRPr="0091284B">
        <w:rPr>
          <w:rtl/>
        </w:rPr>
        <w:t xml:space="preserve"> </w:t>
      </w:r>
      <w:r w:rsidRPr="0091284B">
        <w:rPr>
          <w:rFonts w:hint="eastAsia"/>
          <w:rtl/>
        </w:rPr>
        <w:t>נח</w:t>
      </w:r>
      <w:r w:rsidRPr="0091284B">
        <w:rPr>
          <w:rtl/>
        </w:rPr>
        <w:t>(6) 115</w:t>
      </w:r>
      <w:r>
        <w:rPr>
          <w:rFonts w:hint="cs"/>
          <w:rtl/>
        </w:rPr>
        <w:t>, 120, 123</w:t>
      </w:r>
      <w:r w:rsidRPr="0091284B">
        <w:rPr>
          <w:rtl/>
        </w:rPr>
        <w:t xml:space="preserve"> (2004) (</w:t>
      </w:r>
      <w:r w:rsidRPr="0091284B">
        <w:rPr>
          <w:rFonts w:hint="eastAsia"/>
          <w:rtl/>
        </w:rPr>
        <w:t>להלן</w:t>
      </w:r>
      <w:r w:rsidRPr="0091284B">
        <w:rPr>
          <w:rtl/>
        </w:rPr>
        <w:t xml:space="preserve">: </w:t>
      </w:r>
      <w:r w:rsidRPr="0091284B">
        <w:rPr>
          <w:rFonts w:ascii="Century" w:hAnsi="Century" w:cs="Miriam" w:hint="eastAsia"/>
          <w:b/>
          <w:spacing w:val="0"/>
          <w:szCs w:val="24"/>
          <w:rtl/>
        </w:rPr>
        <w:t>עניין</w:t>
      </w:r>
      <w:r w:rsidRPr="0091284B">
        <w:rPr>
          <w:rFonts w:ascii="Century" w:hAnsi="Century" w:cs="Miriam"/>
          <w:b/>
          <w:spacing w:val="0"/>
          <w:szCs w:val="24"/>
          <w:rtl/>
        </w:rPr>
        <w:t xml:space="preserve"> </w:t>
      </w:r>
      <w:r w:rsidRPr="0091284B">
        <w:rPr>
          <w:rFonts w:ascii="Century" w:hAnsi="Century" w:cs="Miriam" w:hint="eastAsia"/>
          <w:b/>
          <w:spacing w:val="0"/>
          <w:szCs w:val="24"/>
          <w:rtl/>
        </w:rPr>
        <w:t>סמוילוב</w:t>
      </w:r>
      <w:r w:rsidRPr="0091284B">
        <w:rPr>
          <w:rtl/>
        </w:rPr>
        <w:t>)</w:t>
      </w:r>
      <w:r>
        <w:rPr>
          <w:rFonts w:hint="cs"/>
          <w:rtl/>
        </w:rPr>
        <w:t xml:space="preserve">; </w:t>
      </w:r>
      <w:r w:rsidRPr="00D83C6A">
        <w:rPr>
          <w:rFonts w:hint="eastAsia"/>
          <w:rtl/>
        </w:rPr>
        <w:t>בג</w:t>
      </w:r>
      <w:r w:rsidRPr="00D83C6A">
        <w:rPr>
          <w:rtl/>
        </w:rPr>
        <w:t>"</w:t>
      </w:r>
      <w:r w:rsidRPr="00D83C6A">
        <w:rPr>
          <w:rFonts w:hint="eastAsia"/>
          <w:rtl/>
        </w:rPr>
        <w:t>ץ</w:t>
      </w:r>
      <w:r w:rsidRPr="00D83C6A">
        <w:rPr>
          <w:rtl/>
        </w:rPr>
        <w:t xml:space="preserve"> 11406/03 </w:t>
      </w:r>
      <w:r w:rsidRPr="00D83C6A">
        <w:rPr>
          <w:rFonts w:ascii="Century" w:hAnsi="Century" w:cs="Miriam" w:hint="eastAsia"/>
          <w:b/>
          <w:spacing w:val="0"/>
          <w:szCs w:val="24"/>
          <w:rtl/>
        </w:rPr>
        <w:t>פרוסקורוב</w:t>
      </w:r>
      <w:r w:rsidRPr="00D83C6A">
        <w:rPr>
          <w:rFonts w:ascii="Century" w:hAnsi="Century" w:cs="Miriam"/>
          <w:b/>
          <w:spacing w:val="0"/>
          <w:szCs w:val="24"/>
          <w:rtl/>
        </w:rPr>
        <w:t xml:space="preserve"> </w:t>
      </w:r>
      <w:r w:rsidRPr="00D83C6A">
        <w:rPr>
          <w:rFonts w:ascii="Century" w:hAnsi="Century" w:cs="Miriam" w:hint="eastAsia"/>
          <w:b/>
          <w:spacing w:val="0"/>
          <w:szCs w:val="24"/>
          <w:rtl/>
        </w:rPr>
        <w:t>נ</w:t>
      </w:r>
      <w:r w:rsidRPr="00D83C6A">
        <w:rPr>
          <w:rFonts w:ascii="Century" w:hAnsi="Century" w:cs="Miriam"/>
          <w:b/>
          <w:spacing w:val="0"/>
          <w:szCs w:val="24"/>
          <w:rtl/>
        </w:rPr>
        <w:t xml:space="preserve">' </w:t>
      </w:r>
      <w:r w:rsidRPr="00D83C6A">
        <w:rPr>
          <w:rFonts w:ascii="Century" w:hAnsi="Century" w:cs="Miriam" w:hint="eastAsia"/>
          <w:b/>
          <w:spacing w:val="0"/>
          <w:szCs w:val="24"/>
          <w:rtl/>
        </w:rPr>
        <w:t>שר</w:t>
      </w:r>
      <w:r w:rsidRPr="00D83C6A">
        <w:rPr>
          <w:rFonts w:ascii="Century" w:hAnsi="Century" w:cs="Miriam"/>
          <w:b/>
          <w:spacing w:val="0"/>
          <w:szCs w:val="24"/>
          <w:rtl/>
        </w:rPr>
        <w:t xml:space="preserve"> </w:t>
      </w:r>
      <w:r w:rsidRPr="00D83C6A">
        <w:rPr>
          <w:rFonts w:ascii="Century" w:hAnsi="Century" w:cs="Miriam" w:hint="eastAsia"/>
          <w:b/>
          <w:spacing w:val="0"/>
          <w:szCs w:val="24"/>
          <w:rtl/>
        </w:rPr>
        <w:t>הפנים</w:t>
      </w:r>
      <w:r>
        <w:rPr>
          <w:rFonts w:hint="cs"/>
          <w:rtl/>
        </w:rPr>
        <w:t>, פסקה 6</w:t>
      </w:r>
      <w:r w:rsidRPr="00D83C6A">
        <w:rPr>
          <w:rtl/>
        </w:rPr>
        <w:t xml:space="preserve"> (6.12.2004)</w:t>
      </w:r>
      <w:r>
        <w:rPr>
          <w:rFonts w:hint="cs"/>
          <w:rtl/>
        </w:rPr>
        <w:t xml:space="preserve">; </w:t>
      </w:r>
      <w:r w:rsidRPr="00D83C6A">
        <w:rPr>
          <w:rFonts w:hint="eastAsia"/>
          <w:rtl/>
        </w:rPr>
        <w:t>בג</w:t>
      </w:r>
      <w:r w:rsidRPr="00D83C6A">
        <w:rPr>
          <w:rtl/>
        </w:rPr>
        <w:t>"</w:t>
      </w:r>
      <w:r w:rsidRPr="00D83C6A">
        <w:rPr>
          <w:rFonts w:hint="eastAsia"/>
          <w:rtl/>
        </w:rPr>
        <w:t>ץ</w:t>
      </w:r>
      <w:r w:rsidRPr="00D83C6A">
        <w:rPr>
          <w:rtl/>
        </w:rPr>
        <w:t xml:space="preserve"> 1292/12 </w:t>
      </w:r>
      <w:r w:rsidRPr="00D83C6A">
        <w:rPr>
          <w:rFonts w:ascii="Century" w:hAnsi="Century" w:cs="Miriam" w:hint="eastAsia"/>
          <w:b/>
          <w:spacing w:val="0"/>
          <w:szCs w:val="24"/>
          <w:rtl/>
        </w:rPr>
        <w:t>ליבשיץ</w:t>
      </w:r>
      <w:r w:rsidRPr="00D83C6A">
        <w:rPr>
          <w:rFonts w:ascii="Century" w:hAnsi="Century" w:cs="Miriam"/>
          <w:b/>
          <w:spacing w:val="0"/>
          <w:szCs w:val="24"/>
          <w:rtl/>
        </w:rPr>
        <w:t xml:space="preserve"> </w:t>
      </w:r>
      <w:r w:rsidRPr="00D83C6A">
        <w:rPr>
          <w:rFonts w:ascii="Century" w:hAnsi="Century" w:cs="Miriam" w:hint="eastAsia"/>
          <w:b/>
          <w:spacing w:val="0"/>
          <w:szCs w:val="24"/>
          <w:rtl/>
        </w:rPr>
        <w:t>נ</w:t>
      </w:r>
      <w:r w:rsidRPr="00D83C6A">
        <w:rPr>
          <w:rFonts w:ascii="Century" w:hAnsi="Century" w:cs="Miriam"/>
          <w:b/>
          <w:spacing w:val="0"/>
          <w:szCs w:val="24"/>
          <w:rtl/>
        </w:rPr>
        <w:t xml:space="preserve">' </w:t>
      </w:r>
      <w:r w:rsidRPr="00D83C6A">
        <w:rPr>
          <w:rFonts w:ascii="Century" w:hAnsi="Century" w:cs="Miriam" w:hint="eastAsia"/>
          <w:b/>
          <w:spacing w:val="0"/>
          <w:szCs w:val="24"/>
          <w:rtl/>
        </w:rPr>
        <w:t>שר</w:t>
      </w:r>
      <w:r w:rsidRPr="00D83C6A">
        <w:rPr>
          <w:rFonts w:ascii="Century" w:hAnsi="Century" w:cs="Miriam"/>
          <w:b/>
          <w:spacing w:val="0"/>
          <w:szCs w:val="24"/>
          <w:rtl/>
        </w:rPr>
        <w:t xml:space="preserve"> </w:t>
      </w:r>
      <w:r w:rsidRPr="00D83C6A">
        <w:rPr>
          <w:rFonts w:ascii="Century" w:hAnsi="Century" w:cs="Miriam" w:hint="eastAsia"/>
          <w:b/>
          <w:spacing w:val="0"/>
          <w:szCs w:val="24"/>
          <w:rtl/>
        </w:rPr>
        <w:t>הפנים</w:t>
      </w:r>
      <w:r>
        <w:rPr>
          <w:rFonts w:hint="cs"/>
          <w:rtl/>
        </w:rPr>
        <w:t xml:space="preserve">, פסקה </w:t>
      </w:r>
      <w:r>
        <w:rPr>
          <w:rFonts w:hint="cs"/>
          <w:rtl/>
        </w:rPr>
        <w:lastRenderedPageBreak/>
        <w:t>14</w:t>
      </w:r>
      <w:r w:rsidRPr="00D83C6A">
        <w:rPr>
          <w:rtl/>
        </w:rPr>
        <w:t xml:space="preserve"> (</w:t>
      </w:r>
      <w:r>
        <w:rPr>
          <w:rFonts w:hint="cs"/>
          <w:rtl/>
        </w:rPr>
        <w:t>5.3</w:t>
      </w:r>
      <w:r w:rsidRPr="00D83C6A">
        <w:rPr>
          <w:rtl/>
        </w:rPr>
        <w:t>.2014)</w:t>
      </w:r>
      <w:r>
        <w:rPr>
          <w:rFonts w:hint="cs"/>
          <w:rtl/>
        </w:rPr>
        <w:t xml:space="preserve">; </w:t>
      </w:r>
      <w:r w:rsidRPr="00D83C6A">
        <w:rPr>
          <w:rFonts w:hint="eastAsia"/>
          <w:rtl/>
        </w:rPr>
        <w:t>בג</w:t>
      </w:r>
      <w:r w:rsidRPr="00D83C6A">
        <w:rPr>
          <w:rtl/>
        </w:rPr>
        <w:t>"</w:t>
      </w:r>
      <w:r w:rsidRPr="00D83C6A">
        <w:rPr>
          <w:rFonts w:hint="eastAsia"/>
          <w:rtl/>
        </w:rPr>
        <w:t>ץ</w:t>
      </w:r>
      <w:r w:rsidRPr="00D83C6A">
        <w:rPr>
          <w:rtl/>
        </w:rPr>
        <w:t xml:space="preserve"> 7321/12 </w:t>
      </w:r>
      <w:r w:rsidRPr="00D83C6A">
        <w:rPr>
          <w:rFonts w:ascii="Century" w:hAnsi="Century" w:cs="Miriam" w:hint="eastAsia"/>
          <w:b/>
          <w:spacing w:val="0"/>
          <w:szCs w:val="24"/>
          <w:rtl/>
        </w:rPr>
        <w:t>לזרב</w:t>
      </w:r>
      <w:r w:rsidRPr="00D83C6A">
        <w:rPr>
          <w:rFonts w:ascii="Century" w:hAnsi="Century" w:cs="Miriam"/>
          <w:b/>
          <w:spacing w:val="0"/>
          <w:szCs w:val="24"/>
          <w:rtl/>
        </w:rPr>
        <w:t xml:space="preserve"> </w:t>
      </w:r>
      <w:r w:rsidRPr="00D83C6A">
        <w:rPr>
          <w:rFonts w:ascii="Century" w:hAnsi="Century" w:cs="Miriam" w:hint="eastAsia"/>
          <w:b/>
          <w:spacing w:val="0"/>
          <w:szCs w:val="24"/>
          <w:rtl/>
        </w:rPr>
        <w:t>נ</w:t>
      </w:r>
      <w:r w:rsidRPr="00D83C6A">
        <w:rPr>
          <w:rFonts w:ascii="Century" w:hAnsi="Century" w:cs="Miriam"/>
          <w:b/>
          <w:spacing w:val="0"/>
          <w:szCs w:val="24"/>
          <w:rtl/>
        </w:rPr>
        <w:t xml:space="preserve">' </w:t>
      </w:r>
      <w:r w:rsidRPr="00D83C6A">
        <w:rPr>
          <w:rFonts w:ascii="Century" w:hAnsi="Century" w:cs="Miriam" w:hint="eastAsia"/>
          <w:b/>
          <w:spacing w:val="0"/>
          <w:szCs w:val="24"/>
          <w:rtl/>
        </w:rPr>
        <w:t>רשות</w:t>
      </w:r>
      <w:r w:rsidRPr="00D83C6A">
        <w:rPr>
          <w:rFonts w:ascii="Century" w:hAnsi="Century" w:cs="Miriam"/>
          <w:b/>
          <w:spacing w:val="0"/>
          <w:szCs w:val="24"/>
          <w:rtl/>
        </w:rPr>
        <w:t xml:space="preserve"> </w:t>
      </w:r>
      <w:r w:rsidRPr="00D83C6A">
        <w:rPr>
          <w:rFonts w:ascii="Century" w:hAnsi="Century" w:cs="Miriam" w:hint="eastAsia"/>
          <w:b/>
          <w:spacing w:val="0"/>
          <w:szCs w:val="24"/>
          <w:rtl/>
        </w:rPr>
        <w:t>האוכלוסין</w:t>
      </w:r>
      <w:r w:rsidRPr="00D83C6A">
        <w:rPr>
          <w:rFonts w:ascii="Century" w:hAnsi="Century" w:cs="Miriam"/>
          <w:b/>
          <w:spacing w:val="0"/>
          <w:szCs w:val="24"/>
          <w:rtl/>
        </w:rPr>
        <w:t xml:space="preserve">, </w:t>
      </w:r>
      <w:r w:rsidRPr="00D83C6A">
        <w:rPr>
          <w:rFonts w:ascii="Century" w:hAnsi="Century" w:cs="Miriam" w:hint="eastAsia"/>
          <w:b/>
          <w:spacing w:val="0"/>
          <w:szCs w:val="24"/>
          <w:rtl/>
        </w:rPr>
        <w:t>ההגירה</w:t>
      </w:r>
      <w:r w:rsidRPr="00D83C6A">
        <w:rPr>
          <w:rFonts w:ascii="Century" w:hAnsi="Century" w:cs="Miriam"/>
          <w:b/>
          <w:spacing w:val="0"/>
          <w:szCs w:val="24"/>
          <w:rtl/>
        </w:rPr>
        <w:t xml:space="preserve"> </w:t>
      </w:r>
      <w:r w:rsidRPr="00D83C6A">
        <w:rPr>
          <w:rFonts w:ascii="Century" w:hAnsi="Century" w:cs="Miriam" w:hint="eastAsia"/>
          <w:b/>
          <w:spacing w:val="0"/>
          <w:szCs w:val="24"/>
          <w:rtl/>
        </w:rPr>
        <w:t>ומעברי</w:t>
      </w:r>
      <w:r w:rsidRPr="00D83C6A">
        <w:rPr>
          <w:rFonts w:ascii="Century" w:hAnsi="Century" w:cs="Miriam"/>
          <w:b/>
          <w:spacing w:val="0"/>
          <w:szCs w:val="24"/>
          <w:rtl/>
        </w:rPr>
        <w:t xml:space="preserve"> </w:t>
      </w:r>
      <w:r w:rsidRPr="00D83C6A">
        <w:rPr>
          <w:rFonts w:ascii="Century" w:hAnsi="Century" w:cs="Miriam" w:hint="eastAsia"/>
          <w:b/>
          <w:spacing w:val="0"/>
          <w:szCs w:val="24"/>
          <w:rtl/>
        </w:rPr>
        <w:t>הגבול</w:t>
      </w:r>
      <w:r>
        <w:rPr>
          <w:rFonts w:hint="cs"/>
          <w:rtl/>
        </w:rPr>
        <w:t>, פסקה 10</w:t>
      </w:r>
      <w:r w:rsidRPr="00D83C6A">
        <w:rPr>
          <w:rtl/>
        </w:rPr>
        <w:t xml:space="preserve"> (19.</w:t>
      </w:r>
      <w:r>
        <w:rPr>
          <w:rFonts w:hint="cs"/>
          <w:rtl/>
        </w:rPr>
        <w:t>4</w:t>
      </w:r>
      <w:r w:rsidRPr="00D83C6A">
        <w:rPr>
          <w:rtl/>
        </w:rPr>
        <w:t>.2017)</w:t>
      </w:r>
      <w:r>
        <w:rPr>
          <w:rFonts w:hint="cs"/>
          <w:rtl/>
        </w:rPr>
        <w:t xml:space="preserve">; </w:t>
      </w:r>
      <w:r w:rsidRPr="00D83C6A">
        <w:rPr>
          <w:rtl/>
        </w:rPr>
        <w:t xml:space="preserve">בג"ץ 5517/16 </w:t>
      </w:r>
      <w:r w:rsidRPr="00D83C6A">
        <w:rPr>
          <w:rFonts w:ascii="Century" w:hAnsi="Century" w:cs="Miriam"/>
          <w:b/>
          <w:spacing w:val="0"/>
          <w:szCs w:val="24"/>
          <w:rtl/>
        </w:rPr>
        <w:t>יעקובוב נ' שר הפנים</w:t>
      </w:r>
      <w:r>
        <w:rPr>
          <w:rFonts w:hint="cs"/>
          <w:rtl/>
        </w:rPr>
        <w:t>, פסקה 24</w:t>
      </w:r>
      <w:r w:rsidRPr="00D83C6A">
        <w:rPr>
          <w:rtl/>
        </w:rPr>
        <w:t xml:space="preserve"> (24.</w:t>
      </w:r>
      <w:r>
        <w:rPr>
          <w:rFonts w:hint="cs"/>
          <w:rtl/>
        </w:rPr>
        <w:t>4</w:t>
      </w:r>
      <w:r w:rsidRPr="00D83C6A">
        <w:rPr>
          <w:rtl/>
        </w:rPr>
        <w:t>.2018)</w:t>
      </w:r>
      <w:r>
        <w:rPr>
          <w:rFonts w:hint="cs"/>
          <w:rtl/>
        </w:rPr>
        <w:t xml:space="preserve">; עניין </w:t>
      </w:r>
      <w:r w:rsidRPr="004F470F">
        <w:rPr>
          <w:rFonts w:ascii="Century" w:hAnsi="Century" w:cs="Miriam" w:hint="cs"/>
          <w:b/>
          <w:spacing w:val="0"/>
          <w:szCs w:val="24"/>
          <w:rtl/>
        </w:rPr>
        <w:t>ברספורד</w:t>
      </w:r>
      <w:r>
        <w:rPr>
          <w:rFonts w:hint="cs"/>
          <w:rtl/>
        </w:rPr>
        <w:t xml:space="preserve">, עמוד 834; עניין </w:t>
      </w:r>
      <w:r w:rsidRPr="00CF1F9D">
        <w:rPr>
          <w:rFonts w:ascii="Century" w:hAnsi="Century" w:cs="Miriam" w:hint="cs"/>
          <w:b/>
          <w:spacing w:val="0"/>
          <w:szCs w:val="24"/>
          <w:rtl/>
        </w:rPr>
        <w:t>גורודצקי</w:t>
      </w:r>
      <w:r>
        <w:rPr>
          <w:rFonts w:hint="cs"/>
          <w:rtl/>
        </w:rPr>
        <w:t xml:space="preserve">, פסקאות 35, 39; עניין </w:t>
      </w:r>
      <w:r w:rsidRPr="00D83C6A">
        <w:rPr>
          <w:rFonts w:ascii="Century" w:hAnsi="Century" w:cs="Miriam" w:hint="cs"/>
          <w:b/>
          <w:spacing w:val="0"/>
          <w:szCs w:val="24"/>
          <w:rtl/>
        </w:rPr>
        <w:t>סטמקה</w:t>
      </w:r>
      <w:r>
        <w:rPr>
          <w:rFonts w:hint="cs"/>
          <w:rtl/>
        </w:rPr>
        <w:t>, עמודים 755, 758-757).</w:t>
      </w:r>
    </w:p>
    <w:p w:rsidR="00872589" w:rsidRDefault="00872589" w:rsidP="00872589">
      <w:pPr>
        <w:pStyle w:val="Ruller41"/>
        <w:rPr>
          <w:rtl/>
        </w:rPr>
      </w:pPr>
    </w:p>
    <w:p w:rsidR="00872589" w:rsidRDefault="00872589" w:rsidP="00872589">
      <w:pPr>
        <w:pStyle w:val="Ruller41"/>
        <w:rPr>
          <w:rtl/>
        </w:rPr>
      </w:pPr>
      <w:r>
        <w:rPr>
          <w:rtl/>
        </w:rPr>
        <w:tab/>
      </w:r>
      <w:r>
        <w:rPr>
          <w:rFonts w:hint="cs"/>
          <w:rtl/>
        </w:rPr>
        <w:t xml:space="preserve">הנה כי כן, על אף שניתן לפרוט את תכליותיו של סעיף 4א לתכליות-משנה קונקרטיות, אל להן להאפיל על העיקר, על תכלית-העל של החוק. שומה עלינו לזכור כי סעיף 4א הוא לבנה אחת במבנה שלם; שאף סעיף זה נועד, בסופו של יום, לשרת את תכליתו המרכזית של חוק השבות </w:t>
      </w:r>
      <w:r>
        <w:rPr>
          <w:rtl/>
        </w:rPr>
        <w:t>–</w:t>
      </w:r>
      <w:r>
        <w:rPr>
          <w:rFonts w:hint="cs"/>
          <w:rtl/>
        </w:rPr>
        <w:t xml:space="preserve"> השבת היהודים למולדתם. אי לכך, </w:t>
      </w:r>
      <w:r w:rsidRPr="00CF45B1">
        <w:rPr>
          <w:rFonts w:ascii="Century" w:hAnsi="Century" w:cs="Miriam" w:hint="cs"/>
          <w:b/>
          <w:spacing w:val="0"/>
          <w:szCs w:val="24"/>
          <w:rtl/>
        </w:rPr>
        <w:t xml:space="preserve">"הגם שהחוק ביקש להרחיב את מעגל הזכאים לשבות אף למי שאינם יהודים, לא באה הרחבה זו לָעולם אלא כדי לאפשר </w:t>
      </w:r>
      <w:r w:rsidRPr="00CF45B1">
        <w:rPr>
          <w:rFonts w:ascii="Century" w:hAnsi="Century" w:cs="Miriam" w:hint="cs"/>
          <w:b/>
          <w:spacing w:val="0"/>
          <w:szCs w:val="24"/>
          <w:u w:val="single"/>
          <w:rtl/>
        </w:rPr>
        <w:t>ליהודים</w:t>
      </w:r>
      <w:r w:rsidRPr="00CF45B1">
        <w:rPr>
          <w:rFonts w:ascii="Century" w:hAnsi="Century" w:cs="Miriam" w:hint="cs"/>
          <w:b/>
          <w:spacing w:val="0"/>
          <w:szCs w:val="24"/>
          <w:rtl/>
        </w:rPr>
        <w:t xml:space="preserve"> לעלות ארצה"</w:t>
      </w:r>
      <w:r w:rsidRPr="00CF45B1">
        <w:rPr>
          <w:rFonts w:ascii="Century" w:hAnsi="Century" w:hint="cs"/>
          <w:rtl/>
        </w:rPr>
        <w:t>;</w:t>
      </w:r>
      <w:r>
        <w:rPr>
          <w:rFonts w:hint="cs"/>
          <w:rtl/>
        </w:rPr>
        <w:t xml:space="preserve"> זכאות בני המשפחה שאינם יהודים היא אפוא, בעיקרה, </w:t>
      </w:r>
      <w:r w:rsidRPr="00C212AB">
        <w:rPr>
          <w:rFonts w:ascii="Century" w:hAnsi="Century" w:cs="Miriam" w:hint="cs"/>
          <w:b/>
          <w:spacing w:val="0"/>
          <w:szCs w:val="24"/>
          <w:rtl/>
        </w:rPr>
        <w:t>"</w:t>
      </w:r>
      <w:r>
        <w:rPr>
          <w:rFonts w:ascii="Century" w:hAnsi="Century" w:cs="Miriam" w:hint="cs"/>
          <w:b/>
          <w:spacing w:val="0"/>
          <w:szCs w:val="24"/>
          <w:rtl/>
        </w:rPr>
        <w:t>כ</w:t>
      </w:r>
      <w:r w:rsidRPr="00C212AB">
        <w:rPr>
          <w:rFonts w:ascii="Century" w:hAnsi="Century" w:cs="Miriam" w:hint="cs"/>
          <w:b/>
          <w:spacing w:val="0"/>
          <w:szCs w:val="24"/>
          <w:rtl/>
        </w:rPr>
        <w:t>לי-עזר להגשמת תכליתו המרכזית של חוק השבות</w:t>
      </w:r>
      <w:r>
        <w:rPr>
          <w:rFonts w:ascii="Century" w:hAnsi="Century" w:cs="Miriam" w:hint="cs"/>
          <w:b/>
          <w:spacing w:val="0"/>
          <w:szCs w:val="24"/>
          <w:rtl/>
        </w:rPr>
        <w:t>; לא אך שכל יהודי באשר הוא יהא זכאי לעלות לישראל, אלא שיהודים אכן יעלו לישראל</w:t>
      </w:r>
      <w:r w:rsidRPr="00C212AB">
        <w:rPr>
          <w:rFonts w:ascii="Century" w:hAnsi="Century" w:cs="Miriam" w:hint="cs"/>
          <w:b/>
          <w:spacing w:val="0"/>
          <w:szCs w:val="24"/>
          <w:rtl/>
        </w:rPr>
        <w:t>"</w:t>
      </w:r>
      <w:r>
        <w:rPr>
          <w:rFonts w:hint="cs"/>
          <w:rtl/>
        </w:rPr>
        <w:t xml:space="preserve"> (עניין </w:t>
      </w:r>
      <w:r w:rsidRPr="00C212AB">
        <w:rPr>
          <w:rFonts w:ascii="Century" w:hAnsi="Century" w:cs="Miriam" w:hint="cs"/>
          <w:b/>
          <w:spacing w:val="0"/>
          <w:szCs w:val="24"/>
          <w:rtl/>
        </w:rPr>
        <w:t>סמוילוב</w:t>
      </w:r>
      <w:r>
        <w:rPr>
          <w:rFonts w:hint="cs"/>
          <w:rtl/>
        </w:rPr>
        <w:t xml:space="preserve">, עמוד 120; ההדגשה במקור </w:t>
      </w:r>
      <w:r>
        <w:rPr>
          <w:rtl/>
        </w:rPr>
        <w:t>–</w:t>
      </w:r>
      <w:r>
        <w:rPr>
          <w:rFonts w:hint="cs"/>
          <w:rtl/>
        </w:rPr>
        <w:t xml:space="preserve"> נ' ס').</w:t>
      </w:r>
    </w:p>
    <w:p w:rsidR="00872589" w:rsidRPr="0076033E" w:rsidRDefault="00872589" w:rsidP="00872589">
      <w:pPr>
        <w:pStyle w:val="Ruller41"/>
        <w:rPr>
          <w:rtl/>
        </w:rPr>
      </w:pPr>
    </w:p>
    <w:p w:rsidR="00872589" w:rsidRDefault="00872589" w:rsidP="00872589">
      <w:pPr>
        <w:pStyle w:val="Ruller41"/>
        <w:rPr>
          <w:rtl/>
        </w:rPr>
      </w:pPr>
      <w:r>
        <w:rPr>
          <w:rtl/>
        </w:rPr>
        <w:tab/>
      </w:r>
      <w:r>
        <w:rPr>
          <w:rFonts w:hint="cs"/>
          <w:rtl/>
        </w:rPr>
        <w:t xml:space="preserve">עד כאן ביחס לתכליות סעיף 4א, לסדר הקדימוּת ולמארג היחסים שביניהן. בטרם אפנה לבחינת השאלה הפרשנית דנן, אדרש לסוגיה נוספת, מקדימה, אשר לה חשיבות רבה לענייננו, ושאותה הזכרתי בקצרה לעיל: שאלת קיומו של מדרג בין הזכאים השונים לשבות מכוח סעיף 4א(א). מאחר שחברי, מ"מ הנשיא, משקיף על הסוגיה באופן שונה מהגישה שננקטה בעבר בבית משפט זה, כמו גם מזו שהובעה בדעת הרוב בפסק הדין נושא הדיון הנוסף, ארחיב על כך קמעא. </w:t>
      </w:r>
    </w:p>
    <w:p w:rsidR="00872589" w:rsidRPr="00DE44D4" w:rsidRDefault="00872589" w:rsidP="00872589">
      <w:pPr>
        <w:pStyle w:val="Ruller41"/>
        <w:rPr>
          <w:rtl/>
        </w:rPr>
      </w:pPr>
    </w:p>
    <w:p w:rsidR="00872589" w:rsidRDefault="00872589" w:rsidP="00872589">
      <w:pPr>
        <w:pStyle w:val="Ruller41"/>
        <w:rPr>
          <w:rFonts w:ascii="Century" w:hAnsi="Century" w:cs="Miriam"/>
          <w:b/>
          <w:spacing w:val="0"/>
          <w:szCs w:val="24"/>
          <w:rtl/>
        </w:rPr>
      </w:pPr>
      <w:r w:rsidRPr="00BB4232">
        <w:rPr>
          <w:rFonts w:ascii="Century" w:hAnsi="Century" w:cs="Miriam" w:hint="cs"/>
          <w:b/>
          <w:spacing w:val="0"/>
          <w:szCs w:val="24"/>
          <w:rtl/>
        </w:rPr>
        <w:t>האם קיים מדרג נורמטיבי בין הזכאים השונים לשבות?</w:t>
      </w:r>
    </w:p>
    <w:p w:rsidR="00216C97" w:rsidRPr="00BB4232" w:rsidRDefault="00216C97" w:rsidP="00872589">
      <w:pPr>
        <w:pStyle w:val="Ruller41"/>
        <w:rPr>
          <w:rFonts w:ascii="Century" w:hAnsi="Century" w:cs="Miriam"/>
          <w:b/>
          <w:spacing w:val="0"/>
          <w:szCs w:val="24"/>
        </w:rPr>
      </w:pPr>
    </w:p>
    <w:p w:rsidR="00872589" w:rsidRDefault="00872589" w:rsidP="00872589">
      <w:pPr>
        <w:pStyle w:val="Ruller4"/>
        <w:textAlignment w:val="baseline"/>
        <w:rPr>
          <w:rtl/>
        </w:rPr>
      </w:pPr>
      <w:r>
        <w:rPr>
          <w:rFonts w:hint="cs"/>
          <w:rtl/>
        </w:rPr>
        <w:t xml:space="preserve">כפי שתואר, בשאלה זו חלוקים הצדדים, ונשמעו לגביה עמדות שונות אף בגדרי ההליך הנוכחי, על שני שלביו: מן העבר האחד </w:t>
      </w:r>
      <w:r>
        <w:rPr>
          <w:rtl/>
        </w:rPr>
        <w:t>–</w:t>
      </w:r>
      <w:r>
        <w:rPr>
          <w:rFonts w:hint="cs"/>
          <w:rtl/>
        </w:rPr>
        <w:t xml:space="preserve"> חברַי השופטים </w:t>
      </w:r>
      <w:r w:rsidRPr="00BB4232">
        <w:rPr>
          <w:rFonts w:ascii="Century" w:hAnsi="Century" w:cs="Miriam" w:hint="cs"/>
          <w:b/>
          <w:spacing w:val="0"/>
          <w:sz w:val="22"/>
          <w:szCs w:val="24"/>
          <w:rtl/>
        </w:rPr>
        <w:t>עמית</w:t>
      </w:r>
      <w:r w:rsidRPr="00BB4232">
        <w:rPr>
          <w:rFonts w:hint="cs"/>
          <w:rtl/>
        </w:rPr>
        <w:t xml:space="preserve"> </w:t>
      </w:r>
      <w:r>
        <w:rPr>
          <w:rFonts w:hint="cs"/>
          <w:rtl/>
        </w:rPr>
        <w:t>ו</w:t>
      </w:r>
      <w:r w:rsidRPr="00BB4232">
        <w:rPr>
          <w:rFonts w:ascii="Century" w:hAnsi="Century" w:cs="Miriam" w:hint="cs"/>
          <w:b/>
          <w:spacing w:val="0"/>
          <w:sz w:val="22"/>
          <w:szCs w:val="24"/>
          <w:rtl/>
        </w:rPr>
        <w:t>מינץ</w:t>
      </w:r>
      <w:r>
        <w:rPr>
          <w:rFonts w:hint="cs"/>
          <w:rtl/>
        </w:rPr>
        <w:t xml:space="preserve">, שלשיטתם מתקיים מדרג בין הזכאים (בדומה לגישת השופטת </w:t>
      </w:r>
      <w:r w:rsidRPr="00BB4232">
        <w:rPr>
          <w:rFonts w:ascii="Century" w:hAnsi="Century" w:cs="Miriam" w:hint="cs"/>
          <w:b/>
          <w:spacing w:val="0"/>
          <w:sz w:val="22"/>
          <w:szCs w:val="24"/>
          <w:rtl/>
        </w:rPr>
        <w:t>ארבל</w:t>
      </w:r>
      <w:r>
        <w:rPr>
          <w:rFonts w:hint="cs"/>
          <w:rtl/>
        </w:rPr>
        <w:t xml:space="preserve"> בעניין </w:t>
      </w:r>
      <w:r w:rsidRPr="00822075">
        <w:rPr>
          <w:rFonts w:ascii="Century" w:hAnsi="Century" w:cs="Miriam" w:hint="cs"/>
          <w:b/>
          <w:spacing w:val="0"/>
          <w:sz w:val="22"/>
          <w:szCs w:val="24"/>
          <w:rtl/>
        </w:rPr>
        <w:t>גורודצקי</w:t>
      </w:r>
      <w:r w:rsidRPr="00822075">
        <w:rPr>
          <w:rFonts w:hint="cs"/>
          <w:rtl/>
        </w:rPr>
        <w:t>, פסקה 36); ומן</w:t>
      </w:r>
      <w:r>
        <w:rPr>
          <w:rFonts w:hint="cs"/>
          <w:rtl/>
        </w:rPr>
        <w:t xml:space="preserve"> העבר השני </w:t>
      </w:r>
      <w:r>
        <w:rPr>
          <w:rtl/>
        </w:rPr>
        <w:t>–</w:t>
      </w:r>
      <w:r>
        <w:rPr>
          <w:rFonts w:hint="cs"/>
          <w:rtl/>
        </w:rPr>
        <w:t xml:space="preserve"> חברַי מ"מ הנשיא </w:t>
      </w:r>
      <w:r w:rsidRPr="00BB4232">
        <w:rPr>
          <w:rFonts w:ascii="Century" w:hAnsi="Century" w:cs="Miriam" w:hint="cs"/>
          <w:b/>
          <w:spacing w:val="0"/>
          <w:sz w:val="22"/>
          <w:szCs w:val="24"/>
          <w:rtl/>
        </w:rPr>
        <w:t>פוגלמן</w:t>
      </w:r>
      <w:r w:rsidRPr="00BB4232">
        <w:rPr>
          <w:rFonts w:hint="cs"/>
          <w:rtl/>
        </w:rPr>
        <w:t xml:space="preserve"> </w:t>
      </w:r>
      <w:r>
        <w:rPr>
          <w:rFonts w:hint="cs"/>
          <w:rtl/>
        </w:rPr>
        <w:t xml:space="preserve">והשופטת (בדימ') </w:t>
      </w:r>
      <w:r w:rsidRPr="00BB4232">
        <w:rPr>
          <w:rFonts w:ascii="Century" w:hAnsi="Century" w:cs="Miriam" w:hint="cs"/>
          <w:b/>
          <w:spacing w:val="0"/>
          <w:sz w:val="22"/>
          <w:szCs w:val="24"/>
          <w:rtl/>
        </w:rPr>
        <w:t>ברון</w:t>
      </w:r>
      <w:r>
        <w:rPr>
          <w:rFonts w:hint="cs"/>
          <w:rtl/>
        </w:rPr>
        <w:t xml:space="preserve">, השוללים קיומו של מדרג כאמור. במחלוקת זו, דעתי כדעתם של חברַי השופטים </w:t>
      </w:r>
      <w:r w:rsidRPr="00BB4232">
        <w:rPr>
          <w:rFonts w:ascii="Century" w:hAnsi="Century" w:cs="Miriam" w:hint="cs"/>
          <w:b/>
          <w:spacing w:val="0"/>
          <w:sz w:val="22"/>
          <w:szCs w:val="24"/>
          <w:rtl/>
        </w:rPr>
        <w:t>עמית</w:t>
      </w:r>
      <w:r w:rsidRPr="00BB4232">
        <w:rPr>
          <w:rFonts w:hint="cs"/>
          <w:rtl/>
        </w:rPr>
        <w:t xml:space="preserve"> </w:t>
      </w:r>
      <w:r>
        <w:rPr>
          <w:rFonts w:hint="cs"/>
          <w:rtl/>
        </w:rPr>
        <w:t>ו</w:t>
      </w:r>
      <w:r w:rsidRPr="00BB4232">
        <w:rPr>
          <w:rFonts w:ascii="Century" w:hAnsi="Century" w:cs="Miriam" w:hint="cs"/>
          <w:b/>
          <w:spacing w:val="0"/>
          <w:sz w:val="22"/>
          <w:szCs w:val="24"/>
          <w:rtl/>
        </w:rPr>
        <w:t>מינץ</w:t>
      </w:r>
      <w:r>
        <w:rPr>
          <w:rFonts w:hint="cs"/>
          <w:rtl/>
        </w:rPr>
        <w:t>; אפרט.</w:t>
      </w:r>
    </w:p>
    <w:p w:rsidR="00872589" w:rsidRDefault="00872589" w:rsidP="00872589">
      <w:pPr>
        <w:pStyle w:val="Ruller41"/>
        <w:rPr>
          <w:rtl/>
        </w:rPr>
      </w:pPr>
    </w:p>
    <w:p w:rsidR="00872589" w:rsidRDefault="00872589" w:rsidP="00872589">
      <w:pPr>
        <w:pStyle w:val="Ruller4"/>
        <w:textAlignment w:val="baseline"/>
      </w:pPr>
      <w:r>
        <w:rPr>
          <w:rFonts w:hint="cs"/>
          <w:rtl/>
        </w:rPr>
        <w:t xml:space="preserve">תחילה, דומני שקשה לחלוק על קיומו של מדרג בין הזכות הנתונה ל'יהודי', לבין אלו של יתר זכאי השבות (צאצאי היהודי ובני זוגם). זכותו של היהודי היא </w:t>
      </w:r>
      <w:r w:rsidRPr="00D14787">
        <w:rPr>
          <w:rFonts w:ascii="Century" w:hAnsi="Century" w:cs="Miriam" w:hint="cs"/>
          <w:b/>
          <w:spacing w:val="0"/>
          <w:sz w:val="22"/>
          <w:szCs w:val="24"/>
          <w:rtl/>
        </w:rPr>
        <w:t>"זכות השבות המקורית"</w:t>
      </w:r>
      <w:r>
        <w:rPr>
          <w:rFonts w:hint="cs"/>
          <w:rtl/>
        </w:rPr>
        <w:t xml:space="preserve">, בעוד זו של בני משפחתו שאינם יהודים, אינה אלא </w:t>
      </w:r>
      <w:r w:rsidRPr="00D14787">
        <w:rPr>
          <w:rFonts w:ascii="Century" w:hAnsi="Century" w:cs="Miriam" w:hint="cs"/>
          <w:b/>
          <w:spacing w:val="0"/>
          <w:sz w:val="22"/>
          <w:szCs w:val="24"/>
          <w:rtl/>
        </w:rPr>
        <w:t>"זכות שבות משנית"</w:t>
      </w:r>
      <w:r>
        <w:rPr>
          <w:rFonts w:hint="cs"/>
          <w:rtl/>
        </w:rPr>
        <w:t xml:space="preserve"> </w:t>
      </w:r>
      <w:r>
        <w:rPr>
          <w:rFonts w:hint="cs"/>
          <w:rtl/>
        </w:rPr>
        <w:lastRenderedPageBreak/>
        <w:t>(מיכאל קו</w:t>
      </w:r>
      <w:r w:rsidRPr="0090143B">
        <w:rPr>
          <w:rFonts w:hint="cs"/>
          <w:rtl/>
        </w:rPr>
        <w:t>רינאלדי</w:t>
      </w:r>
      <w:r w:rsidRPr="0090143B">
        <w:rPr>
          <w:rFonts w:ascii="Century" w:hAnsi="Century" w:cs="Miriam" w:hint="cs"/>
          <w:b/>
          <w:spacing w:val="0"/>
          <w:sz w:val="22"/>
          <w:szCs w:val="24"/>
          <w:rtl/>
        </w:rPr>
        <w:t xml:space="preserve"> חידת הזהות היהודית</w:t>
      </w:r>
      <w:r w:rsidRPr="00822075">
        <w:rPr>
          <w:rFonts w:ascii="Century" w:hAnsi="Century" w:cs="Miriam" w:hint="cs"/>
          <w:b/>
          <w:spacing w:val="0"/>
          <w:sz w:val="22"/>
          <w:szCs w:val="24"/>
          <w:rtl/>
        </w:rPr>
        <w:t xml:space="preserve">: חוק השבות </w:t>
      </w:r>
      <w:r w:rsidRPr="00822075">
        <w:rPr>
          <w:rFonts w:ascii="Century" w:hAnsi="Century"/>
          <w:sz w:val="22"/>
          <w:rtl/>
        </w:rPr>
        <w:t>–</w:t>
      </w:r>
      <w:r w:rsidRPr="00822075">
        <w:rPr>
          <w:rFonts w:ascii="Century" w:hAnsi="Century" w:cs="Miriam" w:hint="cs"/>
          <w:b/>
          <w:spacing w:val="0"/>
          <w:sz w:val="22"/>
          <w:szCs w:val="24"/>
          <w:rtl/>
        </w:rPr>
        <w:t xml:space="preserve"> הלכה למעשה </w:t>
      </w:r>
      <w:r w:rsidRPr="00822075">
        <w:rPr>
          <w:rFonts w:hint="cs"/>
          <w:rtl/>
        </w:rPr>
        <w:t xml:space="preserve">95 (2001) (להלן: </w:t>
      </w:r>
      <w:r w:rsidRPr="00822075">
        <w:rPr>
          <w:rFonts w:ascii="Century" w:hAnsi="Century" w:cs="Miriam" w:hint="cs"/>
          <w:b/>
          <w:spacing w:val="0"/>
          <w:sz w:val="22"/>
          <w:szCs w:val="24"/>
          <w:rtl/>
        </w:rPr>
        <w:t>קורינאלדי</w:t>
      </w:r>
      <w:r w:rsidRPr="00822075">
        <w:rPr>
          <w:rFonts w:hint="cs"/>
          <w:rtl/>
        </w:rPr>
        <w:t xml:space="preserve">); עניין </w:t>
      </w:r>
      <w:r w:rsidRPr="00822075">
        <w:rPr>
          <w:rFonts w:ascii="Century" w:hAnsi="Century" w:cs="Miriam" w:hint="cs"/>
          <w:b/>
          <w:spacing w:val="0"/>
          <w:sz w:val="22"/>
          <w:szCs w:val="24"/>
          <w:rtl/>
        </w:rPr>
        <w:t>סטמקה</w:t>
      </w:r>
      <w:r w:rsidRPr="00822075">
        <w:rPr>
          <w:rFonts w:hint="cs"/>
          <w:rtl/>
        </w:rPr>
        <w:t xml:space="preserve">, עמוד 753; פסקה 40 לפסק הדין של חברי, השופט </w:t>
      </w:r>
      <w:r w:rsidRPr="00822075">
        <w:rPr>
          <w:rFonts w:ascii="Century" w:hAnsi="Century" w:cs="Miriam" w:hint="cs"/>
          <w:b/>
          <w:spacing w:val="0"/>
          <w:sz w:val="22"/>
          <w:szCs w:val="24"/>
          <w:rtl/>
        </w:rPr>
        <w:t>עמית</w:t>
      </w:r>
      <w:r w:rsidRPr="00822075">
        <w:rPr>
          <w:rFonts w:hint="cs"/>
          <w:rtl/>
        </w:rPr>
        <w:t>, בפסק הדין נושא הדיון הנוסף)</w:t>
      </w:r>
      <w:r>
        <w:rPr>
          <w:rFonts w:hint="cs"/>
          <w:rtl/>
        </w:rPr>
        <w:t xml:space="preserve">. כאמור, עלייתם של יהודים ארצה היא שמצויה בליבת חוק השבות, והיא שמגשימה את תכליתו העיקרית של החוק ואת הזכאות המקורית שניתנה בו, כביטוין בסעיף 1 לחוק: </w:t>
      </w:r>
      <w:r w:rsidRPr="000777FE">
        <w:rPr>
          <w:rFonts w:ascii="Century" w:hAnsi="Century" w:cs="Miriam" w:hint="cs"/>
          <w:b/>
          <w:spacing w:val="0"/>
          <w:sz w:val="22"/>
          <w:szCs w:val="24"/>
          <w:rtl/>
        </w:rPr>
        <w:t>"כל יהודי זכאי לעלות ארצה"</w:t>
      </w:r>
      <w:r>
        <w:rPr>
          <w:rFonts w:ascii="Century" w:hAnsi="Century" w:cs="Miriam" w:hint="cs"/>
          <w:b/>
          <w:spacing w:val="0"/>
          <w:sz w:val="22"/>
          <w:szCs w:val="24"/>
          <w:rtl/>
        </w:rPr>
        <w:t xml:space="preserve"> </w:t>
      </w:r>
      <w:r>
        <w:rPr>
          <w:rFonts w:ascii="Century" w:hAnsi="Century" w:hint="cs"/>
          <w:sz w:val="22"/>
          <w:rtl/>
        </w:rPr>
        <w:t xml:space="preserve">(ראו גם את סעיף 5 לחוק-יסוד: הלאום, וכן את המקורות הרבים שבפסקה </w:t>
      </w:r>
      <w:r w:rsidRPr="0038330B">
        <w:rPr>
          <w:rFonts w:ascii="FrankRuehl" w:hAnsi="FrankRuehl"/>
          <w:sz w:val="28"/>
          <w:rtl/>
        </w:rPr>
        <w:fldChar w:fldCharType="begin"/>
      </w:r>
      <w:r w:rsidRPr="0038330B">
        <w:rPr>
          <w:rFonts w:ascii="FrankRuehl" w:hAnsi="FrankRuehl"/>
          <w:sz w:val="28"/>
          <w:rtl/>
        </w:rPr>
        <w:instrText xml:space="preserve"> </w:instrText>
      </w:r>
      <w:r w:rsidRPr="0038330B">
        <w:rPr>
          <w:rFonts w:ascii="FrankRuehl" w:hAnsi="FrankRuehl"/>
          <w:sz w:val="28"/>
        </w:rPr>
        <w:instrText>REF</w:instrText>
      </w:r>
      <w:r w:rsidRPr="0038330B">
        <w:rPr>
          <w:rFonts w:ascii="FrankRuehl" w:hAnsi="FrankRuehl"/>
          <w:sz w:val="28"/>
          <w:rtl/>
        </w:rPr>
        <w:instrText xml:space="preserve"> _</w:instrText>
      </w:r>
      <w:r w:rsidRPr="0038330B">
        <w:rPr>
          <w:rFonts w:ascii="FrankRuehl" w:hAnsi="FrankRuehl"/>
          <w:sz w:val="28"/>
        </w:rPr>
        <w:instrText>Ref140392999 \r \h</w:instrText>
      </w:r>
      <w:r w:rsidRPr="0038330B">
        <w:rPr>
          <w:rFonts w:ascii="FrankRuehl" w:hAnsi="FrankRuehl"/>
          <w:sz w:val="28"/>
          <w:rtl/>
        </w:rPr>
        <w:instrText xml:space="preserve">  \* </w:instrText>
      </w:r>
      <w:r w:rsidRPr="0038330B">
        <w:rPr>
          <w:rFonts w:ascii="FrankRuehl" w:hAnsi="FrankRuehl"/>
          <w:sz w:val="28"/>
        </w:rPr>
        <w:instrText>MERGEFORMAT</w:instrText>
      </w:r>
      <w:r w:rsidRPr="0038330B">
        <w:rPr>
          <w:rFonts w:ascii="FrankRuehl" w:hAnsi="FrankRuehl"/>
          <w:sz w:val="28"/>
          <w:rtl/>
        </w:rPr>
        <w:instrText xml:space="preserve"> </w:instrText>
      </w:r>
      <w:r w:rsidRPr="0038330B">
        <w:rPr>
          <w:rFonts w:ascii="FrankRuehl" w:hAnsi="FrankRuehl"/>
          <w:sz w:val="28"/>
          <w:rtl/>
        </w:rPr>
      </w:r>
      <w:r w:rsidRPr="0038330B">
        <w:rPr>
          <w:rFonts w:ascii="FrankRuehl" w:hAnsi="FrankRuehl"/>
          <w:sz w:val="28"/>
          <w:rtl/>
        </w:rPr>
        <w:fldChar w:fldCharType="separate"/>
      </w:r>
      <w:r w:rsidR="00AE7B46">
        <w:rPr>
          <w:rFonts w:ascii="FrankRuehl" w:hAnsi="FrankRuehl"/>
          <w:sz w:val="28"/>
          <w:cs/>
        </w:rPr>
        <w:t>‎</w:t>
      </w:r>
      <w:r w:rsidR="00AE7B46">
        <w:rPr>
          <w:rFonts w:ascii="FrankRuehl" w:hAnsi="FrankRuehl"/>
          <w:sz w:val="28"/>
        </w:rPr>
        <w:t>18</w:t>
      </w:r>
      <w:r w:rsidRPr="0038330B">
        <w:rPr>
          <w:rFonts w:ascii="FrankRuehl" w:hAnsi="FrankRuehl"/>
          <w:sz w:val="28"/>
          <w:rtl/>
        </w:rPr>
        <w:fldChar w:fldCharType="end"/>
      </w:r>
      <w:r w:rsidRPr="0038330B">
        <w:rPr>
          <w:rFonts w:ascii="Century" w:hAnsi="Century" w:hint="cs"/>
          <w:szCs w:val="32"/>
          <w:rtl/>
        </w:rPr>
        <w:t xml:space="preserve"> </w:t>
      </w:r>
      <w:r>
        <w:rPr>
          <w:rFonts w:ascii="Century" w:hAnsi="Century" w:hint="cs"/>
          <w:sz w:val="22"/>
          <w:rtl/>
        </w:rPr>
        <w:t>לעיל)</w:t>
      </w:r>
      <w:r>
        <w:rPr>
          <w:rFonts w:hint="cs"/>
          <w:rtl/>
        </w:rPr>
        <w:t xml:space="preserve">. זאת, אף אם אין לדבר משמעות במגוון היבטים הנוגעים לאופן מימושה של זכות השבות בפועל (למשל, במובן זה שהיהודי לא יהנה מסל הטבות נרחב יותר בשעה שיממש את זכאותו לשבות, בהשוואה ליתר קרוביו הזכאים). בהתאמה לכך, תכונתה של זכות השבות הנתונה ליהודי, בכל הנוגע להשפעתה על הקרובים לו, אינה דומה לזו הנתונה לזכאי השבות. ניתן לדמות זאת ליחס שבין גזע האילן לבין ענפיו: היהודי הוא הגזע שממנו משתרגים ענפיו של 'אילן' השבות. ענפים אלה הריהם זכּאֵי השבות. מהם, עשויים בתורם לצמוח גם תתי-ענפים, הלוא הם בני-זוגם של זכאי השבות. אם כן, זכותם של יתר זכאי השבות שונה במהותה מזכותו של היהודי, חלשה יותר, שכן אין בכוחה להצמיח 'אילן' שבות משל-עצמה, אלא רק לשמש ענף </w:t>
      </w:r>
      <w:r>
        <w:rPr>
          <w:rtl/>
        </w:rPr>
        <w:t>–</w:t>
      </w:r>
      <w:r>
        <w:rPr>
          <w:rFonts w:hint="cs"/>
          <w:rtl/>
        </w:rPr>
        <w:t xml:space="preserve"> או תת-ענף </w:t>
      </w:r>
      <w:r>
        <w:rPr>
          <w:rtl/>
        </w:rPr>
        <w:t>–</w:t>
      </w:r>
      <w:r>
        <w:rPr>
          <w:rFonts w:hint="cs"/>
          <w:rtl/>
        </w:rPr>
        <w:t xml:space="preserve"> באילנו של היהודי-המקורי. גם כאן אביא מדבריו הנכוחים של</w:t>
      </w:r>
      <w:r w:rsidRPr="004D7849">
        <w:rPr>
          <w:rFonts w:hint="cs"/>
          <w:rtl/>
        </w:rPr>
        <w:t xml:space="preserve"> השופט </w:t>
      </w:r>
      <w:r w:rsidRPr="00872EC7">
        <w:rPr>
          <w:rFonts w:ascii="Century" w:hAnsi="Century" w:cs="Miriam" w:hint="cs"/>
          <w:b/>
          <w:spacing w:val="0"/>
          <w:sz w:val="22"/>
          <w:szCs w:val="24"/>
          <w:rtl/>
        </w:rPr>
        <w:t>חשין</w:t>
      </w:r>
      <w:r>
        <w:rPr>
          <w:rFonts w:hint="cs"/>
          <w:rtl/>
        </w:rPr>
        <w:t xml:space="preserve">, בעניין </w:t>
      </w:r>
      <w:r w:rsidRPr="00872EC7">
        <w:rPr>
          <w:rFonts w:ascii="Century" w:hAnsi="Century" w:cs="Miriam" w:hint="cs"/>
          <w:b/>
          <w:spacing w:val="0"/>
          <w:sz w:val="22"/>
          <w:szCs w:val="24"/>
          <w:rtl/>
        </w:rPr>
        <w:t>סטמקה</w:t>
      </w:r>
      <w:r w:rsidRPr="004D7849">
        <w:rPr>
          <w:rFonts w:hint="cs"/>
          <w:rtl/>
        </w:rPr>
        <w:t xml:space="preserve"> </w:t>
      </w:r>
      <w:r>
        <w:rPr>
          <w:rFonts w:hint="cs"/>
          <w:rtl/>
        </w:rPr>
        <w:t xml:space="preserve">(עמוד 757): </w:t>
      </w:r>
    </w:p>
    <w:p w:rsidR="00872589" w:rsidRDefault="00872589" w:rsidP="00872589">
      <w:pPr>
        <w:pStyle w:val="Ruller4"/>
        <w:numPr>
          <w:ilvl w:val="0"/>
          <w:numId w:val="0"/>
        </w:numPr>
        <w:rPr>
          <w:rtl/>
        </w:rPr>
      </w:pPr>
    </w:p>
    <w:p w:rsidR="00872589" w:rsidRPr="000B12DB" w:rsidRDefault="00872589" w:rsidP="00872589">
      <w:pPr>
        <w:pStyle w:val="Ruller5"/>
        <w:spacing w:line="360" w:lineRule="auto"/>
        <w:rPr>
          <w:rFonts w:ascii="Century" w:hAnsi="Century"/>
          <w:rtl/>
        </w:rPr>
      </w:pPr>
      <w:r>
        <w:rPr>
          <w:rFonts w:ascii="Century" w:hAnsi="Century" w:cs="Miriam" w:hint="cs"/>
          <w:b/>
          <w:spacing w:val="0"/>
          <w:szCs w:val="24"/>
          <w:shd w:val="clear" w:color="auto" w:fill="FFFFFF"/>
          <w:rtl/>
        </w:rPr>
        <w:t>"</w:t>
      </w:r>
      <w:r w:rsidRPr="00C20BED">
        <w:rPr>
          <w:rFonts w:ascii="Century" w:hAnsi="Century" w:cs="Miriam"/>
          <w:b/>
          <w:spacing w:val="0"/>
          <w:szCs w:val="24"/>
          <w:shd w:val="clear" w:color="auto" w:fill="FFFFFF"/>
          <w:rtl/>
        </w:rPr>
        <w:t>א</w:t>
      </w:r>
      <w:r w:rsidRPr="000B12DB">
        <w:rPr>
          <w:rFonts w:ascii="Century" w:hAnsi="Century" w:cs="Miriam"/>
          <w:b/>
          <w:spacing w:val="0"/>
          <w:szCs w:val="24"/>
          <w:shd w:val="clear" w:color="auto" w:fill="FFFFFF"/>
          <w:rtl/>
        </w:rPr>
        <w:t>שר לתכליתו העיקרית של </w:t>
      </w:r>
      <w:r w:rsidRPr="00F023BB">
        <w:rPr>
          <w:rFonts w:ascii="Century" w:hAnsi="Century" w:cs="Miriam" w:hint="cs"/>
          <w:b/>
          <w:spacing w:val="0"/>
          <w:szCs w:val="24"/>
          <w:rtl/>
        </w:rPr>
        <w:t>חוק השבות</w:t>
      </w:r>
      <w:r>
        <w:rPr>
          <w:rFonts w:hint="cs"/>
          <w:rtl/>
        </w:rPr>
        <w:t xml:space="preserve"> </w:t>
      </w:r>
      <w:r w:rsidRPr="000B12DB">
        <w:rPr>
          <w:rFonts w:ascii="Century" w:hAnsi="Century" w:cs="Miriam"/>
          <w:b/>
          <w:spacing w:val="0"/>
          <w:szCs w:val="24"/>
          <w:shd w:val="clear" w:color="auto" w:fill="FFFFFF"/>
          <w:rtl/>
        </w:rPr>
        <w:t>עמדנו על המיוחדות שבחוק השבות, וידענו כי ל</w:t>
      </w:r>
      <w:r>
        <w:rPr>
          <w:rFonts w:ascii="Century" w:hAnsi="Century" w:cs="Miriam" w:hint="cs"/>
          <w:b/>
          <w:spacing w:val="0"/>
          <w:szCs w:val="24"/>
          <w:shd w:val="clear" w:color="auto" w:fill="FFFFFF"/>
          <w:rtl/>
        </w:rPr>
        <w:t>י</w:t>
      </w:r>
      <w:r w:rsidRPr="000B12DB">
        <w:rPr>
          <w:rFonts w:ascii="Century" w:hAnsi="Century" w:cs="Miriam"/>
          <w:b/>
          <w:spacing w:val="0"/>
          <w:szCs w:val="24"/>
          <w:shd w:val="clear" w:color="auto" w:fill="FFFFFF"/>
          <w:rtl/>
        </w:rPr>
        <w:t>בתו היא במש</w:t>
      </w:r>
      <w:r>
        <w:rPr>
          <w:rFonts w:ascii="Century" w:hAnsi="Century" w:cs="Miriam"/>
          <w:b/>
          <w:spacing w:val="0"/>
          <w:szCs w:val="24"/>
          <w:shd w:val="clear" w:color="auto" w:fill="FFFFFF"/>
          <w:rtl/>
        </w:rPr>
        <w:t xml:space="preserve">את-הנפש של </w:t>
      </w:r>
      <w:r>
        <w:rPr>
          <w:rFonts w:ascii="Century" w:hAnsi="Century" w:cs="Miriam" w:hint="cs"/>
          <w:b/>
          <w:spacing w:val="0"/>
          <w:szCs w:val="24"/>
          <w:shd w:val="clear" w:color="auto" w:fill="FFFFFF"/>
          <w:rtl/>
        </w:rPr>
        <w:t>'</w:t>
      </w:r>
      <w:r>
        <w:rPr>
          <w:rFonts w:ascii="Century" w:hAnsi="Century" w:cs="Miriam"/>
          <w:b/>
          <w:spacing w:val="0"/>
          <w:szCs w:val="24"/>
          <w:shd w:val="clear" w:color="auto" w:fill="FFFFFF"/>
          <w:rtl/>
        </w:rPr>
        <w:t>ושבו בנים לגבולם</w:t>
      </w:r>
      <w:r>
        <w:rPr>
          <w:rFonts w:ascii="Century" w:hAnsi="Century" w:cs="Miriam" w:hint="cs"/>
          <w:b/>
          <w:spacing w:val="0"/>
          <w:szCs w:val="24"/>
          <w:shd w:val="clear" w:color="auto" w:fill="FFFFFF"/>
          <w:rtl/>
        </w:rPr>
        <w:t>'</w:t>
      </w:r>
      <w:r>
        <w:rPr>
          <w:rFonts w:ascii="Century" w:hAnsi="Century" w:cs="Miriam"/>
          <w:b/>
          <w:spacing w:val="0"/>
          <w:szCs w:val="24"/>
          <w:shd w:val="clear" w:color="auto" w:fill="FFFFFF"/>
          <w:rtl/>
        </w:rPr>
        <w:t xml:space="preserve">. </w:t>
      </w:r>
      <w:r>
        <w:rPr>
          <w:rFonts w:ascii="Century" w:hAnsi="Century" w:cs="Miriam" w:hint="cs"/>
          <w:b/>
          <w:spacing w:val="0"/>
          <w:szCs w:val="24"/>
          <w:shd w:val="clear" w:color="auto" w:fill="FFFFFF"/>
          <w:rtl/>
        </w:rPr>
        <w:t>'</w:t>
      </w:r>
      <w:r w:rsidRPr="000B12DB">
        <w:rPr>
          <w:rFonts w:ascii="Century" w:hAnsi="Century" w:cs="Miriam"/>
          <w:b/>
          <w:spacing w:val="0"/>
          <w:szCs w:val="24"/>
          <w:shd w:val="clear" w:color="auto" w:fill="FFFFFF"/>
          <w:rtl/>
        </w:rPr>
        <w:t>לך-לך מארצך וממול</w:t>
      </w:r>
      <w:r>
        <w:rPr>
          <w:rFonts w:ascii="Century" w:hAnsi="Century" w:cs="Miriam"/>
          <w:b/>
          <w:spacing w:val="0"/>
          <w:szCs w:val="24"/>
          <w:shd w:val="clear" w:color="auto" w:fill="FFFFFF"/>
          <w:rtl/>
        </w:rPr>
        <w:t>דתך ומבית אביך אל-הארץ אשר אראך</w:t>
      </w:r>
      <w:r>
        <w:rPr>
          <w:rFonts w:ascii="Century" w:hAnsi="Century" w:cs="Miriam" w:hint="cs"/>
          <w:b/>
          <w:spacing w:val="0"/>
          <w:szCs w:val="24"/>
          <w:shd w:val="clear" w:color="auto" w:fill="FFFFFF"/>
          <w:rtl/>
        </w:rPr>
        <w:t>'</w:t>
      </w:r>
      <w:r w:rsidRPr="000B12DB">
        <w:rPr>
          <w:rFonts w:ascii="Century" w:hAnsi="Century" w:cs="Miriam"/>
          <w:b/>
          <w:spacing w:val="0"/>
          <w:szCs w:val="24"/>
          <w:shd w:val="clear" w:color="auto" w:fill="FFFFFF"/>
          <w:rtl/>
        </w:rPr>
        <w:t xml:space="preserve"> (בראשית, יב, א). כך ציווה הא</w:t>
      </w:r>
      <w:r>
        <w:rPr>
          <w:rFonts w:ascii="Century" w:hAnsi="Century" w:cs="Miriam" w:hint="cs"/>
          <w:b/>
          <w:spacing w:val="0"/>
          <w:szCs w:val="24"/>
          <w:shd w:val="clear" w:color="auto" w:fill="FFFFFF"/>
          <w:rtl/>
        </w:rPr>
        <w:t>-</w:t>
      </w:r>
      <w:r w:rsidRPr="000B12DB">
        <w:rPr>
          <w:rFonts w:ascii="Century" w:hAnsi="Century" w:cs="Miriam"/>
          <w:b/>
          <w:spacing w:val="0"/>
          <w:szCs w:val="24"/>
          <w:shd w:val="clear" w:color="auto" w:fill="FFFFFF"/>
          <w:rtl/>
        </w:rPr>
        <w:t xml:space="preserve">לוהים את אברם, ומולדתו של העברי </w:t>
      </w:r>
      <w:r w:rsidRPr="000B12DB">
        <w:rPr>
          <w:rFonts w:ascii="Century" w:hAnsi="Century"/>
          <w:shd w:val="clear" w:color="auto" w:fill="FFFFFF"/>
          <w:rtl/>
        </w:rPr>
        <w:t>–</w:t>
      </w:r>
      <w:r w:rsidRPr="000B12DB">
        <w:rPr>
          <w:rFonts w:ascii="Century" w:hAnsi="Century" w:cs="Miriam"/>
          <w:b/>
          <w:spacing w:val="0"/>
          <w:szCs w:val="24"/>
          <w:shd w:val="clear" w:color="auto" w:fill="FFFFFF"/>
          <w:rtl/>
        </w:rPr>
        <w:t xml:space="preserve"> היהודי </w:t>
      </w:r>
      <w:r w:rsidRPr="000B12DB">
        <w:rPr>
          <w:rFonts w:ascii="Century" w:hAnsi="Century"/>
          <w:shd w:val="clear" w:color="auto" w:fill="FFFFFF"/>
          <w:rtl/>
        </w:rPr>
        <w:t>–</w:t>
      </w:r>
      <w:r w:rsidRPr="000B12DB">
        <w:rPr>
          <w:rFonts w:ascii="Century" w:hAnsi="Century" w:cs="Miriam"/>
          <w:b/>
          <w:spacing w:val="0"/>
          <w:szCs w:val="24"/>
          <w:shd w:val="clear" w:color="auto" w:fill="FFFFFF"/>
          <w:rtl/>
        </w:rPr>
        <w:t xml:space="preserve"> מאז היא ארץ-ישראל. יהודי, כל יהודי באשר הוא שם, מולדתו ההיסטורית היא ארץ-ישראל, ואם אך יבקש לקיים את ציוויו של האל לאברם, נקבל אותו בלב פתוח כקבלנו בן אובד. </w:t>
      </w:r>
      <w:r w:rsidRPr="0090506E">
        <w:rPr>
          <w:rFonts w:ascii="Century" w:hAnsi="Century" w:cs="Miriam"/>
          <w:b/>
          <w:spacing w:val="0"/>
          <w:szCs w:val="24"/>
          <w:u w:val="single"/>
          <w:shd w:val="clear" w:color="auto" w:fill="FFFFFF"/>
          <w:rtl/>
        </w:rPr>
        <w:t xml:space="preserve">כל דברים אלה </w:t>
      </w:r>
      <w:r w:rsidRPr="0090506E">
        <w:rPr>
          <w:rFonts w:ascii="Century" w:hAnsi="Century"/>
          <w:u w:val="single"/>
          <w:shd w:val="clear" w:color="auto" w:fill="FFFFFF"/>
          <w:rtl/>
        </w:rPr>
        <w:t>–</w:t>
      </w:r>
      <w:r w:rsidRPr="0090506E">
        <w:rPr>
          <w:rFonts w:ascii="Century" w:hAnsi="Century" w:cs="Miriam"/>
          <w:b/>
          <w:spacing w:val="0"/>
          <w:szCs w:val="24"/>
          <w:u w:val="single"/>
          <w:shd w:val="clear" w:color="auto" w:fill="FFFFFF"/>
          <w:rtl/>
        </w:rPr>
        <w:t xml:space="preserve"> לא כולם ואף לא מקצתם </w:t>
      </w:r>
      <w:r w:rsidRPr="0090506E">
        <w:rPr>
          <w:rFonts w:ascii="Century" w:hAnsi="Century"/>
          <w:u w:val="single"/>
          <w:shd w:val="clear" w:color="auto" w:fill="FFFFFF"/>
          <w:rtl/>
        </w:rPr>
        <w:t>–</w:t>
      </w:r>
      <w:r w:rsidRPr="0090506E">
        <w:rPr>
          <w:rFonts w:ascii="Century" w:hAnsi="Century" w:cs="Miriam"/>
          <w:b/>
          <w:spacing w:val="0"/>
          <w:szCs w:val="24"/>
          <w:u w:val="single"/>
          <w:shd w:val="clear" w:color="auto" w:fill="FFFFFF"/>
          <w:rtl/>
        </w:rPr>
        <w:t xml:space="preserve"> לא יתפשו באותו בן-זוג לא-יהודי. אכן, נכבד את הזר הבא אלינו, ואולם לא נוכל בשום-פנים-ואופן לומר עליו כי שב הוא אל ארץ אבותיו וכי</w:t>
      </w:r>
      <w:r w:rsidRPr="00F023BB">
        <w:rPr>
          <w:rFonts w:ascii="Century" w:hAnsi="Century" w:cs="Miriam"/>
          <w:b/>
          <w:spacing w:val="0"/>
          <w:szCs w:val="24"/>
          <w:u w:val="single"/>
          <w:shd w:val="clear" w:color="auto" w:fill="FFFFFF"/>
          <w:rtl/>
        </w:rPr>
        <w:t> </w:t>
      </w:r>
      <w:r w:rsidRPr="00F023BB">
        <w:rPr>
          <w:rFonts w:ascii="Century" w:hAnsi="Century" w:cs="Miriam" w:hint="cs"/>
          <w:b/>
          <w:spacing w:val="0"/>
          <w:szCs w:val="24"/>
          <w:u w:val="single"/>
          <w:rtl/>
        </w:rPr>
        <w:t>חוק השבות</w:t>
      </w:r>
      <w:r w:rsidRPr="00F023BB">
        <w:rPr>
          <w:rFonts w:hint="cs"/>
          <w:u w:val="single"/>
          <w:rtl/>
        </w:rPr>
        <w:t xml:space="preserve"> </w:t>
      </w:r>
      <w:r w:rsidRPr="00F023BB">
        <w:rPr>
          <w:rFonts w:ascii="Century" w:hAnsi="Century" w:cs="Miriam"/>
          <w:b/>
          <w:spacing w:val="0"/>
          <w:szCs w:val="24"/>
          <w:u w:val="single"/>
          <w:shd w:val="clear" w:color="auto" w:fill="FFFFFF"/>
          <w:rtl/>
        </w:rPr>
        <w:t>יחו</w:t>
      </w:r>
      <w:r w:rsidRPr="0090506E">
        <w:rPr>
          <w:rFonts w:ascii="Century" w:hAnsi="Century" w:cs="Miriam"/>
          <w:b/>
          <w:spacing w:val="0"/>
          <w:szCs w:val="24"/>
          <w:u w:val="single"/>
          <w:shd w:val="clear" w:color="auto" w:fill="FFFFFF"/>
          <w:rtl/>
        </w:rPr>
        <w:t>ל עליו ממיל</w:t>
      </w:r>
      <w:r w:rsidRPr="0090506E">
        <w:rPr>
          <w:rFonts w:ascii="Century" w:hAnsi="Century" w:cs="Miriam" w:hint="cs"/>
          <w:b/>
          <w:spacing w:val="0"/>
          <w:szCs w:val="24"/>
          <w:u w:val="single"/>
          <w:shd w:val="clear" w:color="auto" w:fill="FFFFFF"/>
          <w:rtl/>
        </w:rPr>
        <w:t>א</w:t>
      </w:r>
      <w:r>
        <w:rPr>
          <w:rFonts w:ascii="Century" w:hAnsi="Century" w:cs="Miriam" w:hint="cs"/>
          <w:b/>
          <w:spacing w:val="0"/>
          <w:szCs w:val="24"/>
          <w:shd w:val="clear" w:color="auto" w:fill="FFFFFF"/>
          <w:rtl/>
        </w:rPr>
        <w:t>"</w:t>
      </w:r>
      <w:r>
        <w:rPr>
          <w:rFonts w:ascii="Century" w:hAnsi="Century" w:hint="cs"/>
          <w:shd w:val="clear" w:color="auto" w:fill="FFFFFF"/>
          <w:rtl/>
        </w:rPr>
        <w:t xml:space="preserve">  (ההדגשה הוּספה </w:t>
      </w:r>
      <w:r>
        <w:rPr>
          <w:rFonts w:ascii="Century" w:hAnsi="Century"/>
          <w:shd w:val="clear" w:color="auto" w:fill="FFFFFF"/>
          <w:rtl/>
        </w:rPr>
        <w:t>–</w:t>
      </w:r>
      <w:r>
        <w:rPr>
          <w:rFonts w:ascii="Century" w:hAnsi="Century" w:hint="cs"/>
          <w:shd w:val="clear" w:color="auto" w:fill="FFFFFF"/>
          <w:rtl/>
        </w:rPr>
        <w:t xml:space="preserve"> נ' ס') (וראו גם: עניין </w:t>
      </w:r>
      <w:r w:rsidRPr="000B12DB">
        <w:rPr>
          <w:rFonts w:ascii="Century" w:hAnsi="Century" w:cs="Miriam" w:hint="cs"/>
          <w:b/>
          <w:spacing w:val="0"/>
          <w:szCs w:val="24"/>
          <w:shd w:val="clear" w:color="auto" w:fill="FFFFFF"/>
          <w:rtl/>
        </w:rPr>
        <w:t>גורודצקי</w:t>
      </w:r>
      <w:r>
        <w:rPr>
          <w:rFonts w:ascii="Century" w:hAnsi="Century" w:hint="cs"/>
          <w:shd w:val="clear" w:color="auto" w:fill="FFFFFF"/>
          <w:rtl/>
        </w:rPr>
        <w:t>, פסקה 35, שם הובאו הדברים הנ"ל כביטוי ל</w:t>
      </w:r>
      <w:r w:rsidRPr="000B12DB">
        <w:rPr>
          <w:rFonts w:ascii="Century" w:hAnsi="Century" w:cs="Miriam" w:hint="cs"/>
          <w:b/>
          <w:spacing w:val="0"/>
          <w:szCs w:val="24"/>
          <w:shd w:val="clear" w:color="auto" w:fill="FFFFFF"/>
          <w:rtl/>
        </w:rPr>
        <w:t>"תכלית העל"</w:t>
      </w:r>
      <w:r>
        <w:rPr>
          <w:rFonts w:ascii="Century" w:hAnsi="Century" w:hint="cs"/>
          <w:shd w:val="clear" w:color="auto" w:fill="FFFFFF"/>
          <w:rtl/>
        </w:rPr>
        <w:t xml:space="preserve"> של חוק השבות).</w:t>
      </w:r>
    </w:p>
    <w:p w:rsidR="00872589" w:rsidRPr="007D1851" w:rsidRDefault="00872589" w:rsidP="00872589">
      <w:pPr>
        <w:pStyle w:val="Ruller4"/>
        <w:numPr>
          <w:ilvl w:val="0"/>
          <w:numId w:val="0"/>
        </w:numPr>
      </w:pPr>
    </w:p>
    <w:p w:rsidR="00872589" w:rsidRDefault="00872589" w:rsidP="00872589">
      <w:pPr>
        <w:pStyle w:val="Ruller4"/>
        <w:textAlignment w:val="baseline"/>
        <w:rPr>
          <w:rtl/>
        </w:rPr>
      </w:pPr>
      <w:r>
        <w:rPr>
          <w:rFonts w:hint="cs"/>
          <w:rtl/>
        </w:rPr>
        <w:t xml:space="preserve">אם כן, קיים מדרג בין הזכות שהוקנתה ליהודי, לבין זו של יתר הזכאים לשבות הבאים מכוחו, והדבר מתחייב מתכליתו העיקרית של החוק. נשאלת אפוא השאלה, אם </w:t>
      </w:r>
      <w:r>
        <w:rPr>
          <w:rFonts w:hint="cs"/>
          <w:rtl/>
        </w:rPr>
        <w:lastRenderedPageBreak/>
        <w:t xml:space="preserve">גם בתוך קבוצת הזכאים לשבות שאינם יהודים </w:t>
      </w:r>
      <w:r>
        <w:rPr>
          <w:rtl/>
        </w:rPr>
        <w:t>–</w:t>
      </w:r>
      <w:r>
        <w:rPr>
          <w:rFonts w:hint="cs"/>
          <w:rtl/>
        </w:rPr>
        <w:t xml:space="preserve"> על רקע תכליתו העיקרית של החוק </w:t>
      </w:r>
      <w:r>
        <w:rPr>
          <w:rtl/>
        </w:rPr>
        <w:t>–</w:t>
      </w:r>
      <w:r>
        <w:rPr>
          <w:rFonts w:hint="cs"/>
          <w:rtl/>
        </w:rPr>
        <w:t xml:space="preserve"> מתקיים מדרג דומה; או שמא יש לראות את כל חברי הקבוצה האמורה כבעלי זכויות שווֹת-ערך במעמדן. ובניסוח אחר: בהינתן הפער שבין היהודי לבין יתר הזכאים, בכל הנוגע למימוש תכליות החוק, השאלה היא אם ישנם זכאים לשבות המצויים קרוב יותר ל'מדרגת' היהודי, במובן זה שעלייתם ארצה מממשת במידה גדולה יותר את תכליות החוק. תשובתי לכך </w:t>
      </w:r>
      <w:r>
        <w:rPr>
          <w:rtl/>
        </w:rPr>
        <w:t>–</w:t>
      </w:r>
      <w:r>
        <w:rPr>
          <w:rFonts w:hint="cs"/>
          <w:rtl/>
        </w:rPr>
        <w:t xml:space="preserve"> בחיוב; סבורני, כי עליית צאצאי היהודי ארצה מגשימה במידה רבה יותר את תכליות החוק, בהשוואה לבני זוגם (יוער, כי לגבי 'מדרגת' בן הזוג של היהודי עשויות להתעורר שאלות מעניינות, אך מאחר ששאלה זו אינה ניצבת על הפרק לפנינו, ואינה נדרשת לצורך הכרעתנו </w:t>
      </w:r>
      <w:r>
        <w:rPr>
          <w:rtl/>
        </w:rPr>
        <w:t>–</w:t>
      </w:r>
      <w:r>
        <w:rPr>
          <w:rFonts w:hint="cs"/>
          <w:rtl/>
        </w:rPr>
        <w:t xml:space="preserve"> איני רואה צורך להרחיב לגביה).</w:t>
      </w:r>
    </w:p>
    <w:p w:rsidR="00872589" w:rsidRDefault="00872589" w:rsidP="00872589">
      <w:pPr>
        <w:pStyle w:val="Ruller41"/>
        <w:rPr>
          <w:rtl/>
        </w:rPr>
      </w:pPr>
    </w:p>
    <w:p w:rsidR="00872589" w:rsidRDefault="00872589" w:rsidP="00872589">
      <w:pPr>
        <w:pStyle w:val="Ruller4"/>
        <w:textAlignment w:val="baseline"/>
      </w:pPr>
      <w:r>
        <w:rPr>
          <w:rFonts w:hint="cs"/>
          <w:rtl/>
        </w:rPr>
        <w:t>עניין זה נובע, בראש ובראשונה, מן המאפיינים השונים בדרך 'התחברותו' של כל אחד מסוגי הזכאים אל 'מקור הזכות', אל היהודי, וממנו אל העם היהודי בכללותו. בעוד שהבן והנכד קשורים ליהודי בקשר דם שאינו נתון לבחירתם, ונהנים מ'זכות אבות', הרי שבן הזוג של היהודי, או בני זוגם של הבן והנכד, רוכשים את זכאותם מכוח היקשרות הסכמית, בדרך של חיתון, עם היהודי או עם זכאי השבות (</w:t>
      </w:r>
      <w:r w:rsidRPr="00DE29CC">
        <w:rPr>
          <w:rFonts w:ascii="Century" w:hAnsi="Century" w:cs="Miriam" w:hint="cs"/>
          <w:b/>
          <w:spacing w:val="0"/>
          <w:sz w:val="22"/>
          <w:szCs w:val="24"/>
          <w:rtl/>
        </w:rPr>
        <w:t>קורינאלדי</w:t>
      </w:r>
      <w:r>
        <w:rPr>
          <w:rFonts w:hint="cs"/>
          <w:rtl/>
        </w:rPr>
        <w:t xml:space="preserve">, עמוד 95). קשר הדם טבוע באדם מרגע היוולדו, והוא אינו בר-ניתוק, אף במקרים שבהם היחסים שבין אדם לבין הוריו רופפים ואפילו עוינים; שונים הם פני הדברים ביחס לקשרי חיתון, שניתן להביאם לכדי גמר. כידוע, לעובדה זו משמעות גם בכל הנוגע לדיני השבות, שכן נראה כי לכל הדעות, עם סיום רצוני של הנישואין </w:t>
      </w:r>
      <w:r>
        <w:rPr>
          <w:rtl/>
        </w:rPr>
        <w:t>–</w:t>
      </w:r>
      <w:r>
        <w:rPr>
          <w:rFonts w:hint="cs"/>
          <w:rtl/>
        </w:rPr>
        <w:t xml:space="preserve"> פוקעת זכות שבות שבאה מכוחם (ראו, למשל, עניין </w:t>
      </w:r>
      <w:r w:rsidRPr="00120CEE">
        <w:rPr>
          <w:rFonts w:ascii="Century" w:hAnsi="Century" w:cs="Miriam" w:hint="cs"/>
          <w:b/>
          <w:spacing w:val="0"/>
          <w:sz w:val="22"/>
          <w:szCs w:val="24"/>
          <w:rtl/>
        </w:rPr>
        <w:t>סמוילוב</w:t>
      </w:r>
      <w:r>
        <w:rPr>
          <w:rFonts w:hint="cs"/>
          <w:rtl/>
        </w:rPr>
        <w:t xml:space="preserve">, עמודים 123-122). במובן זה, קיים דמיון בין 'זכות השבות המשנית' של </w:t>
      </w:r>
      <w:r w:rsidRPr="00B00FA6">
        <w:rPr>
          <w:rFonts w:ascii="Century" w:hAnsi="Century" w:cs="Miriam" w:hint="cs"/>
          <w:b/>
          <w:spacing w:val="0"/>
          <w:sz w:val="22"/>
          <w:szCs w:val="24"/>
          <w:rtl/>
        </w:rPr>
        <w:t>צאצאי</w:t>
      </w:r>
      <w:r w:rsidRPr="00B00FA6">
        <w:rPr>
          <w:rFonts w:hint="cs"/>
          <w:rtl/>
        </w:rPr>
        <w:t xml:space="preserve"> </w:t>
      </w:r>
      <w:r>
        <w:rPr>
          <w:rFonts w:hint="cs"/>
          <w:rtl/>
        </w:rPr>
        <w:t>היהודי, לבין 'זכות השבות העיקרית' של היהודי-עצמו; בשני המקרים הזכות צומחת על רקע קשר דם, מולד, שאינו בר-ניתוק, לעם היהודי (זולת במצבי גיור). לא כך באשר ל'זכות השבות המשנית', של בני זוגם של היהודי, הבן או הנכד, שהורתה בקשר הסכמי בר-ניתוק. מכאן, לטעמי, נובע פער מהותי בין דרגתה של הזכות המוקנית לזכאי השבות שהוא צאצא של היהודי (אך אינו יהודי לפי ההלכה), הדומה באופן היווצרותה לזכותו של היהודי, לבין דרגתה של הזכות הנתונה לבן הזוג של זכאי השבות או של היהודי</w:t>
      </w:r>
      <w:r w:rsidRPr="00CF1F9D">
        <w:rPr>
          <w:rFonts w:hint="cs"/>
          <w:rtl/>
        </w:rPr>
        <w:t>. ואכן, נראה כי בדומה ליהודים, ישראל היא</w:t>
      </w:r>
      <w:r>
        <w:rPr>
          <w:rFonts w:hint="cs"/>
          <w:rtl/>
        </w:rPr>
        <w:t xml:space="preserve"> גם</w:t>
      </w:r>
      <w:r w:rsidRPr="00CF1F9D">
        <w:rPr>
          <w:rFonts w:hint="cs"/>
          <w:rtl/>
        </w:rPr>
        <w:t xml:space="preserve"> 'ארץ אבותם' של זכאי השבות, אף </w:t>
      </w:r>
      <w:r>
        <w:rPr>
          <w:rFonts w:hint="cs"/>
          <w:rtl/>
        </w:rPr>
        <w:t>במובנו הלשוני-לקסקלי של המונח</w:t>
      </w:r>
      <w:r w:rsidRPr="00CF1F9D">
        <w:rPr>
          <w:rFonts w:hint="cs"/>
          <w:rtl/>
        </w:rPr>
        <w:t xml:space="preserve"> </w:t>
      </w:r>
      <w:r w:rsidRPr="00CF1F9D">
        <w:rPr>
          <w:rtl/>
        </w:rPr>
        <w:t>–</w:t>
      </w:r>
      <w:r w:rsidRPr="00CF1F9D">
        <w:rPr>
          <w:rFonts w:hint="cs"/>
          <w:rtl/>
        </w:rPr>
        <w:t xml:space="preserve"> גם זאת בניגוד לבני הזוג</w:t>
      </w:r>
      <w:r>
        <w:rPr>
          <w:rFonts w:hint="cs"/>
          <w:rtl/>
        </w:rPr>
        <w:t xml:space="preserve"> (ראו: עניין </w:t>
      </w:r>
      <w:r w:rsidRPr="009725E3">
        <w:rPr>
          <w:rFonts w:ascii="Century" w:hAnsi="Century" w:cs="Miriam" w:hint="cs"/>
          <w:b/>
          <w:spacing w:val="0"/>
          <w:sz w:val="22"/>
          <w:szCs w:val="24"/>
          <w:rtl/>
        </w:rPr>
        <w:t>סטמקה</w:t>
      </w:r>
      <w:r>
        <w:rPr>
          <w:rFonts w:hint="cs"/>
          <w:rtl/>
        </w:rPr>
        <w:t>, עמוד 757)</w:t>
      </w:r>
      <w:r w:rsidRPr="00CF1F9D">
        <w:rPr>
          <w:rFonts w:hint="cs"/>
          <w:rtl/>
        </w:rPr>
        <w:t xml:space="preserve">. </w:t>
      </w:r>
      <w:r>
        <w:rPr>
          <w:rFonts w:hint="cs"/>
          <w:rtl/>
        </w:rPr>
        <w:t>היטיבה לתאר הבדלים אלה השופטת</w:t>
      </w:r>
      <w:r w:rsidRPr="00C20BED">
        <w:rPr>
          <w:rFonts w:ascii="Century" w:hAnsi="Century" w:cs="Miriam" w:hint="cs"/>
          <w:b/>
          <w:spacing w:val="0"/>
          <w:sz w:val="22"/>
          <w:szCs w:val="24"/>
          <w:rtl/>
        </w:rPr>
        <w:t xml:space="preserve"> ארבל</w:t>
      </w:r>
      <w:r>
        <w:rPr>
          <w:rFonts w:hint="cs"/>
          <w:rtl/>
        </w:rPr>
        <w:t xml:space="preserve">, בעניין </w:t>
      </w:r>
      <w:r w:rsidRPr="00C20BED">
        <w:rPr>
          <w:rFonts w:ascii="Century" w:hAnsi="Century" w:cs="Miriam" w:hint="cs"/>
          <w:b/>
          <w:spacing w:val="0"/>
          <w:sz w:val="22"/>
          <w:szCs w:val="24"/>
          <w:rtl/>
        </w:rPr>
        <w:t>גורודצקי</w:t>
      </w:r>
      <w:r>
        <w:rPr>
          <w:rFonts w:hint="cs"/>
          <w:rtl/>
        </w:rPr>
        <w:t>:</w:t>
      </w:r>
    </w:p>
    <w:p w:rsidR="00872589" w:rsidRPr="000F1953" w:rsidRDefault="00872589" w:rsidP="00872589">
      <w:pPr>
        <w:pStyle w:val="Ruller4"/>
        <w:numPr>
          <w:ilvl w:val="0"/>
          <w:numId w:val="0"/>
        </w:numPr>
        <w:rPr>
          <w:rtl/>
        </w:rPr>
      </w:pPr>
    </w:p>
    <w:p w:rsidR="00872589" w:rsidRPr="00C20BED" w:rsidRDefault="00872589" w:rsidP="00872589">
      <w:pPr>
        <w:pStyle w:val="Ruller5"/>
        <w:spacing w:line="360" w:lineRule="auto"/>
        <w:rPr>
          <w:rFonts w:ascii="Century" w:hAnsi="Century"/>
          <w:rtl/>
        </w:rPr>
      </w:pPr>
      <w:r w:rsidRPr="00C20BED">
        <w:rPr>
          <w:rFonts w:ascii="Century" w:hAnsi="Century" w:cs="Miriam" w:hint="cs"/>
          <w:b/>
          <w:spacing w:val="0"/>
          <w:szCs w:val="24"/>
          <w:rtl/>
        </w:rPr>
        <w:t>"</w:t>
      </w:r>
      <w:r w:rsidRPr="00C20BED">
        <w:rPr>
          <w:rFonts w:ascii="Century" w:hAnsi="Century" w:cs="Miriam" w:hint="eastAsia"/>
          <w:b/>
          <w:spacing w:val="0"/>
          <w:szCs w:val="24"/>
          <w:rtl/>
        </w:rPr>
        <w:t>גם</w:t>
      </w:r>
      <w:r w:rsidRPr="00C20BED">
        <w:rPr>
          <w:rFonts w:ascii="Century" w:hAnsi="Century" w:cs="Miriam"/>
          <w:b/>
          <w:spacing w:val="0"/>
          <w:szCs w:val="24"/>
          <w:rtl/>
        </w:rPr>
        <w:t xml:space="preserve"> </w:t>
      </w:r>
      <w:r w:rsidRPr="00C20BED">
        <w:rPr>
          <w:rFonts w:ascii="Century" w:hAnsi="Century" w:cs="Miriam" w:hint="eastAsia"/>
          <w:b/>
          <w:spacing w:val="0"/>
          <w:szCs w:val="24"/>
          <w:rtl/>
        </w:rPr>
        <w:t>על</w:t>
      </w:r>
      <w:r w:rsidRPr="00C20BED">
        <w:rPr>
          <w:rFonts w:ascii="Century" w:hAnsi="Century" w:cs="Miriam"/>
          <w:b/>
          <w:spacing w:val="0"/>
          <w:szCs w:val="24"/>
          <w:rtl/>
        </w:rPr>
        <w:t>-</w:t>
      </w:r>
      <w:r w:rsidRPr="00C20BED">
        <w:rPr>
          <w:rFonts w:ascii="Century" w:hAnsi="Century" w:cs="Miriam" w:hint="eastAsia"/>
          <w:b/>
          <w:spacing w:val="0"/>
          <w:szCs w:val="24"/>
          <w:rtl/>
        </w:rPr>
        <w:t>פי</w:t>
      </w:r>
      <w:r w:rsidRPr="00C20BED">
        <w:rPr>
          <w:rFonts w:ascii="Century" w:hAnsi="Century" w:cs="Miriam"/>
          <w:b/>
          <w:spacing w:val="0"/>
          <w:szCs w:val="24"/>
          <w:rtl/>
        </w:rPr>
        <w:t xml:space="preserve"> </w:t>
      </w:r>
      <w:r w:rsidRPr="00C20BED">
        <w:rPr>
          <w:rFonts w:ascii="Century" w:hAnsi="Century" w:cs="Miriam" w:hint="eastAsia"/>
          <w:b/>
          <w:spacing w:val="0"/>
          <w:szCs w:val="24"/>
          <w:rtl/>
        </w:rPr>
        <w:t>תפישה</w:t>
      </w:r>
      <w:r w:rsidRPr="00C20BED">
        <w:rPr>
          <w:rFonts w:ascii="Century" w:hAnsi="Century" w:cs="Miriam"/>
          <w:b/>
          <w:spacing w:val="0"/>
          <w:szCs w:val="24"/>
          <w:rtl/>
        </w:rPr>
        <w:t xml:space="preserve"> </w:t>
      </w:r>
      <w:r w:rsidRPr="00C20BED">
        <w:rPr>
          <w:rFonts w:ascii="Century" w:hAnsi="Century" w:cs="Miriam" w:hint="eastAsia"/>
          <w:b/>
          <w:spacing w:val="0"/>
          <w:szCs w:val="24"/>
          <w:rtl/>
        </w:rPr>
        <w:t>חילונית</w:t>
      </w:r>
      <w:r w:rsidRPr="00C20BED">
        <w:rPr>
          <w:rFonts w:ascii="Century" w:hAnsi="Century" w:cs="Miriam"/>
          <w:b/>
          <w:spacing w:val="0"/>
          <w:szCs w:val="24"/>
          <w:rtl/>
        </w:rPr>
        <w:t>-</w:t>
      </w:r>
      <w:r w:rsidRPr="00C20BED">
        <w:rPr>
          <w:rFonts w:ascii="Century" w:hAnsi="Century" w:cs="Miriam" w:hint="eastAsia"/>
          <w:b/>
          <w:spacing w:val="0"/>
          <w:szCs w:val="24"/>
          <w:rtl/>
        </w:rPr>
        <w:t>לאומית</w:t>
      </w:r>
      <w:r w:rsidRPr="00C20BED">
        <w:rPr>
          <w:rFonts w:ascii="Century" w:hAnsi="Century" w:cs="Miriam"/>
          <w:b/>
          <w:spacing w:val="0"/>
          <w:szCs w:val="24"/>
          <w:rtl/>
        </w:rPr>
        <w:t xml:space="preserve"> </w:t>
      </w:r>
      <w:r w:rsidRPr="00C20BED">
        <w:rPr>
          <w:rFonts w:ascii="Century" w:hAnsi="Century" w:cs="Miriam" w:hint="eastAsia"/>
          <w:b/>
          <w:spacing w:val="0"/>
          <w:szCs w:val="24"/>
          <w:rtl/>
        </w:rPr>
        <w:t>הרואה</w:t>
      </w:r>
      <w:r w:rsidRPr="00C20BED">
        <w:rPr>
          <w:rFonts w:ascii="Century" w:hAnsi="Century" w:cs="Miriam"/>
          <w:b/>
          <w:spacing w:val="0"/>
          <w:szCs w:val="24"/>
          <w:rtl/>
        </w:rPr>
        <w:t xml:space="preserve"> </w:t>
      </w:r>
      <w:r w:rsidRPr="00C20BED">
        <w:rPr>
          <w:rFonts w:ascii="Century" w:hAnsi="Century" w:cs="Miriam" w:hint="eastAsia"/>
          <w:b/>
          <w:spacing w:val="0"/>
          <w:szCs w:val="24"/>
          <w:rtl/>
        </w:rPr>
        <w:t>את</w:t>
      </w:r>
      <w:r w:rsidRPr="00C20BED">
        <w:rPr>
          <w:rFonts w:ascii="Century" w:hAnsi="Century" w:cs="Miriam"/>
          <w:b/>
          <w:spacing w:val="0"/>
          <w:szCs w:val="24"/>
          <w:rtl/>
        </w:rPr>
        <w:t xml:space="preserve"> </w:t>
      </w:r>
      <w:r w:rsidRPr="00C20BED">
        <w:rPr>
          <w:rFonts w:ascii="Century" w:hAnsi="Century" w:cs="Miriam" w:hint="eastAsia"/>
          <w:b/>
          <w:spacing w:val="0"/>
          <w:szCs w:val="24"/>
          <w:rtl/>
        </w:rPr>
        <w:t>הגדרת</w:t>
      </w:r>
      <w:r w:rsidRPr="00C20BED">
        <w:rPr>
          <w:rFonts w:ascii="Century" w:hAnsi="Century" w:cs="Miriam"/>
          <w:b/>
          <w:spacing w:val="0"/>
          <w:szCs w:val="24"/>
          <w:rtl/>
        </w:rPr>
        <w:t xml:space="preserve"> </w:t>
      </w:r>
      <w:r w:rsidRPr="00C20BED">
        <w:rPr>
          <w:rFonts w:ascii="Century" w:hAnsi="Century" w:cs="Miriam" w:hint="eastAsia"/>
          <w:b/>
          <w:spacing w:val="0"/>
          <w:szCs w:val="24"/>
          <w:rtl/>
        </w:rPr>
        <w:t>היהודי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באופן</w:t>
      </w:r>
      <w:r w:rsidRPr="00C20BED">
        <w:rPr>
          <w:rFonts w:ascii="Century" w:hAnsi="Century" w:cs="Miriam"/>
          <w:b/>
          <w:spacing w:val="0"/>
          <w:szCs w:val="24"/>
          <w:rtl/>
        </w:rPr>
        <w:t xml:space="preserve"> </w:t>
      </w:r>
      <w:r w:rsidRPr="00C20BED">
        <w:rPr>
          <w:rFonts w:ascii="Century" w:hAnsi="Century" w:cs="Miriam" w:hint="eastAsia"/>
          <w:b/>
          <w:spacing w:val="0"/>
          <w:szCs w:val="24"/>
          <w:rtl/>
        </w:rPr>
        <w:t>רחב</w:t>
      </w:r>
      <w:r w:rsidRPr="00C20BED">
        <w:rPr>
          <w:rFonts w:ascii="Century" w:hAnsi="Century" w:cs="Miriam"/>
          <w:b/>
          <w:spacing w:val="0"/>
          <w:szCs w:val="24"/>
          <w:rtl/>
        </w:rPr>
        <w:t xml:space="preserve"> </w:t>
      </w:r>
      <w:r w:rsidRPr="00C20BED">
        <w:rPr>
          <w:rFonts w:ascii="Century" w:hAnsi="Century" w:cs="Miriam" w:hint="eastAsia"/>
          <w:b/>
          <w:spacing w:val="0"/>
          <w:szCs w:val="24"/>
          <w:rtl/>
        </w:rPr>
        <w:t>יותר</w:t>
      </w:r>
      <w:r w:rsidRPr="00C20BED">
        <w:rPr>
          <w:rFonts w:ascii="Century" w:hAnsi="Century" w:cs="Miriam"/>
          <w:b/>
          <w:spacing w:val="0"/>
          <w:szCs w:val="24"/>
          <w:rtl/>
        </w:rPr>
        <w:t xml:space="preserve"> </w:t>
      </w:r>
      <w:r w:rsidRPr="00C20BED">
        <w:rPr>
          <w:rFonts w:ascii="Century" w:hAnsi="Century" w:cs="Miriam" w:hint="eastAsia"/>
          <w:b/>
          <w:spacing w:val="0"/>
          <w:szCs w:val="24"/>
          <w:rtl/>
        </w:rPr>
        <w:t>מהתפיסה</w:t>
      </w:r>
      <w:r w:rsidRPr="00C20BED">
        <w:rPr>
          <w:rFonts w:ascii="Century" w:hAnsi="Century" w:cs="Miriam"/>
          <w:b/>
          <w:spacing w:val="0"/>
          <w:szCs w:val="24"/>
          <w:rtl/>
        </w:rPr>
        <w:t xml:space="preserve"> </w:t>
      </w:r>
      <w:r w:rsidRPr="00C20BED">
        <w:rPr>
          <w:rFonts w:ascii="Century" w:hAnsi="Century" w:cs="Miriam" w:hint="eastAsia"/>
          <w:b/>
          <w:spacing w:val="0"/>
          <w:szCs w:val="24"/>
          <w:rtl/>
        </w:rPr>
        <w:t>המסורתית</w:t>
      </w:r>
      <w:r w:rsidRPr="00C20BED">
        <w:rPr>
          <w:rFonts w:ascii="Century" w:hAnsi="Century" w:cs="Miriam"/>
          <w:b/>
          <w:spacing w:val="0"/>
          <w:szCs w:val="24"/>
          <w:rtl/>
        </w:rPr>
        <w:t>-</w:t>
      </w:r>
      <w:r w:rsidRPr="00C20BED">
        <w:rPr>
          <w:rFonts w:ascii="Century" w:hAnsi="Century" w:cs="Miriam" w:hint="eastAsia"/>
          <w:b/>
          <w:spacing w:val="0"/>
          <w:szCs w:val="24"/>
          <w:rtl/>
        </w:rPr>
        <w:t>דתית</w:t>
      </w:r>
      <w:r w:rsidRPr="00C20BED">
        <w:rPr>
          <w:rFonts w:ascii="Century" w:hAnsi="Century" w:cs="Miriam"/>
          <w:b/>
          <w:spacing w:val="0"/>
          <w:szCs w:val="24"/>
          <w:rtl/>
        </w:rPr>
        <w:t xml:space="preserve">, </w:t>
      </w:r>
      <w:r w:rsidRPr="00C20BED">
        <w:rPr>
          <w:rFonts w:ascii="Century" w:hAnsi="Century" w:cs="Miriam" w:hint="eastAsia"/>
          <w:b/>
          <w:spacing w:val="0"/>
          <w:szCs w:val="24"/>
          <w:rtl/>
        </w:rPr>
        <w:t>הרי</w:t>
      </w:r>
      <w:r w:rsidRPr="00C20BED">
        <w:rPr>
          <w:rFonts w:ascii="Century" w:hAnsi="Century" w:cs="Miriam"/>
          <w:b/>
          <w:spacing w:val="0"/>
          <w:szCs w:val="24"/>
          <w:rtl/>
        </w:rPr>
        <w:t xml:space="preserve"> </w:t>
      </w:r>
      <w:r w:rsidRPr="00C20BED">
        <w:rPr>
          <w:rFonts w:ascii="Century" w:hAnsi="Century" w:cs="Miriam" w:hint="eastAsia"/>
          <w:b/>
          <w:spacing w:val="0"/>
          <w:szCs w:val="24"/>
          <w:rtl/>
        </w:rPr>
        <w:t>שבן</w:t>
      </w:r>
      <w:r w:rsidRPr="00C20BED">
        <w:rPr>
          <w:rFonts w:ascii="Century" w:hAnsi="Century" w:cs="Miriam"/>
          <w:b/>
          <w:spacing w:val="0"/>
          <w:szCs w:val="24"/>
          <w:rtl/>
        </w:rPr>
        <w:t xml:space="preserve"> </w:t>
      </w:r>
      <w:r w:rsidRPr="00C20BED">
        <w:rPr>
          <w:rFonts w:ascii="Century" w:hAnsi="Century" w:cs="Miriam" w:hint="eastAsia"/>
          <w:b/>
          <w:spacing w:val="0"/>
          <w:szCs w:val="24"/>
          <w:rtl/>
        </w:rPr>
        <w:t>הזוג</w:t>
      </w:r>
      <w:r w:rsidRPr="00C20BED">
        <w:rPr>
          <w:rFonts w:ascii="Century" w:hAnsi="Century" w:cs="Miriam"/>
          <w:b/>
          <w:spacing w:val="0"/>
          <w:szCs w:val="24"/>
          <w:rtl/>
        </w:rPr>
        <w:t xml:space="preserve"> </w:t>
      </w:r>
      <w:r w:rsidRPr="00C20BED">
        <w:rPr>
          <w:rFonts w:ascii="Century" w:hAnsi="Century" w:cs="Miriam" w:hint="eastAsia"/>
          <w:b/>
          <w:spacing w:val="0"/>
          <w:szCs w:val="24"/>
          <w:rtl/>
        </w:rPr>
        <w:t>הלא</w:t>
      </w:r>
      <w:r w:rsidRPr="00C20BED">
        <w:rPr>
          <w:rFonts w:ascii="Century" w:hAnsi="Century" w:cs="Miriam"/>
          <w:b/>
          <w:spacing w:val="0"/>
          <w:szCs w:val="24"/>
          <w:rtl/>
        </w:rPr>
        <w:t xml:space="preserve"> </w:t>
      </w:r>
      <w:r w:rsidRPr="00C20BED">
        <w:rPr>
          <w:rFonts w:ascii="Century" w:hAnsi="Century" w:cs="Miriam" w:hint="eastAsia"/>
          <w:b/>
          <w:spacing w:val="0"/>
          <w:szCs w:val="24"/>
          <w:rtl/>
        </w:rPr>
        <w:t>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אינו</w:t>
      </w:r>
      <w:r w:rsidRPr="00C20BED">
        <w:rPr>
          <w:rFonts w:ascii="Century" w:hAnsi="Century" w:cs="Miriam"/>
          <w:b/>
          <w:spacing w:val="0"/>
          <w:szCs w:val="24"/>
          <w:rtl/>
        </w:rPr>
        <w:t xml:space="preserve"> </w:t>
      </w:r>
      <w:r w:rsidRPr="00C20BED">
        <w:rPr>
          <w:rFonts w:ascii="Century" w:hAnsi="Century" w:cs="Miriam" w:hint="eastAsia"/>
          <w:b/>
          <w:spacing w:val="0"/>
          <w:szCs w:val="24"/>
          <w:rtl/>
        </w:rPr>
        <w:t>עומד</w:t>
      </w:r>
      <w:r w:rsidRPr="00C20BED">
        <w:rPr>
          <w:rFonts w:ascii="Century" w:hAnsi="Century" w:cs="Miriam"/>
          <w:b/>
          <w:spacing w:val="0"/>
          <w:szCs w:val="24"/>
          <w:rtl/>
        </w:rPr>
        <w:t xml:space="preserve"> </w:t>
      </w:r>
      <w:r w:rsidRPr="00C20BED">
        <w:rPr>
          <w:rFonts w:ascii="Century" w:hAnsi="Century" w:cs="Miriam" w:hint="eastAsia"/>
          <w:b/>
          <w:spacing w:val="0"/>
          <w:szCs w:val="24"/>
          <w:rtl/>
        </w:rPr>
        <w:t>במרכזו</w:t>
      </w:r>
      <w:r w:rsidRPr="00C20BED">
        <w:rPr>
          <w:rFonts w:ascii="Century" w:hAnsi="Century" w:cs="Miriam"/>
          <w:b/>
          <w:spacing w:val="0"/>
          <w:szCs w:val="24"/>
          <w:rtl/>
        </w:rPr>
        <w:t xml:space="preserve"> </w:t>
      </w:r>
      <w:r w:rsidRPr="00C20BED">
        <w:rPr>
          <w:rFonts w:ascii="Century" w:hAnsi="Century" w:cs="Miriam" w:hint="eastAsia"/>
          <w:b/>
          <w:spacing w:val="0"/>
          <w:szCs w:val="24"/>
          <w:rtl/>
        </w:rPr>
        <w:t>של</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eastAsia"/>
          <w:b/>
          <w:spacing w:val="0"/>
          <w:szCs w:val="24"/>
          <w:rtl/>
        </w:rPr>
        <w:lastRenderedPageBreak/>
        <w:t>ותכליתו</w:t>
      </w:r>
      <w:r w:rsidRPr="00C20BED">
        <w:rPr>
          <w:rFonts w:ascii="Century" w:hAnsi="Century" w:cs="Miriam"/>
          <w:b/>
          <w:spacing w:val="0"/>
          <w:szCs w:val="24"/>
          <w:rtl/>
        </w:rPr>
        <w:t xml:space="preserve"> </w:t>
      </w:r>
      <w:r w:rsidRPr="00C20BED">
        <w:rPr>
          <w:rFonts w:ascii="Century" w:hAnsi="Century" w:cs="Miriam" w:hint="eastAsia"/>
          <w:b/>
          <w:spacing w:val="0"/>
          <w:szCs w:val="24"/>
          <w:rtl/>
        </w:rPr>
        <w:t>אינה</w:t>
      </w:r>
      <w:r w:rsidRPr="00C20BED">
        <w:rPr>
          <w:rFonts w:ascii="Century" w:hAnsi="Century" w:cs="Miriam"/>
          <w:b/>
          <w:spacing w:val="0"/>
          <w:szCs w:val="24"/>
          <w:rtl/>
        </w:rPr>
        <w:t xml:space="preserve"> </w:t>
      </w:r>
      <w:r w:rsidRPr="00C20BED">
        <w:rPr>
          <w:rFonts w:ascii="Century" w:hAnsi="Century" w:cs="Miriam" w:hint="eastAsia"/>
          <w:b/>
          <w:spacing w:val="0"/>
          <w:szCs w:val="24"/>
          <w:rtl/>
        </w:rPr>
        <w:t>מכוונת</w:t>
      </w:r>
      <w:r w:rsidRPr="00C20BED">
        <w:rPr>
          <w:rFonts w:ascii="Century" w:hAnsi="Century" w:cs="Miriam"/>
          <w:b/>
          <w:spacing w:val="0"/>
          <w:szCs w:val="24"/>
          <w:rtl/>
        </w:rPr>
        <w:t xml:space="preserve"> </w:t>
      </w:r>
      <w:r w:rsidRPr="00C20BED">
        <w:rPr>
          <w:rFonts w:ascii="Century" w:hAnsi="Century" w:cs="Miriam" w:hint="eastAsia"/>
          <w:b/>
          <w:spacing w:val="0"/>
          <w:szCs w:val="24"/>
          <w:rtl/>
        </w:rPr>
        <w:t>אליו</w:t>
      </w:r>
      <w:r w:rsidRPr="00C20BED">
        <w:rPr>
          <w:rFonts w:ascii="Century" w:hAnsi="Century" w:cs="Miriam" w:hint="cs"/>
          <w:b/>
          <w:spacing w:val="0"/>
          <w:szCs w:val="24"/>
          <w:rtl/>
        </w:rPr>
        <w:t xml:space="preserve"> [...]</w:t>
      </w:r>
      <w:r w:rsidRPr="00C20BED">
        <w:rPr>
          <w:rFonts w:ascii="Century" w:hAnsi="Century" w:cs="Miriam"/>
          <w:b/>
          <w:spacing w:val="0"/>
          <w:szCs w:val="24"/>
          <w:rtl/>
        </w:rPr>
        <w:t xml:space="preserve">. </w:t>
      </w:r>
      <w:r w:rsidRPr="00C20BED">
        <w:rPr>
          <w:rFonts w:ascii="Century" w:hAnsi="Century" w:cs="Miriam" w:hint="eastAsia"/>
          <w:b/>
          <w:spacing w:val="0"/>
          <w:szCs w:val="24"/>
          <w:u w:val="single"/>
          <w:rtl/>
        </w:rPr>
        <w:t>יש</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לציין</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כי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הדבר</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שונה</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אצל</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צאצא</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של</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יהודי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אשר</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גם</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אם</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אינו</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יהודי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על</w:t>
      </w:r>
      <w:r w:rsidRPr="00C20BED">
        <w:rPr>
          <w:rFonts w:ascii="Century" w:hAnsi="Century" w:cs="Miriam"/>
          <w:b/>
          <w:spacing w:val="0"/>
          <w:szCs w:val="24"/>
          <w:u w:val="single"/>
          <w:rtl/>
        </w:rPr>
        <w:t>-</w:t>
      </w:r>
      <w:r w:rsidRPr="00C20BED">
        <w:rPr>
          <w:rFonts w:ascii="Century" w:hAnsi="Century" w:cs="Miriam" w:hint="eastAsia"/>
          <w:b/>
          <w:spacing w:val="0"/>
          <w:szCs w:val="24"/>
          <w:u w:val="single"/>
          <w:rtl/>
        </w:rPr>
        <w:t>פי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ההלכה</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זיקתו</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ליהדות</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נקבעת</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מרגע</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לידתו</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לאדם</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יהודי</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באמצעות</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קשר</w:t>
      </w:r>
      <w:r w:rsidRPr="00C20BED">
        <w:rPr>
          <w:rFonts w:ascii="Century" w:hAnsi="Century" w:cs="Miriam"/>
          <w:b/>
          <w:spacing w:val="0"/>
          <w:szCs w:val="24"/>
          <w:u w:val="single"/>
          <w:rtl/>
        </w:rPr>
        <w:t xml:space="preserve"> </w:t>
      </w:r>
      <w:r w:rsidRPr="00C20BED">
        <w:rPr>
          <w:rFonts w:ascii="Century" w:hAnsi="Century" w:cs="Miriam" w:hint="eastAsia"/>
          <w:b/>
          <w:spacing w:val="0"/>
          <w:szCs w:val="24"/>
          <w:u w:val="single"/>
          <w:rtl/>
        </w:rPr>
        <w:t>הדם</w:t>
      </w:r>
      <w:r w:rsidRPr="00C20BED">
        <w:rPr>
          <w:rFonts w:ascii="Century" w:hAnsi="Century" w:cs="Miriam"/>
          <w:b/>
          <w:spacing w:val="0"/>
          <w:szCs w:val="24"/>
          <w:rtl/>
        </w:rPr>
        <w:t xml:space="preserve">. </w:t>
      </w:r>
      <w:r w:rsidRPr="00C20BED">
        <w:rPr>
          <w:rFonts w:ascii="Century" w:hAnsi="Century" w:cs="Miriam" w:hint="eastAsia"/>
          <w:b/>
          <w:spacing w:val="0"/>
          <w:szCs w:val="24"/>
          <w:rtl/>
        </w:rPr>
        <w:t>על</w:t>
      </w:r>
      <w:r w:rsidRPr="00C20BED">
        <w:rPr>
          <w:rFonts w:ascii="Century" w:hAnsi="Century" w:cs="Miriam"/>
          <w:b/>
          <w:spacing w:val="0"/>
          <w:szCs w:val="24"/>
          <w:rtl/>
        </w:rPr>
        <w:t xml:space="preserve"> </w:t>
      </w:r>
      <w:r w:rsidRPr="00C20BED">
        <w:rPr>
          <w:rFonts w:ascii="Century" w:hAnsi="Century" w:cs="Miriam" w:hint="eastAsia"/>
          <w:b/>
          <w:spacing w:val="0"/>
          <w:szCs w:val="24"/>
          <w:rtl/>
        </w:rPr>
        <w:t>הבחנה</w:t>
      </w:r>
      <w:r w:rsidRPr="00C20BED">
        <w:rPr>
          <w:rFonts w:ascii="Century" w:hAnsi="Century" w:cs="Miriam"/>
          <w:b/>
          <w:spacing w:val="0"/>
          <w:szCs w:val="24"/>
          <w:rtl/>
        </w:rPr>
        <w:t xml:space="preserve"> </w:t>
      </w:r>
      <w:r w:rsidRPr="00C20BED">
        <w:rPr>
          <w:rFonts w:ascii="Century" w:hAnsi="Century" w:cs="Miriam" w:hint="eastAsia"/>
          <w:b/>
          <w:spacing w:val="0"/>
          <w:szCs w:val="24"/>
          <w:rtl/>
        </w:rPr>
        <w:t>זו</w:t>
      </w:r>
      <w:r w:rsidRPr="00C20BED">
        <w:rPr>
          <w:rFonts w:ascii="Century" w:hAnsi="Century" w:cs="Miriam"/>
          <w:b/>
          <w:spacing w:val="0"/>
          <w:szCs w:val="24"/>
          <w:rtl/>
        </w:rPr>
        <w:t xml:space="preserve"> </w:t>
      </w:r>
      <w:r w:rsidRPr="00C20BED">
        <w:rPr>
          <w:rFonts w:ascii="Century" w:hAnsi="Century" w:cs="Miriam" w:hint="eastAsia"/>
          <w:b/>
          <w:spacing w:val="0"/>
          <w:szCs w:val="24"/>
          <w:rtl/>
        </w:rPr>
        <w:t>ניתן</w:t>
      </w:r>
      <w:r w:rsidRPr="00C20BED">
        <w:rPr>
          <w:rFonts w:ascii="Century" w:hAnsi="Century" w:cs="Miriam"/>
          <w:b/>
          <w:spacing w:val="0"/>
          <w:szCs w:val="24"/>
          <w:rtl/>
        </w:rPr>
        <w:t xml:space="preserve"> </w:t>
      </w:r>
      <w:r w:rsidRPr="00C20BED">
        <w:rPr>
          <w:rFonts w:ascii="Century" w:hAnsi="Century" w:cs="Miriam" w:hint="eastAsia"/>
          <w:b/>
          <w:spacing w:val="0"/>
          <w:szCs w:val="24"/>
          <w:rtl/>
        </w:rPr>
        <w:t>ללמוד</w:t>
      </w:r>
      <w:r w:rsidRPr="00C20BED">
        <w:rPr>
          <w:rFonts w:ascii="Century" w:hAnsi="Century" w:cs="Miriam"/>
          <w:b/>
          <w:spacing w:val="0"/>
          <w:szCs w:val="24"/>
          <w:rtl/>
        </w:rPr>
        <w:t xml:space="preserve"> </w:t>
      </w:r>
      <w:r w:rsidRPr="00C20BED">
        <w:rPr>
          <w:rFonts w:ascii="Century" w:hAnsi="Century" w:cs="Miriam" w:hint="eastAsia"/>
          <w:b/>
          <w:spacing w:val="0"/>
          <w:szCs w:val="24"/>
          <w:rtl/>
        </w:rPr>
        <w:t>מהוראות</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עצמו</w:t>
      </w:r>
      <w:r w:rsidRPr="00C20BED">
        <w:rPr>
          <w:rFonts w:ascii="Century" w:hAnsi="Century" w:cs="Miriam"/>
          <w:b/>
          <w:spacing w:val="0"/>
          <w:szCs w:val="24"/>
          <w:rtl/>
        </w:rPr>
        <w:t xml:space="preserve">. </w:t>
      </w:r>
      <w:r w:rsidRPr="00C20BED">
        <w:rPr>
          <w:rFonts w:ascii="Century" w:hAnsi="Century" w:cs="Miriam" w:hint="eastAsia"/>
          <w:b/>
          <w:spacing w:val="0"/>
          <w:szCs w:val="24"/>
          <w:rtl/>
        </w:rPr>
        <w:t>יש</w:t>
      </w:r>
      <w:r w:rsidRPr="00C20BED">
        <w:rPr>
          <w:rFonts w:ascii="Century" w:hAnsi="Century" w:cs="Miriam"/>
          <w:b/>
          <w:spacing w:val="0"/>
          <w:szCs w:val="24"/>
          <w:rtl/>
        </w:rPr>
        <w:t xml:space="preserve"> </w:t>
      </w:r>
      <w:r w:rsidRPr="00C20BED">
        <w:rPr>
          <w:rFonts w:ascii="Century" w:hAnsi="Century" w:cs="Miriam" w:hint="eastAsia"/>
          <w:b/>
          <w:spacing w:val="0"/>
          <w:szCs w:val="24"/>
          <w:rtl/>
        </w:rPr>
        <w:t>לשים</w:t>
      </w:r>
      <w:r w:rsidRPr="00C20BED">
        <w:rPr>
          <w:rFonts w:ascii="Century" w:hAnsi="Century" w:cs="Miriam"/>
          <w:b/>
          <w:spacing w:val="0"/>
          <w:szCs w:val="24"/>
          <w:rtl/>
        </w:rPr>
        <w:t xml:space="preserve"> </w:t>
      </w:r>
      <w:r w:rsidRPr="00C20BED">
        <w:rPr>
          <w:rFonts w:ascii="Century" w:hAnsi="Century" w:cs="Miriam" w:hint="eastAsia"/>
          <w:b/>
          <w:spacing w:val="0"/>
          <w:szCs w:val="24"/>
          <w:rtl/>
        </w:rPr>
        <w:t>לב</w:t>
      </w:r>
      <w:r w:rsidRPr="00C20BED">
        <w:rPr>
          <w:rFonts w:ascii="Century" w:hAnsi="Century" w:cs="Miriam"/>
          <w:b/>
          <w:spacing w:val="0"/>
          <w:szCs w:val="24"/>
          <w:rtl/>
        </w:rPr>
        <w:t xml:space="preserve"> </w:t>
      </w:r>
      <w:r w:rsidRPr="00C20BED">
        <w:rPr>
          <w:rFonts w:ascii="Century" w:hAnsi="Century" w:cs="Miriam" w:hint="eastAsia"/>
          <w:b/>
          <w:spacing w:val="0"/>
          <w:szCs w:val="24"/>
          <w:rtl/>
        </w:rPr>
        <w:t>כי</w:t>
      </w:r>
      <w:r w:rsidRPr="00C20BED">
        <w:rPr>
          <w:rFonts w:ascii="Century" w:hAnsi="Century" w:cs="Miriam"/>
          <w:b/>
          <w:spacing w:val="0"/>
          <w:szCs w:val="24"/>
          <w:rtl/>
        </w:rPr>
        <w:t xml:space="preserve"> </w:t>
      </w:r>
      <w:r w:rsidRPr="00C20BED">
        <w:rPr>
          <w:rFonts w:ascii="Century" w:hAnsi="Century" w:cs="Miriam" w:hint="eastAsia"/>
          <w:b/>
          <w:spacing w:val="0"/>
          <w:szCs w:val="24"/>
          <w:rtl/>
        </w:rPr>
        <w:t>בני</w:t>
      </w:r>
      <w:r w:rsidRPr="00C20BED">
        <w:rPr>
          <w:rFonts w:ascii="Century" w:hAnsi="Century" w:cs="Miriam"/>
          <w:b/>
          <w:spacing w:val="0"/>
          <w:szCs w:val="24"/>
          <w:rtl/>
        </w:rPr>
        <w:t xml:space="preserve"> </w:t>
      </w:r>
      <w:r w:rsidRPr="00C20BED">
        <w:rPr>
          <w:rFonts w:ascii="Century" w:hAnsi="Century" w:cs="Miriam" w:hint="eastAsia"/>
          <w:b/>
          <w:spacing w:val="0"/>
          <w:szCs w:val="24"/>
          <w:rtl/>
        </w:rPr>
        <w:t>זוג</w:t>
      </w:r>
      <w:r w:rsidRPr="00C20BED">
        <w:rPr>
          <w:rFonts w:ascii="Century" w:hAnsi="Century" w:cs="Miriam"/>
          <w:b/>
          <w:spacing w:val="0"/>
          <w:szCs w:val="24"/>
          <w:rtl/>
        </w:rPr>
        <w:t xml:space="preserve"> </w:t>
      </w:r>
      <w:r w:rsidRPr="00C20BED">
        <w:rPr>
          <w:rFonts w:ascii="Century" w:hAnsi="Century" w:cs="Miriam" w:hint="eastAsia"/>
          <w:b/>
          <w:spacing w:val="0"/>
          <w:szCs w:val="24"/>
          <w:rtl/>
        </w:rPr>
        <w:t>שנפרדו</w:t>
      </w:r>
      <w:r w:rsidRPr="00C20BED">
        <w:rPr>
          <w:rFonts w:ascii="Century" w:hAnsi="Century" w:cs="Miriam"/>
          <w:b/>
          <w:spacing w:val="0"/>
          <w:szCs w:val="24"/>
          <w:rtl/>
        </w:rPr>
        <w:t xml:space="preserve"> </w:t>
      </w:r>
      <w:r w:rsidRPr="00C20BED">
        <w:rPr>
          <w:rFonts w:ascii="Century" w:hAnsi="Century" w:cs="Miriam" w:hint="eastAsia"/>
          <w:b/>
          <w:spacing w:val="0"/>
          <w:szCs w:val="24"/>
          <w:rtl/>
        </w:rPr>
        <w:t>כאשר</w:t>
      </w:r>
      <w:r w:rsidRPr="00C20BED">
        <w:rPr>
          <w:rFonts w:ascii="Century" w:hAnsi="Century" w:cs="Miriam"/>
          <w:b/>
          <w:spacing w:val="0"/>
          <w:szCs w:val="24"/>
          <w:rtl/>
        </w:rPr>
        <w:t xml:space="preserve"> </w:t>
      </w:r>
      <w:r w:rsidRPr="00C20BED">
        <w:rPr>
          <w:rFonts w:ascii="Century" w:hAnsi="Century" w:cs="Miriam" w:hint="eastAsia"/>
          <w:b/>
          <w:spacing w:val="0"/>
          <w:szCs w:val="24"/>
          <w:rtl/>
        </w:rPr>
        <w:t>אחד</w:t>
      </w:r>
      <w:r w:rsidRPr="00C20BED">
        <w:rPr>
          <w:rFonts w:ascii="Century" w:hAnsi="Century" w:cs="Miriam"/>
          <w:b/>
          <w:spacing w:val="0"/>
          <w:szCs w:val="24"/>
          <w:rtl/>
        </w:rPr>
        <w:t xml:space="preserve"> </w:t>
      </w:r>
      <w:r w:rsidRPr="00C20BED">
        <w:rPr>
          <w:rFonts w:ascii="Century" w:hAnsi="Century" w:cs="Miriam" w:hint="eastAsia"/>
          <w:b/>
          <w:spacing w:val="0"/>
          <w:szCs w:val="24"/>
          <w:rtl/>
        </w:rPr>
        <w:t>מהם</w:t>
      </w:r>
      <w:r w:rsidRPr="00C20BED">
        <w:rPr>
          <w:rFonts w:ascii="Century" w:hAnsi="Century" w:cs="Miriam"/>
          <w:b/>
          <w:spacing w:val="0"/>
          <w:szCs w:val="24"/>
          <w:rtl/>
        </w:rPr>
        <w:t xml:space="preserve"> </w:t>
      </w:r>
      <w:r w:rsidRPr="00C20BED">
        <w:rPr>
          <w:rFonts w:ascii="Century" w:hAnsi="Century" w:cs="Miriam" w:hint="eastAsia"/>
          <w:b/>
          <w:spacing w:val="0"/>
          <w:szCs w:val="24"/>
          <w:rtl/>
        </w:rPr>
        <w:t>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בן</w:t>
      </w:r>
      <w:r w:rsidRPr="00C20BED">
        <w:rPr>
          <w:rFonts w:ascii="Century" w:hAnsi="Century" w:cs="Miriam"/>
          <w:b/>
          <w:spacing w:val="0"/>
          <w:szCs w:val="24"/>
          <w:rtl/>
        </w:rPr>
        <w:t xml:space="preserve"> </w:t>
      </w:r>
      <w:r w:rsidRPr="00C20BED">
        <w:rPr>
          <w:rFonts w:ascii="Century" w:hAnsi="Century" w:cs="Miriam" w:hint="eastAsia"/>
          <w:b/>
          <w:spacing w:val="0"/>
          <w:szCs w:val="24"/>
          <w:rtl/>
        </w:rPr>
        <w:t>הזוג</w:t>
      </w:r>
      <w:r w:rsidRPr="00C20BED">
        <w:rPr>
          <w:rFonts w:ascii="Century" w:hAnsi="Century" w:cs="Miriam"/>
          <w:b/>
          <w:spacing w:val="0"/>
          <w:szCs w:val="24"/>
          <w:rtl/>
        </w:rPr>
        <w:t xml:space="preserve"> </w:t>
      </w:r>
      <w:r w:rsidRPr="00C20BED">
        <w:rPr>
          <w:rFonts w:ascii="Century" w:hAnsi="Century" w:cs="Miriam" w:hint="eastAsia"/>
          <w:b/>
          <w:spacing w:val="0"/>
          <w:szCs w:val="24"/>
          <w:rtl/>
        </w:rPr>
        <w:t>הזר</w:t>
      </w:r>
      <w:r w:rsidRPr="00C20BED">
        <w:rPr>
          <w:rFonts w:ascii="Century" w:hAnsi="Century" w:cs="Miriam"/>
          <w:b/>
          <w:spacing w:val="0"/>
          <w:szCs w:val="24"/>
          <w:rtl/>
        </w:rPr>
        <w:t xml:space="preserve"> </w:t>
      </w:r>
      <w:r w:rsidRPr="00C20BED">
        <w:rPr>
          <w:rFonts w:ascii="Century" w:hAnsi="Century" w:cs="Miriam" w:hint="eastAsia"/>
          <w:b/>
          <w:spacing w:val="0"/>
          <w:szCs w:val="24"/>
          <w:rtl/>
        </w:rPr>
        <w:t>אינו</w:t>
      </w:r>
      <w:r w:rsidRPr="00C20BED">
        <w:rPr>
          <w:rFonts w:ascii="Century" w:hAnsi="Century" w:cs="Miriam"/>
          <w:b/>
          <w:spacing w:val="0"/>
          <w:szCs w:val="24"/>
          <w:rtl/>
        </w:rPr>
        <w:t xml:space="preserve"> </w:t>
      </w:r>
      <w:r w:rsidRPr="00C20BED">
        <w:rPr>
          <w:rFonts w:ascii="Century" w:hAnsi="Century" w:cs="Miriam" w:hint="eastAsia"/>
          <w:b/>
          <w:spacing w:val="0"/>
          <w:szCs w:val="24"/>
          <w:rtl/>
        </w:rPr>
        <w:t>זכאי</w:t>
      </w:r>
      <w:r w:rsidRPr="00C20BED">
        <w:rPr>
          <w:rFonts w:ascii="Century" w:hAnsi="Century" w:cs="Miriam"/>
          <w:b/>
          <w:spacing w:val="0"/>
          <w:szCs w:val="24"/>
          <w:rtl/>
        </w:rPr>
        <w:t xml:space="preserve"> </w:t>
      </w:r>
      <w:r w:rsidRPr="00C20BED">
        <w:rPr>
          <w:rFonts w:ascii="Century" w:hAnsi="Century" w:cs="Miriam" w:hint="eastAsia"/>
          <w:b/>
          <w:spacing w:val="0"/>
          <w:szCs w:val="24"/>
          <w:rtl/>
        </w:rPr>
        <w:t>לשבות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מכוח</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על</w:t>
      </w:r>
      <w:r w:rsidRPr="00C20BED">
        <w:rPr>
          <w:rFonts w:ascii="Century" w:hAnsi="Century" w:cs="Miriam"/>
          <w:b/>
          <w:spacing w:val="0"/>
          <w:szCs w:val="24"/>
          <w:rtl/>
        </w:rPr>
        <w:t xml:space="preserve"> </w:t>
      </w:r>
      <w:r w:rsidRPr="00C20BED">
        <w:rPr>
          <w:rFonts w:ascii="Century" w:hAnsi="Century" w:cs="Miriam" w:hint="eastAsia"/>
          <w:b/>
          <w:spacing w:val="0"/>
          <w:szCs w:val="24"/>
          <w:rtl/>
        </w:rPr>
        <w:t>אף</w:t>
      </w:r>
      <w:r w:rsidRPr="00C20BED">
        <w:rPr>
          <w:rFonts w:ascii="Century" w:hAnsi="Century" w:cs="Miriam"/>
          <w:b/>
          <w:spacing w:val="0"/>
          <w:szCs w:val="24"/>
          <w:rtl/>
        </w:rPr>
        <w:t xml:space="preserve"> </w:t>
      </w:r>
      <w:r w:rsidRPr="00C20BED">
        <w:rPr>
          <w:rFonts w:ascii="Century" w:hAnsi="Century" w:cs="Miriam" w:hint="eastAsia"/>
          <w:b/>
          <w:spacing w:val="0"/>
          <w:szCs w:val="24"/>
          <w:rtl/>
        </w:rPr>
        <w:t>שגם</w:t>
      </w:r>
      <w:r w:rsidRPr="00C20BED">
        <w:rPr>
          <w:rFonts w:ascii="Century" w:hAnsi="Century" w:cs="Miriam"/>
          <w:b/>
          <w:spacing w:val="0"/>
          <w:szCs w:val="24"/>
          <w:rtl/>
        </w:rPr>
        <w:t xml:space="preserve"> </w:t>
      </w:r>
      <w:r w:rsidRPr="00C20BED">
        <w:rPr>
          <w:rFonts w:ascii="Century" w:hAnsi="Century" w:cs="Miriam" w:hint="eastAsia"/>
          <w:b/>
          <w:spacing w:val="0"/>
          <w:szCs w:val="24"/>
          <w:rtl/>
        </w:rPr>
        <w:t>לגביו</w:t>
      </w:r>
      <w:r w:rsidRPr="00C20BED">
        <w:rPr>
          <w:rFonts w:ascii="Century" w:hAnsi="Century" w:cs="Miriam"/>
          <w:b/>
          <w:spacing w:val="0"/>
          <w:szCs w:val="24"/>
          <w:rtl/>
        </w:rPr>
        <w:t xml:space="preserve"> </w:t>
      </w:r>
      <w:r w:rsidRPr="00C20BED">
        <w:rPr>
          <w:rFonts w:ascii="Century" w:hAnsi="Century" w:cs="Miriam" w:hint="eastAsia"/>
          <w:b/>
          <w:spacing w:val="0"/>
          <w:szCs w:val="24"/>
          <w:rtl/>
        </w:rPr>
        <w:t>ניתן</w:t>
      </w:r>
      <w:r w:rsidRPr="00C20BED">
        <w:rPr>
          <w:rFonts w:ascii="Century" w:hAnsi="Century" w:cs="Miriam"/>
          <w:b/>
          <w:spacing w:val="0"/>
          <w:szCs w:val="24"/>
          <w:rtl/>
        </w:rPr>
        <w:t xml:space="preserve"> </w:t>
      </w:r>
      <w:r w:rsidRPr="00C20BED">
        <w:rPr>
          <w:rFonts w:ascii="Century" w:hAnsi="Century" w:cs="Miriam" w:hint="eastAsia"/>
          <w:b/>
          <w:spacing w:val="0"/>
          <w:szCs w:val="24"/>
          <w:rtl/>
        </w:rPr>
        <w:t>לטעון</w:t>
      </w:r>
      <w:r w:rsidRPr="00C20BED">
        <w:rPr>
          <w:rFonts w:ascii="Century" w:hAnsi="Century" w:cs="Miriam"/>
          <w:b/>
          <w:spacing w:val="0"/>
          <w:szCs w:val="24"/>
          <w:rtl/>
        </w:rPr>
        <w:t xml:space="preserve"> </w:t>
      </w:r>
      <w:r w:rsidRPr="00C20BED">
        <w:rPr>
          <w:rFonts w:ascii="Century" w:hAnsi="Century" w:cs="Miriam" w:hint="eastAsia"/>
          <w:b/>
          <w:spacing w:val="0"/>
          <w:szCs w:val="24"/>
          <w:rtl/>
        </w:rPr>
        <w:t>כי</w:t>
      </w:r>
      <w:r w:rsidRPr="00C20BED">
        <w:rPr>
          <w:rFonts w:ascii="Century" w:hAnsi="Century" w:cs="Miriam"/>
          <w:b/>
          <w:spacing w:val="0"/>
          <w:szCs w:val="24"/>
          <w:rtl/>
        </w:rPr>
        <w:t xml:space="preserve"> </w:t>
      </w:r>
      <w:r w:rsidRPr="00C20BED">
        <w:rPr>
          <w:rFonts w:ascii="Century" w:hAnsi="Century" w:cs="Miriam" w:hint="eastAsia"/>
          <w:b/>
          <w:spacing w:val="0"/>
          <w:szCs w:val="24"/>
          <w:rtl/>
        </w:rPr>
        <w:t>מתקיימות</w:t>
      </w:r>
      <w:r w:rsidRPr="00C20BED">
        <w:rPr>
          <w:rFonts w:ascii="Century" w:hAnsi="Century" w:cs="Miriam"/>
          <w:b/>
          <w:spacing w:val="0"/>
          <w:szCs w:val="24"/>
          <w:rtl/>
        </w:rPr>
        <w:t xml:space="preserve"> </w:t>
      </w:r>
      <w:r w:rsidRPr="00C20BED">
        <w:rPr>
          <w:rFonts w:ascii="Century" w:hAnsi="Century" w:cs="Miriam" w:hint="eastAsia"/>
          <w:b/>
          <w:spacing w:val="0"/>
          <w:szCs w:val="24"/>
          <w:rtl/>
        </w:rPr>
        <w:t>בחלקן</w:t>
      </w:r>
      <w:r w:rsidRPr="00C20BED">
        <w:rPr>
          <w:rFonts w:ascii="Century" w:hAnsi="Century" w:cs="Miriam"/>
          <w:b/>
          <w:spacing w:val="0"/>
          <w:szCs w:val="24"/>
          <w:rtl/>
        </w:rPr>
        <w:t xml:space="preserve"> </w:t>
      </w:r>
      <w:r w:rsidRPr="00C20BED">
        <w:rPr>
          <w:rFonts w:ascii="Century" w:hAnsi="Century" w:cs="Miriam" w:hint="eastAsia"/>
          <w:b/>
          <w:spacing w:val="0"/>
          <w:szCs w:val="24"/>
          <w:rtl/>
        </w:rPr>
        <w:t>תכליות</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cs"/>
          <w:b/>
          <w:spacing w:val="0"/>
          <w:szCs w:val="24"/>
          <w:rtl/>
        </w:rPr>
        <w:t>[...]</w:t>
      </w:r>
      <w:r w:rsidRPr="00C20BED">
        <w:rPr>
          <w:rFonts w:ascii="Century" w:hAnsi="Century" w:cs="Miriam"/>
          <w:b/>
          <w:spacing w:val="0"/>
          <w:szCs w:val="24"/>
          <w:rtl/>
        </w:rPr>
        <w:t xml:space="preserve">. </w:t>
      </w:r>
      <w:r w:rsidRPr="00C20BED">
        <w:rPr>
          <w:rFonts w:ascii="Century" w:hAnsi="Century" w:cs="Miriam" w:hint="eastAsia"/>
          <w:b/>
          <w:spacing w:val="0"/>
          <w:szCs w:val="24"/>
          <w:rtl/>
        </w:rPr>
        <w:t>לעומת</w:t>
      </w:r>
      <w:r w:rsidRPr="00C20BED">
        <w:rPr>
          <w:rFonts w:ascii="Century" w:hAnsi="Century" w:cs="Miriam"/>
          <w:b/>
          <w:spacing w:val="0"/>
          <w:szCs w:val="24"/>
          <w:rtl/>
        </w:rPr>
        <w:t xml:space="preserve"> </w:t>
      </w:r>
      <w:r w:rsidRPr="00C20BED">
        <w:rPr>
          <w:rFonts w:ascii="Century" w:hAnsi="Century" w:cs="Miriam" w:hint="eastAsia"/>
          <w:b/>
          <w:spacing w:val="0"/>
          <w:szCs w:val="24"/>
          <w:rtl/>
        </w:rPr>
        <w:t>זאת</w:t>
      </w:r>
      <w:r w:rsidRPr="00C20BED">
        <w:rPr>
          <w:rFonts w:ascii="Century" w:hAnsi="Century" w:cs="Miriam"/>
          <w:b/>
          <w:spacing w:val="0"/>
          <w:szCs w:val="24"/>
          <w:rtl/>
        </w:rPr>
        <w:t xml:space="preserve">, </w:t>
      </w:r>
      <w:r w:rsidRPr="00C20BED">
        <w:rPr>
          <w:rFonts w:ascii="Century" w:hAnsi="Century" w:cs="Miriam" w:hint="eastAsia"/>
          <w:b/>
          <w:spacing w:val="0"/>
          <w:szCs w:val="24"/>
          <w:rtl/>
        </w:rPr>
        <w:t>צאצאו</w:t>
      </w:r>
      <w:r w:rsidRPr="00C20BED">
        <w:rPr>
          <w:rFonts w:ascii="Century" w:hAnsi="Century" w:cs="Miriam"/>
          <w:b/>
          <w:spacing w:val="0"/>
          <w:szCs w:val="24"/>
          <w:rtl/>
        </w:rPr>
        <w:t xml:space="preserve"> </w:t>
      </w:r>
      <w:r w:rsidRPr="00C20BED">
        <w:rPr>
          <w:rFonts w:ascii="Century" w:hAnsi="Century" w:cs="Miriam" w:hint="eastAsia"/>
          <w:b/>
          <w:spacing w:val="0"/>
          <w:szCs w:val="24"/>
          <w:rtl/>
        </w:rPr>
        <w:t>של</w:t>
      </w:r>
      <w:r w:rsidRPr="00C20BED">
        <w:rPr>
          <w:rFonts w:ascii="Century" w:hAnsi="Century" w:cs="Miriam"/>
          <w:b/>
          <w:spacing w:val="0"/>
          <w:szCs w:val="24"/>
          <w:rtl/>
        </w:rPr>
        <w:t xml:space="preserve"> </w:t>
      </w:r>
      <w:r w:rsidRPr="00C20BED">
        <w:rPr>
          <w:rFonts w:ascii="Century" w:hAnsi="Century" w:cs="Miriam" w:hint="eastAsia"/>
          <w:b/>
          <w:spacing w:val="0"/>
          <w:szCs w:val="24"/>
          <w:rtl/>
        </w:rPr>
        <w:t>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יהיה</w:t>
      </w:r>
      <w:r w:rsidRPr="00C20BED">
        <w:rPr>
          <w:rFonts w:ascii="Century" w:hAnsi="Century" w:cs="Miriam"/>
          <w:b/>
          <w:spacing w:val="0"/>
          <w:szCs w:val="24"/>
          <w:rtl/>
        </w:rPr>
        <w:t xml:space="preserve"> </w:t>
      </w:r>
      <w:r w:rsidRPr="00C20BED">
        <w:rPr>
          <w:rFonts w:ascii="Century" w:hAnsi="Century" w:cs="Miriam" w:hint="eastAsia"/>
          <w:b/>
          <w:spacing w:val="0"/>
          <w:szCs w:val="24"/>
          <w:rtl/>
        </w:rPr>
        <w:t>זכאי</w:t>
      </w:r>
      <w:r w:rsidRPr="00C20BED">
        <w:rPr>
          <w:rFonts w:ascii="Century" w:hAnsi="Century" w:cs="Miriam"/>
          <w:b/>
          <w:spacing w:val="0"/>
          <w:szCs w:val="24"/>
          <w:rtl/>
        </w:rPr>
        <w:t xml:space="preserve"> </w:t>
      </w:r>
      <w:r w:rsidRPr="00C20BED">
        <w:rPr>
          <w:rFonts w:ascii="Century" w:hAnsi="Century" w:cs="Miriam" w:hint="eastAsia"/>
          <w:b/>
          <w:spacing w:val="0"/>
          <w:szCs w:val="24"/>
          <w:rtl/>
        </w:rPr>
        <w:t>לשבות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ללא</w:t>
      </w:r>
      <w:r w:rsidRPr="00C20BED">
        <w:rPr>
          <w:rFonts w:ascii="Century" w:hAnsi="Century" w:cs="Miriam"/>
          <w:b/>
          <w:spacing w:val="0"/>
          <w:szCs w:val="24"/>
          <w:rtl/>
        </w:rPr>
        <w:t xml:space="preserve"> </w:t>
      </w:r>
      <w:r w:rsidRPr="00C20BED">
        <w:rPr>
          <w:rFonts w:ascii="Century" w:hAnsi="Century" w:cs="Miriam" w:hint="eastAsia"/>
          <w:b/>
          <w:spacing w:val="0"/>
          <w:szCs w:val="24"/>
          <w:rtl/>
        </w:rPr>
        <w:t>קשר</w:t>
      </w:r>
      <w:r w:rsidRPr="00C20BED">
        <w:rPr>
          <w:rFonts w:ascii="Century" w:hAnsi="Century" w:cs="Miriam"/>
          <w:b/>
          <w:spacing w:val="0"/>
          <w:szCs w:val="24"/>
          <w:rtl/>
        </w:rPr>
        <w:t xml:space="preserve"> </w:t>
      </w:r>
      <w:r w:rsidRPr="00C20BED">
        <w:rPr>
          <w:rFonts w:ascii="Century" w:hAnsi="Century" w:cs="Miriam" w:hint="eastAsia"/>
          <w:b/>
          <w:spacing w:val="0"/>
          <w:szCs w:val="24"/>
          <w:rtl/>
        </w:rPr>
        <w:t>למצב</w:t>
      </w:r>
      <w:r w:rsidRPr="00C20BED">
        <w:rPr>
          <w:rFonts w:ascii="Century" w:hAnsi="Century" w:cs="Miriam"/>
          <w:b/>
          <w:spacing w:val="0"/>
          <w:szCs w:val="24"/>
          <w:rtl/>
        </w:rPr>
        <w:t xml:space="preserve"> </w:t>
      </w:r>
      <w:r w:rsidRPr="00C20BED">
        <w:rPr>
          <w:rFonts w:ascii="Century" w:hAnsi="Century" w:cs="Miriam" w:hint="eastAsia"/>
          <w:b/>
          <w:spacing w:val="0"/>
          <w:szCs w:val="24"/>
          <w:rtl/>
        </w:rPr>
        <w:t>הזוגי</w:t>
      </w:r>
      <w:r w:rsidRPr="00C20BED">
        <w:rPr>
          <w:rFonts w:ascii="Century" w:hAnsi="Century" w:cs="Miriam"/>
          <w:b/>
          <w:spacing w:val="0"/>
          <w:szCs w:val="24"/>
          <w:rtl/>
        </w:rPr>
        <w:t xml:space="preserve"> </w:t>
      </w:r>
      <w:r w:rsidRPr="00C20BED">
        <w:rPr>
          <w:rFonts w:ascii="Century" w:hAnsi="Century" w:cs="Miriam" w:hint="eastAsia"/>
          <w:b/>
          <w:spacing w:val="0"/>
          <w:szCs w:val="24"/>
          <w:rtl/>
        </w:rPr>
        <w:t>של</w:t>
      </w:r>
      <w:r w:rsidRPr="00C20BED">
        <w:rPr>
          <w:rFonts w:ascii="Century" w:hAnsi="Century" w:cs="Miriam"/>
          <w:b/>
          <w:spacing w:val="0"/>
          <w:szCs w:val="24"/>
          <w:rtl/>
        </w:rPr>
        <w:t xml:space="preserve"> </w:t>
      </w:r>
      <w:r w:rsidRPr="00C20BED">
        <w:rPr>
          <w:rFonts w:ascii="Century" w:hAnsi="Century" w:cs="Miriam" w:hint="eastAsia"/>
          <w:b/>
          <w:spacing w:val="0"/>
          <w:szCs w:val="24"/>
          <w:rtl/>
        </w:rPr>
        <w:t>הוריו</w:t>
      </w:r>
      <w:r w:rsidRPr="00C20BED">
        <w:rPr>
          <w:rFonts w:ascii="Century" w:hAnsi="Century" w:cs="Miriam"/>
          <w:b/>
          <w:spacing w:val="0"/>
          <w:szCs w:val="24"/>
          <w:rtl/>
        </w:rPr>
        <w:t xml:space="preserve"> </w:t>
      </w:r>
      <w:r w:rsidRPr="00C20BED">
        <w:rPr>
          <w:rFonts w:ascii="Century" w:hAnsi="Century" w:cs="Miriam" w:hint="eastAsia"/>
          <w:b/>
          <w:spacing w:val="0"/>
          <w:szCs w:val="24"/>
          <w:rtl/>
        </w:rPr>
        <w:t>או</w:t>
      </w:r>
      <w:r w:rsidRPr="00C20BED">
        <w:rPr>
          <w:rFonts w:ascii="Century" w:hAnsi="Century" w:cs="Miriam"/>
          <w:b/>
          <w:spacing w:val="0"/>
          <w:szCs w:val="24"/>
          <w:rtl/>
        </w:rPr>
        <w:t xml:space="preserve"> </w:t>
      </w:r>
      <w:r w:rsidRPr="00C20BED">
        <w:rPr>
          <w:rFonts w:ascii="Century" w:hAnsi="Century" w:cs="Miriam" w:hint="eastAsia"/>
          <w:b/>
          <w:spacing w:val="0"/>
          <w:szCs w:val="24"/>
          <w:rtl/>
        </w:rPr>
        <w:t>לחיים</w:t>
      </w:r>
      <w:r w:rsidRPr="00C20BED">
        <w:rPr>
          <w:rFonts w:ascii="Century" w:hAnsi="Century" w:cs="Miriam"/>
          <w:b/>
          <w:spacing w:val="0"/>
          <w:szCs w:val="24"/>
          <w:rtl/>
        </w:rPr>
        <w:t xml:space="preserve"> </w:t>
      </w:r>
      <w:r w:rsidRPr="00C20BED">
        <w:rPr>
          <w:rFonts w:ascii="Century" w:hAnsi="Century" w:cs="Miriam" w:hint="eastAsia"/>
          <w:b/>
          <w:spacing w:val="0"/>
          <w:szCs w:val="24"/>
          <w:rtl/>
        </w:rPr>
        <w:t>משותפים</w:t>
      </w:r>
      <w:r w:rsidRPr="00C20BED">
        <w:rPr>
          <w:rFonts w:ascii="Century" w:hAnsi="Century" w:cs="Miriam"/>
          <w:b/>
          <w:spacing w:val="0"/>
          <w:szCs w:val="24"/>
          <w:rtl/>
        </w:rPr>
        <w:t xml:space="preserve"> </w:t>
      </w:r>
      <w:r w:rsidRPr="00C20BED">
        <w:rPr>
          <w:rFonts w:ascii="Century" w:hAnsi="Century" w:cs="Miriam" w:hint="eastAsia"/>
          <w:b/>
          <w:spacing w:val="0"/>
          <w:szCs w:val="24"/>
          <w:rtl/>
        </w:rPr>
        <w:t>עימם</w:t>
      </w:r>
      <w:r w:rsidRPr="00C20BED">
        <w:rPr>
          <w:rFonts w:ascii="Century" w:hAnsi="Century" w:cs="Miriam"/>
          <w:b/>
          <w:spacing w:val="0"/>
          <w:szCs w:val="24"/>
          <w:rtl/>
        </w:rPr>
        <w:t xml:space="preserve">. </w:t>
      </w:r>
      <w:r w:rsidRPr="00B524D2">
        <w:rPr>
          <w:rFonts w:ascii="Century" w:hAnsi="Century" w:cs="Miriam" w:hint="eastAsia"/>
          <w:b/>
          <w:spacing w:val="0"/>
          <w:szCs w:val="24"/>
          <w:u w:val="single"/>
          <w:rtl/>
        </w:rPr>
        <w:t>נראה</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כי</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ניתן</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ללמוד</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מכך</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על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רצונו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המחוקק</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להפריד</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בין</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מעמדו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בן</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זוגו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יהודי</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לבין</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מעמדו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צאצאו</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של</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יהודי</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קשר</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הדם</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הוא</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שמסביר</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הבחנה</w:t>
      </w:r>
      <w:r w:rsidRPr="00B524D2">
        <w:rPr>
          <w:rFonts w:ascii="Century" w:hAnsi="Century" w:cs="Miriam"/>
          <w:b/>
          <w:spacing w:val="0"/>
          <w:szCs w:val="24"/>
          <w:u w:val="single"/>
          <w:rtl/>
        </w:rPr>
        <w:t xml:space="preserve"> </w:t>
      </w:r>
      <w:r w:rsidRPr="00B524D2">
        <w:rPr>
          <w:rFonts w:ascii="Century" w:hAnsi="Century" w:cs="Miriam" w:hint="eastAsia"/>
          <w:b/>
          <w:spacing w:val="0"/>
          <w:szCs w:val="24"/>
          <w:u w:val="single"/>
          <w:rtl/>
        </w:rPr>
        <w:t>זו</w:t>
      </w:r>
      <w:r w:rsidRPr="00C20BED">
        <w:rPr>
          <w:rFonts w:ascii="Century" w:hAnsi="Century" w:cs="Miriam" w:hint="cs"/>
          <w:b/>
          <w:spacing w:val="0"/>
          <w:szCs w:val="24"/>
          <w:rtl/>
        </w:rPr>
        <w:t>"</w:t>
      </w:r>
      <w:r>
        <w:rPr>
          <w:rFonts w:ascii="Century" w:hAnsi="Century" w:cs="Miriam" w:hint="cs"/>
          <w:b/>
          <w:spacing w:val="0"/>
          <w:szCs w:val="24"/>
          <w:rtl/>
        </w:rPr>
        <w:t xml:space="preserve"> </w:t>
      </w:r>
      <w:r>
        <w:rPr>
          <w:rFonts w:ascii="Century" w:hAnsi="Century" w:hint="cs"/>
          <w:rtl/>
        </w:rPr>
        <w:t>(</w:t>
      </w:r>
      <w:r w:rsidRPr="00C20BED">
        <w:rPr>
          <w:rFonts w:ascii="Century" w:hAnsi="Century" w:cs="Miriam" w:hint="cs"/>
          <w:b/>
          <w:spacing w:val="0"/>
          <w:szCs w:val="24"/>
          <w:rtl/>
        </w:rPr>
        <w:t>שם</w:t>
      </w:r>
      <w:r>
        <w:rPr>
          <w:rFonts w:ascii="Century" w:hAnsi="Century" w:hint="cs"/>
          <w:rtl/>
        </w:rPr>
        <w:t xml:space="preserve">, פסקה 36) (ההדגשות הוּספוּ </w:t>
      </w:r>
      <w:r>
        <w:rPr>
          <w:rFonts w:ascii="Century" w:hAnsi="Century"/>
          <w:rtl/>
        </w:rPr>
        <w:t>–</w:t>
      </w:r>
      <w:r>
        <w:rPr>
          <w:rFonts w:ascii="Century" w:hAnsi="Century" w:hint="cs"/>
          <w:rtl/>
        </w:rPr>
        <w:t xml:space="preserve"> נ' ס').</w:t>
      </w:r>
    </w:p>
    <w:p w:rsidR="00872589" w:rsidRDefault="00872589" w:rsidP="00872589">
      <w:pPr>
        <w:pStyle w:val="Ruller41"/>
        <w:rPr>
          <w:rtl/>
        </w:rPr>
      </w:pPr>
    </w:p>
    <w:p w:rsidR="00872589" w:rsidRDefault="00872589" w:rsidP="00872589">
      <w:pPr>
        <w:pStyle w:val="Ruller4"/>
        <w:textAlignment w:val="baseline"/>
        <w:rPr>
          <w:rtl/>
        </w:rPr>
      </w:pPr>
      <w:r>
        <w:rPr>
          <w:rFonts w:hint="cs"/>
          <w:rtl/>
        </w:rPr>
        <w:t xml:space="preserve">מעניין, אף חשוב, לציין את ההתפתחות ההלכתית בדורות האחרונים בנוגע לאדם הנושא קשר דם לעם היהודי דרך אביו, אך לא דרך אמו; כלומר, אדם שאינו יהודי על פי ההגדרה ההלכתית, אך שבעורקיו זורם (גם) דם של יהודי. מצבו הייחודי של צאצא היהודי, שאינו יהודי בעצמו, זכה לכינוי 'זרע ישראל' </w:t>
      </w:r>
      <w:r>
        <w:rPr>
          <w:rtl/>
        </w:rPr>
        <w:t>–</w:t>
      </w:r>
      <w:r>
        <w:rPr>
          <w:rFonts w:hint="cs"/>
          <w:rtl/>
        </w:rPr>
        <w:t xml:space="preserve"> קטגוריה הלכתית שפותחה, בין היתר, בכתיבתם של הרב צבי הירש קלישר (דבריו מובאים ב</w:t>
      </w:r>
      <w:r w:rsidRPr="001102F6">
        <w:rPr>
          <w:rFonts w:ascii="Century" w:hAnsi="Century" w:cs="Miriam" w:hint="cs"/>
          <w:b/>
          <w:spacing w:val="0"/>
          <w:sz w:val="22"/>
          <w:szCs w:val="24"/>
          <w:rtl/>
        </w:rPr>
        <w:t>שו"ת הרב עזריאל הילדסהיימר</w:t>
      </w:r>
      <w:r>
        <w:rPr>
          <w:rFonts w:hint="cs"/>
          <w:rtl/>
        </w:rPr>
        <w:t xml:space="preserve"> חלק א, יורה דעה, סימן רכט); הראשון לציון הרב בן ציון מאיר חי עוזיאל (ראו למשל, </w:t>
      </w:r>
      <w:r w:rsidRPr="001102F6">
        <w:rPr>
          <w:rFonts w:ascii="Century" w:hAnsi="Century" w:cs="Miriam" w:hint="cs"/>
          <w:b/>
          <w:spacing w:val="0"/>
          <w:sz w:val="22"/>
          <w:szCs w:val="24"/>
          <w:rtl/>
        </w:rPr>
        <w:t>שו"ת פסקי עוזיאל בשאלות הזמן</w:t>
      </w:r>
      <w:r>
        <w:rPr>
          <w:rFonts w:hint="cs"/>
          <w:rtl/>
        </w:rPr>
        <w:t xml:space="preserve">, סימן סד (התשל"ז)); ובהמשך גם הרב חיים אמסלם (בעיקר בספרו </w:t>
      </w:r>
      <w:r w:rsidRPr="001102F6">
        <w:rPr>
          <w:rFonts w:ascii="Century" w:hAnsi="Century" w:cs="Miriam" w:hint="cs"/>
          <w:b/>
          <w:spacing w:val="0"/>
          <w:sz w:val="22"/>
          <w:szCs w:val="24"/>
          <w:rtl/>
        </w:rPr>
        <w:t>זרע ישראל</w:t>
      </w:r>
      <w:r>
        <w:rPr>
          <w:rFonts w:ascii="Century" w:hAnsi="Century" w:cs="Miriam" w:hint="cs"/>
          <w:b/>
          <w:spacing w:val="0"/>
          <w:sz w:val="22"/>
          <w:szCs w:val="24"/>
          <w:rtl/>
        </w:rPr>
        <w:t xml:space="preserve"> </w:t>
      </w:r>
      <w:r w:rsidRPr="002A158B">
        <w:rPr>
          <w:rFonts w:ascii="Century" w:hAnsi="Century"/>
          <w:sz w:val="22"/>
          <w:rtl/>
        </w:rPr>
        <w:t>–</w:t>
      </w:r>
      <w:r w:rsidRPr="002A158B">
        <w:rPr>
          <w:rFonts w:ascii="Century" w:hAnsi="Century" w:hint="cs"/>
          <w:sz w:val="22"/>
          <w:rtl/>
        </w:rPr>
        <w:t xml:space="preserve"> </w:t>
      </w:r>
      <w:r w:rsidRPr="001102F6">
        <w:rPr>
          <w:rFonts w:ascii="Century" w:hAnsi="Century" w:cs="Miriam" w:hint="cs"/>
          <w:b/>
          <w:spacing w:val="0"/>
          <w:sz w:val="22"/>
          <w:szCs w:val="24"/>
          <w:rtl/>
        </w:rPr>
        <w:t>חקרי הלכה בענייני גרות וגיור, ובדין גו</w:t>
      </w:r>
      <w:r>
        <w:rPr>
          <w:rFonts w:ascii="Century" w:hAnsi="Century" w:cs="Miriam" w:hint="cs"/>
          <w:b/>
          <w:spacing w:val="0"/>
          <w:sz w:val="22"/>
          <w:szCs w:val="24"/>
          <w:rtl/>
        </w:rPr>
        <w:t>י</w:t>
      </w:r>
      <w:r w:rsidRPr="001102F6">
        <w:rPr>
          <w:rFonts w:ascii="Century" w:hAnsi="Century" w:cs="Miriam" w:hint="cs"/>
          <w:b/>
          <w:spacing w:val="0"/>
          <w:sz w:val="22"/>
          <w:szCs w:val="24"/>
          <w:rtl/>
        </w:rPr>
        <w:t>ים מזרע ישראל וצאצאיהם הבאים להתגייר</w:t>
      </w:r>
      <w:r w:rsidRPr="001102F6">
        <w:rPr>
          <w:rFonts w:hint="cs"/>
          <w:rtl/>
        </w:rPr>
        <w:t xml:space="preserve"> </w:t>
      </w:r>
      <w:r>
        <w:rPr>
          <w:rFonts w:hint="cs"/>
          <w:rtl/>
        </w:rPr>
        <w:t xml:space="preserve">(התש"ע) (להלן: </w:t>
      </w:r>
      <w:r w:rsidRPr="002A158B">
        <w:rPr>
          <w:rFonts w:ascii="Century" w:hAnsi="Century" w:cs="Miriam" w:hint="cs"/>
          <w:b/>
          <w:spacing w:val="0"/>
          <w:sz w:val="22"/>
          <w:szCs w:val="24"/>
          <w:rtl/>
        </w:rPr>
        <w:t>הרב אמסלם</w:t>
      </w:r>
      <w:r>
        <w:rPr>
          <w:rFonts w:hint="cs"/>
          <w:rtl/>
        </w:rPr>
        <w:t xml:space="preserve">)). לענייננו, די אם אציין כי בניגוד לגישה כללית שנשמעה לגבי גרים (אף שגם בעניין זה יש גישות חולקות), הורו רבים מפוסקי ההלכה בנוגע לאנשי 'זרע ישראל', כי </w:t>
      </w:r>
      <w:r w:rsidRPr="002A158B">
        <w:rPr>
          <w:rFonts w:ascii="Century" w:hAnsi="Century" w:cs="Miriam" w:hint="cs"/>
          <w:b/>
          <w:spacing w:val="0"/>
          <w:sz w:val="22"/>
          <w:szCs w:val="24"/>
          <w:rtl/>
        </w:rPr>
        <w:t>"בודאי שצריך לקרבם ואין לרחקם, והוא כיוון שהם מזרע יהודי"</w:t>
      </w:r>
      <w:r>
        <w:rPr>
          <w:rFonts w:hint="cs"/>
          <w:rtl/>
        </w:rPr>
        <w:t xml:space="preserve"> (דברי הרב יוסף שלום אלישיב, המובאים אצל </w:t>
      </w:r>
      <w:r w:rsidRPr="002A158B">
        <w:rPr>
          <w:rFonts w:ascii="Century" w:hAnsi="Century" w:cs="Miriam" w:hint="cs"/>
          <w:b/>
          <w:spacing w:val="0"/>
          <w:sz w:val="22"/>
          <w:szCs w:val="24"/>
          <w:rtl/>
        </w:rPr>
        <w:t>הרב אמסלם</w:t>
      </w:r>
      <w:r>
        <w:rPr>
          <w:rFonts w:hint="cs"/>
          <w:rtl/>
        </w:rPr>
        <w:t xml:space="preserve">, עמוד שי; וראו גם, למשל: הרב משה שמואל גלזנר </w:t>
      </w:r>
      <w:r w:rsidRPr="002A158B">
        <w:rPr>
          <w:rFonts w:ascii="Century" w:hAnsi="Century" w:cs="Miriam" w:hint="cs"/>
          <w:b/>
          <w:spacing w:val="0"/>
          <w:sz w:val="22"/>
          <w:szCs w:val="24"/>
          <w:rtl/>
        </w:rPr>
        <w:t>חקור דבר</w:t>
      </w:r>
      <w:r w:rsidRPr="002A158B">
        <w:rPr>
          <w:rFonts w:hint="cs"/>
          <w:rtl/>
        </w:rPr>
        <w:t xml:space="preserve"> </w:t>
      </w:r>
      <w:r>
        <w:rPr>
          <w:rFonts w:hint="cs"/>
          <w:rtl/>
        </w:rPr>
        <w:t xml:space="preserve">יא (התרס"א); הרב איסר יהודה אונטרמן "הלכות גירות ודרך ביצוען" </w:t>
      </w:r>
      <w:r w:rsidRPr="002A158B">
        <w:rPr>
          <w:rFonts w:ascii="Century" w:hAnsi="Century" w:cs="Miriam" w:hint="cs"/>
          <w:b/>
          <w:spacing w:val="0"/>
          <w:sz w:val="22"/>
          <w:szCs w:val="24"/>
          <w:rtl/>
        </w:rPr>
        <w:t>תורה שבעל פה</w:t>
      </w:r>
      <w:r w:rsidRPr="002A158B">
        <w:rPr>
          <w:rFonts w:hint="cs"/>
          <w:rtl/>
        </w:rPr>
        <w:t xml:space="preserve"> </w:t>
      </w:r>
      <w:r>
        <w:rPr>
          <w:rFonts w:hint="cs"/>
          <w:rtl/>
        </w:rPr>
        <w:t xml:space="preserve">יג (התשל"א); הרב אשר וייס "האם יש להשתדל בקבלת גרים בזמנינו" </w:t>
      </w:r>
      <w:r w:rsidRPr="002A158B">
        <w:rPr>
          <w:rFonts w:ascii="Century" w:hAnsi="Century" w:cs="Miriam" w:hint="cs"/>
          <w:b/>
          <w:spacing w:val="0"/>
          <w:sz w:val="22"/>
          <w:szCs w:val="24"/>
          <w:rtl/>
        </w:rPr>
        <w:t xml:space="preserve">דרכי הוראה </w:t>
      </w:r>
      <w:r w:rsidRPr="002A158B">
        <w:rPr>
          <w:rFonts w:ascii="Century" w:hAnsi="Century"/>
          <w:sz w:val="22"/>
          <w:rtl/>
        </w:rPr>
        <w:t>–</w:t>
      </w:r>
      <w:r w:rsidRPr="002A158B">
        <w:rPr>
          <w:rFonts w:ascii="Century" w:hAnsi="Century" w:cs="Miriam" w:hint="cs"/>
          <w:b/>
          <w:spacing w:val="0"/>
          <w:sz w:val="22"/>
          <w:szCs w:val="24"/>
          <w:rtl/>
        </w:rPr>
        <w:t xml:space="preserve"> הלכות גירות</w:t>
      </w:r>
      <w:r>
        <w:rPr>
          <w:rFonts w:hint="cs"/>
          <w:rtl/>
        </w:rPr>
        <w:t>, סימן טו, עמודים פב-פג (התשע"א);</w:t>
      </w:r>
      <w:r w:rsidRPr="009435B1">
        <w:rPr>
          <w:rFonts w:hint="cs"/>
          <w:rtl/>
        </w:rPr>
        <w:t xml:space="preserve"> </w:t>
      </w:r>
      <w:r>
        <w:rPr>
          <w:rFonts w:hint="cs"/>
          <w:rtl/>
        </w:rPr>
        <w:t>אציין, כי יתכן שמעמד זה מוגבל לבן היהודי, אך לא לנכדו וליתר צאצאיו</w:t>
      </w:r>
      <w:r w:rsidRPr="00A877F9">
        <w:rPr>
          <w:rFonts w:hint="cs"/>
          <w:rtl/>
        </w:rPr>
        <w:t xml:space="preserve"> </w:t>
      </w:r>
      <w:r w:rsidRPr="00A877F9">
        <w:rPr>
          <w:rtl/>
        </w:rPr>
        <w:t>–</w:t>
      </w:r>
      <w:r w:rsidRPr="00A877F9">
        <w:rPr>
          <w:rFonts w:hint="cs"/>
          <w:rtl/>
        </w:rPr>
        <w:t xml:space="preserve"> ראו, למשל</w:t>
      </w:r>
      <w:r>
        <w:rPr>
          <w:rFonts w:hint="cs"/>
          <w:rtl/>
        </w:rPr>
        <w:t>, את עמדת</w:t>
      </w:r>
      <w:r w:rsidRPr="00A877F9">
        <w:rPr>
          <w:rFonts w:hint="cs"/>
          <w:rtl/>
        </w:rPr>
        <w:t xml:space="preserve"> הרב אורי רדמן "'זרע ישראל': מהותו ויישומו בהלכות גירות" </w:t>
      </w:r>
      <w:r w:rsidRPr="00A877F9">
        <w:rPr>
          <w:rFonts w:ascii="Century" w:hAnsi="Century" w:cs="Miriam" w:hint="cs"/>
          <w:b/>
          <w:spacing w:val="0"/>
          <w:sz w:val="22"/>
          <w:szCs w:val="24"/>
          <w:rtl/>
        </w:rPr>
        <w:t>צהר</w:t>
      </w:r>
      <w:r w:rsidRPr="00A877F9">
        <w:rPr>
          <w:rFonts w:hint="cs"/>
          <w:rtl/>
        </w:rPr>
        <w:t xml:space="preserve"> לט 113, 126 (התשע"ט)</w:t>
      </w:r>
      <w:r w:rsidRPr="00987ECD">
        <w:rPr>
          <w:rtl/>
        </w:rPr>
        <w:t>)</w:t>
      </w:r>
      <w:r w:rsidRPr="0037755F">
        <w:rPr>
          <w:rtl/>
        </w:rPr>
        <w:t xml:space="preserve">. </w:t>
      </w:r>
      <w:r>
        <w:rPr>
          <w:rFonts w:hint="cs"/>
          <w:rtl/>
        </w:rPr>
        <w:t>מכל מקום, מעמדו ההלכתי של</w:t>
      </w:r>
      <w:r w:rsidRPr="0037755F">
        <w:rPr>
          <w:rtl/>
        </w:rPr>
        <w:t xml:space="preserve"> </w:t>
      </w:r>
      <w:r w:rsidRPr="0037755F">
        <w:rPr>
          <w:rFonts w:hint="eastAsia"/>
          <w:rtl/>
        </w:rPr>
        <w:t>מי</w:t>
      </w:r>
      <w:r w:rsidRPr="0037755F">
        <w:rPr>
          <w:rtl/>
        </w:rPr>
        <w:t xml:space="preserve"> </w:t>
      </w:r>
      <w:r w:rsidRPr="0037755F">
        <w:rPr>
          <w:rFonts w:hint="eastAsia"/>
          <w:rtl/>
        </w:rPr>
        <w:t>שנישא</w:t>
      </w:r>
      <w:r w:rsidRPr="0037755F">
        <w:rPr>
          <w:rtl/>
        </w:rPr>
        <w:t xml:space="preserve"> </w:t>
      </w:r>
      <w:r w:rsidRPr="0037755F">
        <w:rPr>
          <w:rFonts w:hint="eastAsia"/>
          <w:rtl/>
        </w:rPr>
        <w:t>ליהודי</w:t>
      </w:r>
      <w:r w:rsidRPr="0037755F">
        <w:rPr>
          <w:rtl/>
        </w:rPr>
        <w:t xml:space="preserve">, </w:t>
      </w:r>
      <w:r w:rsidRPr="0037755F">
        <w:rPr>
          <w:rFonts w:hint="cs"/>
          <w:rtl/>
        </w:rPr>
        <w:t>או</w:t>
      </w:r>
      <w:r w:rsidRPr="0037755F">
        <w:rPr>
          <w:rtl/>
        </w:rPr>
        <w:t xml:space="preserve"> </w:t>
      </w:r>
      <w:r w:rsidRPr="0037755F">
        <w:rPr>
          <w:rFonts w:hint="eastAsia"/>
          <w:rtl/>
        </w:rPr>
        <w:t>לבן</w:t>
      </w:r>
      <w:r w:rsidRPr="0037755F">
        <w:rPr>
          <w:rtl/>
        </w:rPr>
        <w:t xml:space="preserve"> </w:t>
      </w:r>
      <w:r w:rsidRPr="0037755F">
        <w:rPr>
          <w:rFonts w:hint="eastAsia"/>
          <w:rtl/>
        </w:rPr>
        <w:t>או</w:t>
      </w:r>
      <w:r w:rsidRPr="0037755F">
        <w:rPr>
          <w:rtl/>
        </w:rPr>
        <w:t xml:space="preserve"> </w:t>
      </w:r>
      <w:r w:rsidRPr="0037755F">
        <w:rPr>
          <w:rFonts w:hint="eastAsia"/>
          <w:rtl/>
        </w:rPr>
        <w:t>לנכד</w:t>
      </w:r>
      <w:r w:rsidRPr="0037755F">
        <w:rPr>
          <w:rtl/>
        </w:rPr>
        <w:t xml:space="preserve"> </w:t>
      </w:r>
      <w:r w:rsidRPr="0037755F">
        <w:rPr>
          <w:rFonts w:hint="eastAsia"/>
          <w:rtl/>
        </w:rPr>
        <w:t>של</w:t>
      </w:r>
      <w:r w:rsidRPr="0037755F">
        <w:rPr>
          <w:rtl/>
        </w:rPr>
        <w:t xml:space="preserve"> </w:t>
      </w:r>
      <w:r w:rsidRPr="0037755F">
        <w:rPr>
          <w:rFonts w:hint="eastAsia"/>
          <w:rtl/>
        </w:rPr>
        <w:t>יהודי</w:t>
      </w:r>
      <w:r w:rsidRPr="0037755F">
        <w:rPr>
          <w:rFonts w:hint="cs"/>
          <w:rtl/>
        </w:rPr>
        <w:t xml:space="preserve"> </w:t>
      </w:r>
      <w:r w:rsidRPr="0037755F">
        <w:rPr>
          <w:rtl/>
        </w:rPr>
        <w:t>–</w:t>
      </w:r>
      <w:r w:rsidRPr="0037755F">
        <w:rPr>
          <w:rFonts w:hint="cs"/>
          <w:rtl/>
        </w:rPr>
        <w:t xml:space="preserve"> אינו דומה </w:t>
      </w:r>
      <w:r w:rsidRPr="0037755F">
        <w:rPr>
          <w:rFonts w:hint="eastAsia"/>
          <w:rtl/>
        </w:rPr>
        <w:t>בהיבט</w:t>
      </w:r>
      <w:r w:rsidRPr="0037755F">
        <w:rPr>
          <w:rtl/>
        </w:rPr>
        <w:t xml:space="preserve"> </w:t>
      </w:r>
      <w:r w:rsidRPr="0037755F">
        <w:rPr>
          <w:rFonts w:hint="eastAsia"/>
          <w:rtl/>
        </w:rPr>
        <w:t>זה</w:t>
      </w:r>
      <w:r>
        <w:rPr>
          <w:rFonts w:hint="cs"/>
          <w:rtl/>
        </w:rPr>
        <w:t>; בן הזוג</w:t>
      </w:r>
      <w:r w:rsidRPr="0037755F">
        <w:rPr>
          <w:rFonts w:hint="cs"/>
          <w:rtl/>
        </w:rPr>
        <w:t xml:space="preserve"> אינו בא בגדר 'זרע ישראל', או</w:t>
      </w:r>
      <w:r>
        <w:rPr>
          <w:rFonts w:hint="cs"/>
          <w:rtl/>
        </w:rPr>
        <w:t xml:space="preserve"> בכל</w:t>
      </w:r>
      <w:r w:rsidRPr="0037755F">
        <w:rPr>
          <w:rFonts w:hint="cs"/>
          <w:rtl/>
        </w:rPr>
        <w:t xml:space="preserve"> קטגוריה מעין זו</w:t>
      </w:r>
      <w:r w:rsidRPr="0037755F">
        <w:rPr>
          <w:rtl/>
        </w:rPr>
        <w:t xml:space="preserve">. </w:t>
      </w:r>
      <w:r w:rsidRPr="0037755F">
        <w:rPr>
          <w:rFonts w:hint="cs"/>
          <w:rtl/>
        </w:rPr>
        <w:t xml:space="preserve">עוד יש להזכיר, בהקשר זה, כי במונח 'זרע ישראל' נעשה שימוש גם לצורך הגדרת אלה מיוצאי אתיופיה שאינם יהודים בעצמם, אך </w:t>
      </w:r>
      <w:r w:rsidRPr="0037755F">
        <w:rPr>
          <w:rFonts w:hint="cs"/>
          <w:rtl/>
        </w:rPr>
        <w:lastRenderedPageBreak/>
        <w:t xml:space="preserve">שהם נצר למשפחות יהודיות מצד אִמם. בהתאם לכך, הללו אמנם אינם זכאי שבות, אך הם זכאים להיכנס לישראל ולקבל בה מעמד מכוח חוק הכניסה לישראל, התשי"ב-1952 (להלן: </w:t>
      </w:r>
      <w:r w:rsidRPr="0037755F">
        <w:rPr>
          <w:rFonts w:ascii="Century" w:hAnsi="Century" w:cs="Miriam" w:hint="cs"/>
          <w:b/>
          <w:spacing w:val="0"/>
          <w:sz w:val="22"/>
          <w:szCs w:val="24"/>
          <w:rtl/>
        </w:rPr>
        <w:t>חוק הכניסה לישראל</w:t>
      </w:r>
      <w:r w:rsidRPr="0037755F">
        <w:rPr>
          <w:rFonts w:hint="cs"/>
          <w:rtl/>
        </w:rPr>
        <w:t xml:space="preserve">), והחלטות ממשלה שנתקבלו לגביהם (לפירוט על כך, ראו: </w:t>
      </w:r>
      <w:r w:rsidRPr="0037755F">
        <w:rPr>
          <w:rFonts w:hint="eastAsia"/>
          <w:rtl/>
        </w:rPr>
        <w:t>בג</w:t>
      </w:r>
      <w:r w:rsidRPr="0037755F">
        <w:rPr>
          <w:rtl/>
        </w:rPr>
        <w:t>"</w:t>
      </w:r>
      <w:r w:rsidRPr="0037755F">
        <w:rPr>
          <w:rFonts w:hint="eastAsia"/>
          <w:rtl/>
        </w:rPr>
        <w:t>ץ</w:t>
      </w:r>
      <w:r w:rsidRPr="0037755F">
        <w:rPr>
          <w:rtl/>
        </w:rPr>
        <w:t xml:space="preserve"> 5904/03 </w:t>
      </w:r>
      <w:r w:rsidRPr="0037755F">
        <w:rPr>
          <w:rFonts w:ascii="Century" w:hAnsi="Century" w:cs="Miriam" w:hint="eastAsia"/>
          <w:b/>
          <w:spacing w:val="0"/>
          <w:sz w:val="22"/>
          <w:szCs w:val="24"/>
          <w:rtl/>
        </w:rPr>
        <w:t>אמבאו</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נ</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ממשלת</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ישראל</w:t>
      </w:r>
      <w:r w:rsidRPr="0037755F">
        <w:rPr>
          <w:rFonts w:ascii="Century" w:hAnsi="Century" w:cs="Miriam"/>
          <w:b/>
          <w:spacing w:val="0"/>
          <w:sz w:val="22"/>
          <w:szCs w:val="24"/>
          <w:rtl/>
        </w:rPr>
        <w:t xml:space="preserve"> </w:t>
      </w:r>
      <w:r w:rsidRPr="0037755F">
        <w:rPr>
          <w:rtl/>
        </w:rPr>
        <w:t>(21.</w:t>
      </w:r>
      <w:r w:rsidRPr="0037755F">
        <w:rPr>
          <w:rFonts w:hint="cs"/>
          <w:rtl/>
        </w:rPr>
        <w:t>3</w:t>
      </w:r>
      <w:r w:rsidRPr="0037755F">
        <w:rPr>
          <w:rtl/>
        </w:rPr>
        <w:t>.2011)</w:t>
      </w:r>
      <w:r w:rsidRPr="0037755F">
        <w:rPr>
          <w:rFonts w:hint="cs"/>
          <w:rtl/>
        </w:rPr>
        <w:t xml:space="preserve">; </w:t>
      </w:r>
      <w:r w:rsidRPr="0037755F">
        <w:rPr>
          <w:rFonts w:hint="eastAsia"/>
          <w:rtl/>
        </w:rPr>
        <w:t>עע</w:t>
      </w:r>
      <w:r w:rsidRPr="0037755F">
        <w:rPr>
          <w:rtl/>
        </w:rPr>
        <w:t>"</w:t>
      </w:r>
      <w:r w:rsidRPr="0037755F">
        <w:rPr>
          <w:rFonts w:hint="eastAsia"/>
          <w:rtl/>
        </w:rPr>
        <w:t>מ</w:t>
      </w:r>
      <w:r w:rsidRPr="0037755F">
        <w:rPr>
          <w:rtl/>
        </w:rPr>
        <w:t xml:space="preserve"> 5417/13 </w:t>
      </w:r>
      <w:r w:rsidRPr="0037755F">
        <w:rPr>
          <w:rFonts w:ascii="Century" w:hAnsi="Century" w:cs="Miriam" w:hint="eastAsia"/>
          <w:b/>
          <w:spacing w:val="0"/>
          <w:sz w:val="22"/>
          <w:szCs w:val="24"/>
          <w:rtl/>
        </w:rPr>
        <w:t>דג</w:t>
      </w:r>
      <w:r w:rsidRPr="0037755F">
        <w:rPr>
          <w:rFonts w:ascii="Century" w:hAnsi="Century" w:cs="Miriam"/>
          <w:b/>
          <w:spacing w:val="0"/>
          <w:sz w:val="22"/>
          <w:szCs w:val="24"/>
          <w:rtl/>
        </w:rPr>
        <w:t>'</w:t>
      </w:r>
      <w:r w:rsidRPr="0037755F">
        <w:rPr>
          <w:rFonts w:ascii="Century" w:hAnsi="Century" w:cs="Miriam" w:hint="eastAsia"/>
          <w:b/>
          <w:spacing w:val="0"/>
          <w:sz w:val="22"/>
          <w:szCs w:val="24"/>
          <w:rtl/>
        </w:rPr>
        <w:t>יטנו</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נ</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שר</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הפנים</w:t>
      </w:r>
      <w:r w:rsidRPr="0037755F">
        <w:rPr>
          <w:rFonts w:hint="cs"/>
          <w:rtl/>
        </w:rPr>
        <w:t>, פסקה 3</w:t>
      </w:r>
      <w:r w:rsidRPr="0037755F">
        <w:rPr>
          <w:rtl/>
        </w:rPr>
        <w:t xml:space="preserve"> (11.</w:t>
      </w:r>
      <w:r w:rsidRPr="0037755F">
        <w:rPr>
          <w:rFonts w:hint="cs"/>
          <w:rtl/>
        </w:rPr>
        <w:t>9</w:t>
      </w:r>
      <w:r w:rsidRPr="0037755F">
        <w:rPr>
          <w:rtl/>
        </w:rPr>
        <w:t>.2014)</w:t>
      </w:r>
      <w:r w:rsidRPr="0037755F">
        <w:rPr>
          <w:rFonts w:hint="cs"/>
          <w:rtl/>
        </w:rPr>
        <w:t xml:space="preserve">; </w:t>
      </w:r>
      <w:r w:rsidRPr="0037755F">
        <w:rPr>
          <w:rFonts w:hint="eastAsia"/>
          <w:rtl/>
        </w:rPr>
        <w:t>בג</w:t>
      </w:r>
      <w:r w:rsidRPr="0037755F">
        <w:rPr>
          <w:rtl/>
        </w:rPr>
        <w:t>"</w:t>
      </w:r>
      <w:r w:rsidRPr="0037755F">
        <w:rPr>
          <w:rFonts w:hint="eastAsia"/>
          <w:rtl/>
        </w:rPr>
        <w:t>ץ</w:t>
      </w:r>
      <w:r w:rsidRPr="0037755F">
        <w:rPr>
          <w:rtl/>
        </w:rPr>
        <w:t xml:space="preserve"> 842/16 </w:t>
      </w:r>
      <w:r w:rsidRPr="0037755F">
        <w:rPr>
          <w:rFonts w:ascii="Century" w:hAnsi="Century" w:cs="Miriam" w:hint="eastAsia"/>
          <w:b/>
          <w:spacing w:val="0"/>
          <w:sz w:val="22"/>
          <w:szCs w:val="24"/>
          <w:rtl/>
        </w:rPr>
        <w:t>אבבה</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נ</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רשות</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האוכלוסין</w:t>
      </w:r>
      <w:r w:rsidRPr="0037755F">
        <w:rPr>
          <w:rFonts w:ascii="Century" w:hAnsi="Century" w:cs="Miriam"/>
          <w:b/>
          <w:spacing w:val="0"/>
          <w:sz w:val="22"/>
          <w:szCs w:val="24"/>
          <w:rtl/>
        </w:rPr>
        <w:t xml:space="preserve"> </w:t>
      </w:r>
      <w:r w:rsidRPr="0037755F">
        <w:rPr>
          <w:rFonts w:ascii="Century" w:hAnsi="Century" w:cs="Miriam" w:hint="eastAsia"/>
          <w:b/>
          <w:spacing w:val="0"/>
          <w:sz w:val="22"/>
          <w:szCs w:val="24"/>
          <w:rtl/>
        </w:rPr>
        <w:t>וההגירה</w:t>
      </w:r>
      <w:r w:rsidRPr="0037755F">
        <w:rPr>
          <w:rFonts w:hint="cs"/>
          <w:rtl/>
        </w:rPr>
        <w:t>, פסקה 6</w:t>
      </w:r>
      <w:r w:rsidRPr="0037755F">
        <w:rPr>
          <w:rtl/>
        </w:rPr>
        <w:t xml:space="preserve"> (13.</w:t>
      </w:r>
      <w:r w:rsidRPr="0037755F">
        <w:rPr>
          <w:rFonts w:hint="cs"/>
          <w:rtl/>
        </w:rPr>
        <w:t>8</w:t>
      </w:r>
      <w:r w:rsidRPr="0037755F">
        <w:rPr>
          <w:rtl/>
        </w:rPr>
        <w:t>.2018)</w:t>
      </w:r>
      <w:r w:rsidRPr="0037755F">
        <w:rPr>
          <w:rFonts w:hint="cs"/>
          <w:rtl/>
        </w:rPr>
        <w:t>).</w:t>
      </w:r>
    </w:p>
    <w:p w:rsidR="00872589" w:rsidRDefault="00872589" w:rsidP="00872589">
      <w:pPr>
        <w:pStyle w:val="Ruller41"/>
        <w:rPr>
          <w:rtl/>
        </w:rPr>
      </w:pPr>
    </w:p>
    <w:p w:rsidR="00872589" w:rsidRPr="00B14F81" w:rsidRDefault="00872589" w:rsidP="00872589">
      <w:pPr>
        <w:pStyle w:val="Ruller4"/>
        <w:textAlignment w:val="baseline"/>
      </w:pPr>
      <w:bookmarkStart w:id="7" w:name="_Ref141258228"/>
      <w:r>
        <w:rPr>
          <w:rFonts w:hint="cs"/>
          <w:rtl/>
        </w:rPr>
        <w:t xml:space="preserve">טעם נוסף להבחנה בין זכאי השבות השונים, שכבר נרמז לעיל, מצוי במרחק שהולך וגדל מן היהודי, מקור הזכויות, ככל שמוסיפים ומתקדמים על פני 'אילן היוחסין'. באשר לכך, מקובלים עלי דברי חברי, השופט </w:t>
      </w:r>
      <w:r w:rsidRPr="00B33431">
        <w:rPr>
          <w:rFonts w:ascii="Century" w:hAnsi="Century" w:cs="Miriam" w:hint="cs"/>
          <w:b/>
          <w:spacing w:val="0"/>
          <w:sz w:val="22"/>
          <w:szCs w:val="24"/>
          <w:rtl/>
        </w:rPr>
        <w:t>עמית</w:t>
      </w:r>
      <w:r>
        <w:rPr>
          <w:rFonts w:hint="cs"/>
          <w:rtl/>
        </w:rPr>
        <w:t xml:space="preserve">, בפסק הדין נושא הדיון הנוסף, שלפיהם </w:t>
      </w:r>
      <w:r w:rsidRPr="00B33431">
        <w:rPr>
          <w:rFonts w:ascii="Century" w:hAnsi="Century" w:cs="Miriam" w:hint="cs"/>
          <w:b/>
          <w:spacing w:val="0"/>
          <w:sz w:val="22"/>
          <w:szCs w:val="24"/>
          <w:rtl/>
        </w:rPr>
        <w:t>"</w:t>
      </w:r>
      <w:r w:rsidRPr="00B33431">
        <w:rPr>
          <w:rFonts w:ascii="Century" w:hAnsi="Century" w:cs="Miriam" w:hint="eastAsia"/>
          <w:b/>
          <w:spacing w:val="0"/>
          <w:sz w:val="22"/>
          <w:szCs w:val="24"/>
          <w:rtl/>
        </w:rPr>
        <w:t>ככל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שאנו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הולכים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ומתרחקים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w:t>
      </w:r>
      <w:r w:rsidRPr="00B33431">
        <w:rPr>
          <w:rFonts w:ascii="Century" w:hAnsi="Century" w:cs="Miriam" w:hint="cs"/>
          <w:b/>
          <w:spacing w:val="0"/>
          <w:sz w:val="22"/>
          <w:szCs w:val="24"/>
          <w:rtl/>
        </w:rPr>
        <w:t>'</w:t>
      </w:r>
      <w:r w:rsidRPr="00B33431">
        <w:rPr>
          <w:rFonts w:ascii="Century" w:hAnsi="Century" w:cs="Miriam" w:hint="eastAsia"/>
          <w:b/>
          <w:spacing w:val="0"/>
          <w:sz w:val="22"/>
          <w:szCs w:val="24"/>
          <w:rtl/>
        </w:rPr>
        <w:t>מעגלי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הקִרְבה</w:t>
      </w:r>
      <w:r w:rsidRPr="00B33431">
        <w:rPr>
          <w:rFonts w:ascii="Century" w:hAnsi="Century" w:cs="Miriam" w:hint="cs"/>
          <w:b/>
          <w:spacing w:val="0"/>
          <w:sz w:val="22"/>
          <w:szCs w:val="24"/>
          <w:rtl/>
        </w:rPr>
        <w:t>'</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מן</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היהודי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כך</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נחלשת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זיקתם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של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בני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משפחתו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אליו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ולעם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היהודי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בכלל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זיקת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הנכד</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חלשה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מזיקת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הבן</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זיקת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הנין</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חלשה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מזיקת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הנכד</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וכן</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הלאה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וכך</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לכאורה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גם</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ביחס</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לבנות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הזוג</w:t>
      </w:r>
      <w:r w:rsidRPr="00B33431">
        <w:rPr>
          <w:rFonts w:ascii="Century" w:hAnsi="Century" w:cs="Miriam" w:hint="cs"/>
          <w:b/>
          <w:spacing w:val="0"/>
          <w:sz w:val="22"/>
          <w:szCs w:val="24"/>
          <w:rtl/>
        </w:rPr>
        <w:t>"</w:t>
      </w:r>
      <w:r>
        <w:rPr>
          <w:rFonts w:hint="cs"/>
          <w:rtl/>
        </w:rPr>
        <w:t xml:space="preserve">; אך זאת, כאשר </w:t>
      </w:r>
      <w:r w:rsidRPr="00B33431">
        <w:rPr>
          <w:rFonts w:ascii="Century" w:hAnsi="Century" w:cs="Miriam" w:hint="cs"/>
          <w:b/>
          <w:spacing w:val="0"/>
          <w:sz w:val="22"/>
          <w:szCs w:val="24"/>
          <w:rtl/>
        </w:rPr>
        <w:t>"</w:t>
      </w:r>
      <w:r w:rsidRPr="00B33431">
        <w:rPr>
          <w:rFonts w:ascii="Century" w:hAnsi="Century" w:cs="Miriam" w:hint="eastAsia"/>
          <w:b/>
          <w:spacing w:val="0"/>
          <w:sz w:val="22"/>
          <w:szCs w:val="24"/>
          <w:rtl/>
        </w:rPr>
        <w:t>לא</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תהיה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מחלוקת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על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כך</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שזכות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הנכד</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עומדת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בפני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עצמה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ואינה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תלויה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בנוכחות</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אביו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בנו</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של</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היהודי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וכך</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עולה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במפורש</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מדברי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המשנה</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ליועץ</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המשפטי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בדיוני</w:t>
      </w:r>
      <w:r w:rsidRPr="00B33431">
        <w:rPr>
          <w:rFonts w:ascii="Century" w:hAnsi="Century" w:cs="Miriam"/>
          <w:b/>
          <w:spacing w:val="0"/>
          <w:sz w:val="22"/>
          <w:szCs w:val="24"/>
          <w:rtl/>
        </w:rPr>
        <w:t xml:space="preserve"> </w:t>
      </w:r>
      <w:r w:rsidRPr="00B33431">
        <w:rPr>
          <w:rFonts w:ascii="Century" w:hAnsi="Century" w:cs="Miriam" w:hint="eastAsia"/>
          <w:b/>
          <w:spacing w:val="0"/>
          <w:sz w:val="22"/>
          <w:szCs w:val="24"/>
          <w:rtl/>
        </w:rPr>
        <w:t>הוועדה</w:t>
      </w:r>
      <w:r w:rsidRPr="00B33431">
        <w:rPr>
          <w:rFonts w:ascii="Century" w:hAnsi="Century" w:cs="Miriam"/>
          <w:b/>
          <w:spacing w:val="0"/>
          <w:sz w:val="22"/>
          <w:szCs w:val="24"/>
          <w:rtl/>
        </w:rPr>
        <w:t>)</w:t>
      </w:r>
      <w:r w:rsidRPr="00B33431">
        <w:rPr>
          <w:rFonts w:ascii="Century" w:hAnsi="Century" w:cs="Miriam" w:hint="cs"/>
          <w:b/>
          <w:spacing w:val="0"/>
          <w:sz w:val="22"/>
          <w:szCs w:val="24"/>
          <w:rtl/>
        </w:rPr>
        <w:t>"</w:t>
      </w:r>
      <w:r>
        <w:rPr>
          <w:rFonts w:hint="cs"/>
          <w:rtl/>
        </w:rPr>
        <w:t xml:space="preserve">, מה שאין כן </w:t>
      </w:r>
      <w:r w:rsidRPr="00B33431">
        <w:rPr>
          <w:rFonts w:ascii="Century" w:hAnsi="Century" w:cs="Miriam" w:hint="cs"/>
          <w:b/>
          <w:spacing w:val="0"/>
          <w:sz w:val="22"/>
          <w:szCs w:val="24"/>
          <w:rtl/>
        </w:rPr>
        <w:t>"ביחס לבת הזוג"</w:t>
      </w:r>
      <w:r>
        <w:rPr>
          <w:rFonts w:hint="cs"/>
          <w:rtl/>
        </w:rPr>
        <w:t xml:space="preserve"> (פסקה 40. כן ראו: </w:t>
      </w:r>
      <w:r w:rsidRPr="007D7DCD">
        <w:rPr>
          <w:rFonts w:ascii="Century" w:hAnsi="Century" w:cs="Miriam" w:hint="cs"/>
          <w:b/>
          <w:spacing w:val="0"/>
          <w:sz w:val="22"/>
          <w:szCs w:val="24"/>
          <w:rtl/>
        </w:rPr>
        <w:t>שם</w:t>
      </w:r>
      <w:r>
        <w:rPr>
          <w:rFonts w:hint="cs"/>
          <w:rtl/>
        </w:rPr>
        <w:t xml:space="preserve">, פסקה 47; עניין </w:t>
      </w:r>
      <w:r w:rsidRPr="007D7DCD">
        <w:rPr>
          <w:rFonts w:ascii="Century" w:hAnsi="Century" w:cs="Miriam" w:hint="cs"/>
          <w:b/>
          <w:spacing w:val="0"/>
          <w:sz w:val="22"/>
          <w:szCs w:val="24"/>
          <w:rtl/>
        </w:rPr>
        <w:t>גורודצקי</w:t>
      </w:r>
      <w:r>
        <w:rPr>
          <w:rFonts w:hint="cs"/>
          <w:rtl/>
        </w:rPr>
        <w:t>, פסקה 39)</w:t>
      </w:r>
      <w:r w:rsidRPr="000B12DB">
        <w:rPr>
          <w:rtl/>
        </w:rPr>
        <w:t>.</w:t>
      </w:r>
      <w:bookmarkEnd w:id="7"/>
      <w:r>
        <w:rPr>
          <w:rFonts w:hint="cs"/>
          <w:rtl/>
        </w:rPr>
        <w:t xml:space="preserve"> </w:t>
      </w:r>
    </w:p>
    <w:p w:rsidR="00872589" w:rsidRDefault="00872589" w:rsidP="00872589">
      <w:pPr>
        <w:pStyle w:val="Ruller4"/>
        <w:numPr>
          <w:ilvl w:val="0"/>
          <w:numId w:val="0"/>
        </w:numPr>
      </w:pPr>
    </w:p>
    <w:p w:rsidR="00872589" w:rsidRDefault="00872589" w:rsidP="00872589">
      <w:pPr>
        <w:pStyle w:val="Ruller4"/>
        <w:textAlignment w:val="baseline"/>
      </w:pPr>
      <w:bookmarkStart w:id="8" w:name="_Ref140415049"/>
      <w:r>
        <w:rPr>
          <w:rFonts w:hint="cs"/>
          <w:rtl/>
        </w:rPr>
        <w:t>עוד</w:t>
      </w:r>
      <w:r w:rsidRPr="00171DEB">
        <w:rPr>
          <w:rFonts w:hint="cs"/>
          <w:rtl/>
        </w:rPr>
        <w:t xml:space="preserve"> סבורני</w:t>
      </w:r>
      <w:r>
        <w:rPr>
          <w:rFonts w:hint="cs"/>
          <w:rtl/>
        </w:rPr>
        <w:t>,</w:t>
      </w:r>
      <w:r w:rsidRPr="00171DEB">
        <w:rPr>
          <w:rFonts w:hint="cs"/>
          <w:rtl/>
        </w:rPr>
        <w:t xml:space="preserve"> כי עלינו ל</w:t>
      </w:r>
      <w:r>
        <w:rPr>
          <w:rFonts w:hint="cs"/>
          <w:rtl/>
        </w:rPr>
        <w:t>הביא בחשבון גם</w:t>
      </w:r>
      <w:r w:rsidRPr="00171DEB">
        <w:rPr>
          <w:rFonts w:hint="cs"/>
          <w:rtl/>
        </w:rPr>
        <w:t xml:space="preserve"> </w:t>
      </w:r>
      <w:r>
        <w:rPr>
          <w:rFonts w:hint="cs"/>
          <w:rtl/>
        </w:rPr>
        <w:t>את ה</w:t>
      </w:r>
      <w:r w:rsidRPr="00171DEB">
        <w:rPr>
          <w:rFonts w:hint="cs"/>
          <w:rtl/>
        </w:rPr>
        <w:t xml:space="preserve">מורכבות </w:t>
      </w:r>
      <w:r>
        <w:rPr>
          <w:rFonts w:hint="cs"/>
          <w:rtl/>
        </w:rPr>
        <w:t>ה</w:t>
      </w:r>
      <w:r w:rsidRPr="00171DEB">
        <w:rPr>
          <w:rFonts w:hint="cs"/>
          <w:rtl/>
        </w:rPr>
        <w:t xml:space="preserve">מיוחדת שניצבה לפני </w:t>
      </w:r>
      <w:r>
        <w:rPr>
          <w:rFonts w:hint="cs"/>
          <w:rtl/>
        </w:rPr>
        <w:t>המחוקק בבואו לתקן את החוק, ואת ההתפתחות הדיאלקטית שעומדת מאחורי מהלכי חקיקת התיקון</w:t>
      </w:r>
      <w:r w:rsidRPr="00171DEB">
        <w:rPr>
          <w:rFonts w:hint="cs"/>
          <w:rtl/>
        </w:rPr>
        <w:t>.</w:t>
      </w:r>
      <w:r>
        <w:rPr>
          <w:rFonts w:hint="cs"/>
          <w:rtl/>
        </w:rPr>
        <w:t xml:space="preserve"> אסביר.</w:t>
      </w:r>
      <w:r w:rsidRPr="00171DEB">
        <w:rPr>
          <w:rFonts w:hint="cs"/>
          <w:rtl/>
        </w:rPr>
        <w:t xml:space="preserve"> דיני </w:t>
      </w:r>
      <w:r>
        <w:rPr>
          <w:rFonts w:hint="cs"/>
          <w:rtl/>
        </w:rPr>
        <w:t>ה</w:t>
      </w:r>
      <w:r w:rsidRPr="00171DEB">
        <w:rPr>
          <w:rFonts w:hint="cs"/>
          <w:rtl/>
        </w:rPr>
        <w:t xml:space="preserve">אזרחות </w:t>
      </w:r>
      <w:r>
        <w:rPr>
          <w:rFonts w:hint="cs"/>
          <w:rtl/>
        </w:rPr>
        <w:t xml:space="preserve">נמנעים, ככלל, </w:t>
      </w:r>
      <w:r w:rsidRPr="00171DEB">
        <w:rPr>
          <w:rFonts w:hint="cs"/>
          <w:rtl/>
        </w:rPr>
        <w:t xml:space="preserve">מהבחנה בין </w:t>
      </w:r>
      <w:r>
        <w:rPr>
          <w:rFonts w:hint="cs"/>
          <w:rtl/>
        </w:rPr>
        <w:t>השפעת מוצא האב, לבין השפעת מוצא האם</w:t>
      </w:r>
      <w:r w:rsidRPr="00171DEB">
        <w:rPr>
          <w:rFonts w:hint="cs"/>
          <w:rtl/>
        </w:rPr>
        <w:t xml:space="preserve">, </w:t>
      </w:r>
      <w:r>
        <w:rPr>
          <w:rFonts w:hint="cs"/>
          <w:rtl/>
        </w:rPr>
        <w:t>לגבי אופן רכישת האזרחות; כך, למשל, מורנו</w:t>
      </w:r>
      <w:r w:rsidRPr="00171DEB">
        <w:rPr>
          <w:rFonts w:hint="cs"/>
          <w:rtl/>
        </w:rPr>
        <w:t xml:space="preserve"> סעיף 4(א) לחוק האזרחות, התשי"ב-1952 (להלן: </w:t>
      </w:r>
      <w:r w:rsidRPr="00171DEB">
        <w:rPr>
          <w:rFonts w:ascii="Century" w:hAnsi="Century" w:cs="Miriam" w:hint="cs"/>
          <w:b/>
          <w:spacing w:val="0"/>
          <w:sz w:val="22"/>
          <w:szCs w:val="24"/>
          <w:rtl/>
        </w:rPr>
        <w:t>חוק האזרחות</w:t>
      </w:r>
      <w:r w:rsidRPr="00171DEB">
        <w:rPr>
          <w:rFonts w:hint="cs"/>
          <w:rtl/>
        </w:rPr>
        <w:t xml:space="preserve">): </w:t>
      </w:r>
      <w:r w:rsidRPr="00171DEB">
        <w:rPr>
          <w:rFonts w:ascii="Century" w:hAnsi="Century" w:cs="Miriam" w:hint="cs"/>
          <w:b/>
          <w:spacing w:val="0"/>
          <w:sz w:val="22"/>
          <w:szCs w:val="24"/>
          <w:rtl/>
        </w:rPr>
        <w:t>"</w:t>
      </w:r>
      <w:r w:rsidRPr="00171DEB">
        <w:rPr>
          <w:rFonts w:ascii="Century" w:hAnsi="Century" w:cs="Miriam" w:hint="eastAsia"/>
          <w:b/>
          <w:spacing w:val="0"/>
          <w:sz w:val="22"/>
          <w:szCs w:val="24"/>
          <w:rtl/>
        </w:rPr>
        <w:t>אלה</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יהיו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מיום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לידתם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אזרחים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ישראליים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מכוח</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לידה</w:t>
      </w:r>
      <w:r w:rsidRPr="00171DEB">
        <w:rPr>
          <w:rFonts w:ascii="Century" w:hAnsi="Century" w:cs="Miriam"/>
          <w:b/>
          <w:spacing w:val="0"/>
          <w:sz w:val="22"/>
          <w:szCs w:val="24"/>
          <w:rtl/>
        </w:rPr>
        <w:t>:</w:t>
      </w:r>
      <w:r w:rsidRPr="00171DEB">
        <w:rPr>
          <w:rFonts w:ascii="Century" w:hAnsi="Century" w:cs="Miriam" w:hint="cs"/>
          <w:b/>
          <w:spacing w:val="0"/>
          <w:sz w:val="22"/>
          <w:szCs w:val="24"/>
          <w:rtl/>
        </w:rPr>
        <w:t xml:space="preserve"> [...] </w:t>
      </w:r>
      <w:r w:rsidRPr="00171DEB">
        <w:rPr>
          <w:rFonts w:ascii="Century" w:hAnsi="Century" w:cs="Miriam" w:hint="eastAsia"/>
          <w:b/>
          <w:spacing w:val="0"/>
          <w:sz w:val="22"/>
          <w:szCs w:val="24"/>
          <w:rtl/>
        </w:rPr>
        <w:t>מי</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שנולד</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בישראל</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u w:val="single"/>
          <w:rtl/>
        </w:rPr>
        <w:t>כשאביו</w:t>
      </w:r>
      <w:r w:rsidRPr="00171DEB">
        <w:rPr>
          <w:rFonts w:ascii="Century" w:hAnsi="Century" w:cs="Miriam"/>
          <w:b/>
          <w:spacing w:val="0"/>
          <w:sz w:val="22"/>
          <w:szCs w:val="24"/>
          <w:u w:val="single"/>
          <w:rtl/>
        </w:rPr>
        <w:t xml:space="preserve"> </w:t>
      </w:r>
      <w:r w:rsidRPr="00171DEB">
        <w:rPr>
          <w:rFonts w:ascii="Century" w:hAnsi="Century" w:cs="Miriam" w:hint="eastAsia"/>
          <w:b/>
          <w:spacing w:val="0"/>
          <w:sz w:val="22"/>
          <w:szCs w:val="24"/>
          <w:u w:val="single"/>
          <w:rtl/>
        </w:rPr>
        <w:t>או</w:t>
      </w:r>
      <w:r w:rsidRPr="00171DEB">
        <w:rPr>
          <w:rFonts w:ascii="Century" w:hAnsi="Century" w:cs="Miriam"/>
          <w:b/>
          <w:spacing w:val="0"/>
          <w:sz w:val="22"/>
          <w:szCs w:val="24"/>
          <w:u w:val="single"/>
          <w:rtl/>
        </w:rPr>
        <w:t xml:space="preserve"> </w:t>
      </w:r>
      <w:r w:rsidRPr="00171DEB">
        <w:rPr>
          <w:rFonts w:ascii="Century" w:hAnsi="Century" w:cs="Miriam" w:hint="eastAsia"/>
          <w:b/>
          <w:spacing w:val="0"/>
          <w:sz w:val="22"/>
          <w:szCs w:val="24"/>
          <w:u w:val="single"/>
          <w:rtl/>
        </w:rPr>
        <w:t>אמו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היו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אזרחים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ישראליים</w:t>
      </w:r>
      <w:r w:rsidRPr="00171DEB">
        <w:rPr>
          <w:rFonts w:ascii="Century" w:hAnsi="Century" w:cs="Miriam" w:hint="cs"/>
          <w:b/>
          <w:spacing w:val="0"/>
          <w:sz w:val="22"/>
          <w:szCs w:val="24"/>
          <w:rtl/>
        </w:rPr>
        <w:t xml:space="preserve"> [...] </w:t>
      </w:r>
      <w:r w:rsidRPr="00171DEB">
        <w:rPr>
          <w:rFonts w:ascii="Century" w:hAnsi="Century" w:cs="Miriam" w:hint="eastAsia"/>
          <w:b/>
          <w:spacing w:val="0"/>
          <w:sz w:val="22"/>
          <w:szCs w:val="24"/>
          <w:rtl/>
        </w:rPr>
        <w:t>מי</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שנולד</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מחוץ</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לישראל</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u w:val="single"/>
          <w:rtl/>
        </w:rPr>
        <w:t>כשאביו</w:t>
      </w:r>
      <w:r w:rsidRPr="00171DEB">
        <w:rPr>
          <w:rFonts w:ascii="Century" w:hAnsi="Century" w:cs="Miriam"/>
          <w:b/>
          <w:spacing w:val="0"/>
          <w:sz w:val="22"/>
          <w:szCs w:val="24"/>
          <w:u w:val="single"/>
          <w:rtl/>
        </w:rPr>
        <w:t xml:space="preserve"> </w:t>
      </w:r>
      <w:r w:rsidRPr="00171DEB">
        <w:rPr>
          <w:rFonts w:ascii="Century" w:hAnsi="Century" w:cs="Miriam" w:hint="eastAsia"/>
          <w:b/>
          <w:spacing w:val="0"/>
          <w:sz w:val="22"/>
          <w:szCs w:val="24"/>
          <w:u w:val="single"/>
          <w:rtl/>
        </w:rPr>
        <w:t>או</w:t>
      </w:r>
      <w:r w:rsidRPr="00171DEB">
        <w:rPr>
          <w:rFonts w:ascii="Century" w:hAnsi="Century" w:cs="Miriam"/>
          <w:b/>
          <w:spacing w:val="0"/>
          <w:sz w:val="22"/>
          <w:szCs w:val="24"/>
          <w:u w:val="single"/>
          <w:rtl/>
        </w:rPr>
        <w:t xml:space="preserve"> </w:t>
      </w:r>
      <w:r w:rsidRPr="00171DEB">
        <w:rPr>
          <w:rFonts w:ascii="Century" w:hAnsi="Century" w:cs="Miriam" w:hint="eastAsia"/>
          <w:b/>
          <w:spacing w:val="0"/>
          <w:sz w:val="22"/>
          <w:szCs w:val="24"/>
          <w:u w:val="single"/>
          <w:rtl/>
        </w:rPr>
        <w:t>אמו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היו</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אזרחים</w:t>
      </w:r>
      <w:r w:rsidRPr="00171DEB">
        <w:rPr>
          <w:rFonts w:ascii="Century" w:hAnsi="Century" w:cs="Miriam"/>
          <w:b/>
          <w:spacing w:val="0"/>
          <w:sz w:val="22"/>
          <w:szCs w:val="24"/>
          <w:rtl/>
        </w:rPr>
        <w:t xml:space="preserve"> </w:t>
      </w:r>
      <w:r w:rsidRPr="00171DEB">
        <w:rPr>
          <w:rFonts w:ascii="Century" w:hAnsi="Century" w:cs="Miriam" w:hint="eastAsia"/>
          <w:b/>
          <w:spacing w:val="0"/>
          <w:sz w:val="22"/>
          <w:szCs w:val="24"/>
          <w:rtl/>
        </w:rPr>
        <w:t>ישראליים</w:t>
      </w:r>
      <w:r>
        <w:rPr>
          <w:rFonts w:ascii="Century" w:hAnsi="Century" w:cs="Miriam" w:hint="cs"/>
          <w:b/>
          <w:spacing w:val="0"/>
          <w:sz w:val="22"/>
          <w:szCs w:val="24"/>
          <w:rtl/>
        </w:rPr>
        <w:t xml:space="preserve"> [...]</w:t>
      </w:r>
      <w:r w:rsidRPr="00171DEB">
        <w:rPr>
          <w:rFonts w:ascii="Century" w:hAnsi="Century" w:cs="Miriam" w:hint="cs"/>
          <w:b/>
          <w:spacing w:val="0"/>
          <w:sz w:val="22"/>
          <w:szCs w:val="24"/>
          <w:rtl/>
        </w:rPr>
        <w:t>"</w:t>
      </w:r>
      <w:r>
        <w:rPr>
          <w:rFonts w:hint="cs"/>
          <w:rtl/>
        </w:rPr>
        <w:t xml:space="preserve"> (ההדגשה הוּספה </w:t>
      </w:r>
      <w:r>
        <w:rPr>
          <w:rtl/>
        </w:rPr>
        <w:t>–</w:t>
      </w:r>
      <w:r>
        <w:rPr>
          <w:rFonts w:hint="cs"/>
          <w:rtl/>
        </w:rPr>
        <w:t xml:space="preserve"> נ' ס')</w:t>
      </w:r>
      <w:r w:rsidRPr="00171DEB">
        <w:rPr>
          <w:rFonts w:hint="cs"/>
          <w:rtl/>
        </w:rPr>
        <w:t xml:space="preserve">. </w:t>
      </w:r>
      <w:r>
        <w:rPr>
          <w:rFonts w:hint="cs"/>
          <w:rtl/>
        </w:rPr>
        <w:t>בהיבט זה, התיקון לחוק השבות יכול היה להביא לעולם הסדר שונה וייחודי, נוכח הבחירה בהגדרה</w:t>
      </w:r>
      <w:r w:rsidRPr="00171DEB">
        <w:rPr>
          <w:rFonts w:hint="cs"/>
          <w:rtl/>
        </w:rPr>
        <w:t xml:space="preserve"> ההלכתית</w:t>
      </w:r>
      <w:r>
        <w:rPr>
          <w:rFonts w:hint="cs"/>
          <w:rtl/>
        </w:rPr>
        <w:t xml:space="preserve"> </w:t>
      </w:r>
      <w:r w:rsidRPr="00026B0A">
        <w:rPr>
          <w:rFonts w:hint="cs"/>
          <w:rtl/>
        </w:rPr>
        <w:t>הבסיסית, שלפיה 'יהודי' הוא רק בן לאם יהודיה (או מי שנתגייר), אך לא בן לאב יהודי</w:t>
      </w:r>
      <w:r>
        <w:rPr>
          <w:rFonts w:hint="cs"/>
          <w:rtl/>
        </w:rPr>
        <w:t>;</w:t>
      </w:r>
      <w:r w:rsidRPr="00026B0A">
        <w:rPr>
          <w:rFonts w:hint="cs"/>
          <w:rtl/>
        </w:rPr>
        <w:t xml:space="preserve"> </w:t>
      </w:r>
      <w:r>
        <w:rPr>
          <w:rFonts w:hint="cs"/>
          <w:rtl/>
        </w:rPr>
        <w:t>כלומר:</w:t>
      </w:r>
      <w:r w:rsidRPr="00026B0A">
        <w:rPr>
          <w:rFonts w:hint="cs"/>
          <w:rtl/>
        </w:rPr>
        <w:t xml:space="preserve"> </w:t>
      </w:r>
      <w:r>
        <w:rPr>
          <w:rFonts w:hint="cs"/>
          <w:rtl/>
        </w:rPr>
        <w:t>הגדרה המייחסת השפעה שונה למוצא האב, ולמוצא האם</w:t>
      </w:r>
      <w:r w:rsidRPr="00171DEB">
        <w:rPr>
          <w:rFonts w:hint="cs"/>
          <w:rtl/>
        </w:rPr>
        <w:t>. על רקע זה, תואר כי סעיף 4א(א)</w:t>
      </w:r>
      <w:r>
        <w:rPr>
          <w:rFonts w:hint="cs"/>
          <w:rtl/>
        </w:rPr>
        <w:t>, על הרחבת הזכאות שבו,</w:t>
      </w:r>
      <w:r w:rsidRPr="00171DEB">
        <w:rPr>
          <w:rFonts w:hint="cs"/>
          <w:rtl/>
        </w:rPr>
        <w:t xml:space="preserve"> נועד, בין היתר, להביא ל</w:t>
      </w:r>
      <w:r w:rsidRPr="00171DEB">
        <w:rPr>
          <w:rFonts w:ascii="Century" w:hAnsi="Century" w:cs="Miriam" w:hint="cs"/>
          <w:b/>
          <w:spacing w:val="0"/>
          <w:sz w:val="22"/>
          <w:szCs w:val="24"/>
          <w:rtl/>
        </w:rPr>
        <w:t>"איזון בין ההגדרה המסורתית לבין ההגדרה הלאומית של המונח 'יהודי'"</w:t>
      </w:r>
      <w:r w:rsidRPr="00171DEB">
        <w:rPr>
          <w:rFonts w:hint="cs"/>
          <w:rtl/>
        </w:rPr>
        <w:t xml:space="preserve"> (עניין </w:t>
      </w:r>
      <w:r w:rsidRPr="00171DEB">
        <w:rPr>
          <w:rFonts w:ascii="Century" w:hAnsi="Century" w:cs="Miriam" w:hint="cs"/>
          <w:b/>
          <w:spacing w:val="0"/>
          <w:sz w:val="22"/>
          <w:szCs w:val="24"/>
          <w:rtl/>
        </w:rPr>
        <w:t>גורודצקי</w:t>
      </w:r>
      <w:r w:rsidRPr="00171DEB">
        <w:rPr>
          <w:rFonts w:hint="cs"/>
          <w:rtl/>
        </w:rPr>
        <w:t xml:space="preserve">, פסקה 33); זאת, בדרך של הוספת </w:t>
      </w:r>
      <w:r w:rsidRPr="00171DEB">
        <w:rPr>
          <w:rFonts w:ascii="Century" w:hAnsi="Century" w:cs="Miriam" w:hint="cs"/>
          <w:b/>
          <w:spacing w:val="0"/>
          <w:sz w:val="22"/>
          <w:szCs w:val="24"/>
          <w:rtl/>
        </w:rPr>
        <w:t>"מסלול נוסף של זכויות שבות, המבוסס גם על היוחסין לפי האב (</w:t>
      </w:r>
      <w:r w:rsidRPr="00171DEB">
        <w:rPr>
          <w:rFonts w:ascii="Century" w:hAnsi="Century" w:cs="Miriam"/>
          <w:bCs/>
          <w:spacing w:val="0"/>
          <w:sz w:val="22"/>
          <w:szCs w:val="24"/>
        </w:rPr>
        <w:t>patrilineal descent</w:t>
      </w:r>
      <w:r w:rsidRPr="00171DEB">
        <w:rPr>
          <w:rFonts w:ascii="Century" w:hAnsi="Century" w:cs="Miriam" w:hint="cs"/>
          <w:b/>
          <w:spacing w:val="0"/>
          <w:sz w:val="22"/>
          <w:szCs w:val="24"/>
          <w:rtl/>
        </w:rPr>
        <w:t>): 'הנולד לאם יהודיה' הוא זכאי שבות כ'יהודי', והנולד לאב יהודי הוא זכאי שבות, אף שיירשם כלא יהודי"</w:t>
      </w:r>
      <w:r w:rsidRPr="00171DEB">
        <w:rPr>
          <w:rFonts w:hint="cs"/>
          <w:rtl/>
        </w:rPr>
        <w:t xml:space="preserve"> (</w:t>
      </w:r>
      <w:r w:rsidRPr="00171DEB">
        <w:rPr>
          <w:rFonts w:ascii="Century" w:hAnsi="Century" w:cs="Miriam" w:hint="cs"/>
          <w:b/>
          <w:spacing w:val="0"/>
          <w:sz w:val="22"/>
          <w:szCs w:val="24"/>
          <w:rtl/>
        </w:rPr>
        <w:t>קורינאלדי</w:t>
      </w:r>
      <w:r w:rsidRPr="00171DEB">
        <w:rPr>
          <w:rFonts w:hint="cs"/>
          <w:rtl/>
        </w:rPr>
        <w:t xml:space="preserve">, עמוד 95). הנה כי כן, התיקון </w:t>
      </w:r>
      <w:r>
        <w:rPr>
          <w:rFonts w:hint="cs"/>
          <w:rtl/>
        </w:rPr>
        <w:t>ביקש</w:t>
      </w:r>
      <w:r w:rsidRPr="00171DEB">
        <w:rPr>
          <w:rFonts w:hint="cs"/>
          <w:rtl/>
        </w:rPr>
        <w:t xml:space="preserve"> ליתן ביטוי </w:t>
      </w:r>
      <w:r>
        <w:rPr>
          <w:rFonts w:hint="cs"/>
          <w:rtl/>
        </w:rPr>
        <w:t xml:space="preserve">גם </w:t>
      </w:r>
      <w:r w:rsidRPr="00171DEB">
        <w:rPr>
          <w:rFonts w:hint="cs"/>
          <w:rtl/>
        </w:rPr>
        <w:t xml:space="preserve">לתפיסה 'לאומית' של יהדות (להבדיל מזו ההלכתית), שבגדרה מוּשם משקל גם על היוחסין לפי האב </w:t>
      </w:r>
      <w:r w:rsidRPr="00171DEB">
        <w:rPr>
          <w:rtl/>
        </w:rPr>
        <w:t>–</w:t>
      </w:r>
      <w:r w:rsidRPr="00171DEB">
        <w:rPr>
          <w:rFonts w:hint="cs"/>
          <w:rtl/>
        </w:rPr>
        <w:t xml:space="preserve"> יוחסין שלרוב מקבלים משקל </w:t>
      </w:r>
      <w:r>
        <w:rPr>
          <w:rFonts w:hint="cs"/>
          <w:rtl/>
        </w:rPr>
        <w:t>זהה</w:t>
      </w:r>
      <w:r w:rsidRPr="00171DEB">
        <w:rPr>
          <w:rFonts w:hint="cs"/>
          <w:rtl/>
        </w:rPr>
        <w:t xml:space="preserve"> </w:t>
      </w:r>
      <w:r w:rsidRPr="00171DEB">
        <w:rPr>
          <w:rFonts w:hint="cs"/>
          <w:rtl/>
        </w:rPr>
        <w:lastRenderedPageBreak/>
        <w:t>במסגרתם של דיני אזרחות והגירה, כנזכר</w:t>
      </w:r>
      <w:r>
        <w:rPr>
          <w:rFonts w:hint="cs"/>
          <w:rtl/>
        </w:rPr>
        <w:t>, אך 'מקופחים' קמעא על-ידי ההגדרה ההלכתית. הפער האמור, בין</w:t>
      </w:r>
      <w:r w:rsidRPr="0023679E">
        <w:rPr>
          <w:rFonts w:hint="cs"/>
          <w:rtl/>
        </w:rPr>
        <w:t xml:space="preserve"> </w:t>
      </w:r>
      <w:r>
        <w:rPr>
          <w:rFonts w:hint="cs"/>
          <w:rtl/>
        </w:rPr>
        <w:t xml:space="preserve">הגישה המשתקפת מהגדרת ה'יהודי' ההלכתית, שננקטה בחוק השבות, לבין זו </w:t>
      </w:r>
      <w:r w:rsidRPr="0023679E">
        <w:rPr>
          <w:rFonts w:hint="cs"/>
          <w:rtl/>
        </w:rPr>
        <w:t xml:space="preserve">המשתקפת </w:t>
      </w:r>
      <w:r>
        <w:rPr>
          <w:rFonts w:hint="cs"/>
          <w:rtl/>
        </w:rPr>
        <w:t>מ</w:t>
      </w:r>
      <w:r w:rsidRPr="0023679E">
        <w:rPr>
          <w:rFonts w:hint="cs"/>
          <w:rtl/>
        </w:rPr>
        <w:t>דיני האזרחות</w:t>
      </w:r>
      <w:r>
        <w:rPr>
          <w:rFonts w:hint="cs"/>
          <w:rtl/>
        </w:rPr>
        <w:t xml:space="preserve"> הכלליים</w:t>
      </w:r>
      <w:r w:rsidRPr="0023679E">
        <w:rPr>
          <w:rFonts w:hint="cs"/>
          <w:rtl/>
        </w:rPr>
        <w:t>, אינו מתעורר בכל הנוגע למעמדו ולזכויותיו של בן זוג לאזרח, אשר התאזרחותו אינה אוטומטית ו</w:t>
      </w:r>
      <w:r>
        <w:rPr>
          <w:rFonts w:hint="cs"/>
          <w:rtl/>
        </w:rPr>
        <w:t xml:space="preserve">כוללת </w:t>
      </w:r>
      <w:r w:rsidRPr="0023679E">
        <w:rPr>
          <w:rFonts w:hint="cs"/>
          <w:rtl/>
        </w:rPr>
        <w:t>הליך מדורג (ראו: סעיפים 5 ו-7 לחוק האזרחות;</w:t>
      </w:r>
      <w:r>
        <w:rPr>
          <w:rFonts w:hint="cs"/>
          <w:rtl/>
        </w:rPr>
        <w:t xml:space="preserve"> </w:t>
      </w:r>
      <w:r w:rsidRPr="0023679E">
        <w:rPr>
          <w:rFonts w:hint="cs"/>
          <w:rtl/>
        </w:rPr>
        <w:t>ב</w:t>
      </w:r>
      <w:r w:rsidRPr="007A711C">
        <w:rPr>
          <w:rFonts w:hint="cs"/>
          <w:rtl/>
        </w:rPr>
        <w:t xml:space="preserve">ג"ץ 4156/01 </w:t>
      </w:r>
      <w:r w:rsidRPr="007A711C">
        <w:rPr>
          <w:rFonts w:ascii="Century" w:hAnsi="Century" w:cs="Miriam" w:hint="cs"/>
          <w:b/>
          <w:spacing w:val="0"/>
          <w:sz w:val="22"/>
          <w:szCs w:val="24"/>
          <w:rtl/>
        </w:rPr>
        <w:t xml:space="preserve">דימיטרוב נ' משרד </w:t>
      </w:r>
      <w:r w:rsidRPr="00600AE5">
        <w:rPr>
          <w:rFonts w:ascii="Century" w:hAnsi="Century" w:cs="Miriam" w:hint="cs"/>
          <w:b/>
          <w:spacing w:val="0"/>
          <w:sz w:val="22"/>
          <w:szCs w:val="24"/>
          <w:rtl/>
        </w:rPr>
        <w:t>הפנים</w:t>
      </w:r>
      <w:r w:rsidRPr="00600AE5">
        <w:rPr>
          <w:rFonts w:hint="cs"/>
          <w:rtl/>
        </w:rPr>
        <w:t xml:space="preserve">, פ"ד נו(6) 289 (2002); עניין </w:t>
      </w:r>
      <w:r w:rsidRPr="00600AE5">
        <w:rPr>
          <w:rFonts w:ascii="Century" w:hAnsi="Century" w:cs="Miriam" w:hint="cs"/>
          <w:b/>
          <w:spacing w:val="0"/>
          <w:sz w:val="22"/>
          <w:szCs w:val="24"/>
          <w:rtl/>
        </w:rPr>
        <w:t>פוזרסקי</w:t>
      </w:r>
      <w:r w:rsidRPr="00600AE5">
        <w:rPr>
          <w:rFonts w:hint="cs"/>
          <w:rtl/>
        </w:rPr>
        <w:t xml:space="preserve">, פסקה 40 והאסמכתאות שם; </w:t>
      </w:r>
      <w:r w:rsidRPr="00600AE5">
        <w:rPr>
          <w:rFonts w:ascii="Century" w:hAnsi="Century" w:cs="Miriam" w:hint="cs"/>
          <w:b/>
          <w:spacing w:val="0"/>
          <w:sz w:val="22"/>
          <w:szCs w:val="24"/>
          <w:rtl/>
        </w:rPr>
        <w:t>קורינאלדי</w:t>
      </w:r>
      <w:r w:rsidRPr="00600AE5">
        <w:rPr>
          <w:rFonts w:hint="cs"/>
          <w:rtl/>
        </w:rPr>
        <w:t>, עמודים 106-105).</w:t>
      </w:r>
      <w:r>
        <w:rPr>
          <w:rFonts w:hint="cs"/>
          <w:rtl/>
        </w:rPr>
        <w:t xml:space="preserve"> לשון אחר: גם אלמלא הוסיף המחוקק להגדרת היהודי ההלכתית, את זכאויות סעיף 4א(א) </w:t>
      </w:r>
      <w:r>
        <w:rPr>
          <w:rtl/>
        </w:rPr>
        <w:t>–</w:t>
      </w:r>
      <w:r>
        <w:rPr>
          <w:rFonts w:hint="cs"/>
          <w:rtl/>
        </w:rPr>
        <w:t xml:space="preserve"> לא היה נוצר פער בין חוק השבות, לבין יתר דיני האזרחות, בכל הנוגע למעמדו של בן הזוג; זאת, בניגוד למצב שהיה נוצר ביחס לבניו של אב יהודי. </w:t>
      </w:r>
      <w:r w:rsidRPr="00600AE5">
        <w:rPr>
          <w:rFonts w:hint="cs"/>
          <w:rtl/>
        </w:rPr>
        <w:t>גם בכך יש, לטעמי, כדי ללמדנו על הבדל של ממש בין הרחבת הזכאות לשבות</w:t>
      </w:r>
      <w:r>
        <w:rPr>
          <w:rFonts w:hint="cs"/>
          <w:rtl/>
        </w:rPr>
        <w:t xml:space="preserve"> גם לבאים בדרך של יוחסין לפי האב, שנועדה 'להשלים' היבט לאומי שאותו דוחקת ההגדרה ההלכתית, לבין ההרחבה שנעשתה בהתייחס לבני זוג, שלא ניתן להטעימה כמענה לקושי מעין זה.</w:t>
      </w:r>
      <w:bookmarkEnd w:id="8"/>
    </w:p>
    <w:p w:rsidR="00872589" w:rsidRDefault="00872589" w:rsidP="00872589">
      <w:pPr>
        <w:pStyle w:val="Ruller41"/>
        <w:rPr>
          <w:rtl/>
        </w:rPr>
      </w:pPr>
    </w:p>
    <w:p w:rsidR="00872589" w:rsidRDefault="00872589" w:rsidP="00872589">
      <w:pPr>
        <w:pStyle w:val="Ruller4"/>
        <w:textAlignment w:val="baseline"/>
      </w:pPr>
      <w:r>
        <w:rPr>
          <w:rFonts w:hint="cs"/>
          <w:rtl/>
        </w:rPr>
        <w:t xml:space="preserve">ביטוי </w:t>
      </w:r>
      <w:r w:rsidRPr="007E37FB">
        <w:rPr>
          <w:rFonts w:hint="cs"/>
          <w:rtl/>
        </w:rPr>
        <w:t>נוסף ל</w:t>
      </w:r>
      <w:r>
        <w:rPr>
          <w:rFonts w:hint="cs"/>
          <w:rtl/>
        </w:rPr>
        <w:t>ָ</w:t>
      </w:r>
      <w:r w:rsidRPr="007E37FB">
        <w:rPr>
          <w:rFonts w:hint="cs"/>
          <w:rtl/>
        </w:rPr>
        <w:t>שוני</w:t>
      </w:r>
      <w:r>
        <w:rPr>
          <w:rFonts w:hint="cs"/>
          <w:rtl/>
        </w:rPr>
        <w:t xml:space="preserve"> שבין קשר דם לקשר חיתון, מוצאים אנו גם בסוגיית 'מיצוי' הזכות לשבות. בעניין </w:t>
      </w:r>
      <w:r w:rsidRPr="00536D0C">
        <w:rPr>
          <w:rFonts w:ascii="Century" w:hAnsi="Century" w:cs="Miriam" w:hint="cs"/>
          <w:b/>
          <w:spacing w:val="0"/>
          <w:sz w:val="22"/>
          <w:szCs w:val="24"/>
          <w:rtl/>
        </w:rPr>
        <w:t>סטמקה</w:t>
      </w:r>
      <w:r>
        <w:rPr>
          <w:rFonts w:hint="cs"/>
          <w:rtl/>
        </w:rPr>
        <w:t xml:space="preserve"> נקבע, כי בכל הנוגע לזכאות בן זוג, זו 'פוקעת' משעה שבחר היהודי, או זכאי השבות, לממש את זכאותו לשבות ולעלות ארצה, דהיינו: קשרי חיתון הנקשרים לאחר עלייתו של היהודי או זכאי השבות, לא יַקנו עוד זכאות לשבות (ראו: </w:t>
      </w:r>
      <w:r w:rsidRPr="0013264A">
        <w:rPr>
          <w:rFonts w:ascii="Century" w:hAnsi="Century" w:cs="Miriam" w:hint="cs"/>
          <w:b/>
          <w:spacing w:val="0"/>
          <w:sz w:val="22"/>
          <w:szCs w:val="24"/>
          <w:rtl/>
        </w:rPr>
        <w:t>שם</w:t>
      </w:r>
      <w:r>
        <w:rPr>
          <w:rFonts w:hint="cs"/>
          <w:rtl/>
        </w:rPr>
        <w:t xml:space="preserve">, עמוד 795). שונה ביחס לכך קשר הדם, שהקניית הזכאות שמכוחו אינה מתמצה עם עלייתו של היהודי ארצה. ניטול מקרה של יהודי הגר בישראל כאזרח, וזאת בין אם מכוח לידה בארץ, בין אם מכוח שבות. ברבות הימים, בנו עוזב את ישראל, מוותר על אזרחותו, ומתחתן עם מי שאינה יהודיה ואינה אזרחית ישראל. לאותו זוג נולד בן, שהוא נכדו של היהודי, אך אינו יהודי בעצמו; אף אינו אזרח מכוח האזרחות. בכגון דא, דומני שהנכד ודאי יהיה זכאי שבות, מעצם היותו נכד ליהודי, ואיש לא יאמר כי הוא אינו זכאי לכך מאחר שסבו עלה לישראל או נולד בה, בטרם לידת נכדו (בהקשר זה, ראו את הוראת סעיף 4 לחוק השבות, המשווה בין ילידי הארץ לבין העולים </w:t>
      </w:r>
      <w:r w:rsidRPr="00506F63">
        <w:rPr>
          <w:rFonts w:ascii="Century" w:hAnsi="Century" w:cs="Miriam" w:hint="cs"/>
          <w:b/>
          <w:spacing w:val="0"/>
          <w:sz w:val="22"/>
          <w:szCs w:val="24"/>
          <w:rtl/>
        </w:rPr>
        <w:t>"לפי חוק זה"</w:t>
      </w:r>
      <w:r>
        <w:rPr>
          <w:rFonts w:hint="cs"/>
          <w:rtl/>
        </w:rPr>
        <w:t xml:space="preserve">). </w:t>
      </w:r>
    </w:p>
    <w:p w:rsidR="00872589" w:rsidRPr="006C3FC0" w:rsidRDefault="00872589" w:rsidP="00872589">
      <w:pPr>
        <w:pStyle w:val="Ruller41"/>
        <w:rPr>
          <w:rtl/>
        </w:rPr>
      </w:pPr>
    </w:p>
    <w:p w:rsidR="00872589" w:rsidRDefault="00872589" w:rsidP="00872589">
      <w:pPr>
        <w:pStyle w:val="Ruller4"/>
        <w:textAlignment w:val="baseline"/>
        <w:rPr>
          <w:rtl/>
        </w:rPr>
      </w:pPr>
      <w:bookmarkStart w:id="9" w:name="_Ref140567021"/>
      <w:r>
        <w:rPr>
          <w:rFonts w:hint="cs"/>
          <w:rtl/>
        </w:rPr>
        <w:t xml:space="preserve">נמצאנו למדים אפוא, כי ישנם הבדלים של ממש בין סוגי ההיקשרות השונים המקימים זכאות לשבות </w:t>
      </w:r>
      <w:r>
        <w:rPr>
          <w:rtl/>
        </w:rPr>
        <w:t>–</w:t>
      </w:r>
      <w:r>
        <w:rPr>
          <w:rFonts w:hint="cs"/>
          <w:rtl/>
        </w:rPr>
        <w:t xml:space="preserve"> קשר דם אל מול קשר חיתון. עוד נמצא, כי לפחות הסבר אחד להבדלים אלה, נעוץ באתגר מסוים שעמד לפנ</w:t>
      </w:r>
      <w:r w:rsidRPr="00D90D84">
        <w:rPr>
          <w:rFonts w:hint="cs"/>
          <w:rtl/>
        </w:rPr>
        <w:t>י מנסחי תיקון</w:t>
      </w:r>
      <w:r>
        <w:rPr>
          <w:rFonts w:hint="cs"/>
          <w:rtl/>
        </w:rPr>
        <w:t xml:space="preserve"> מספר</w:t>
      </w:r>
      <w:r w:rsidRPr="00D90D84">
        <w:rPr>
          <w:rFonts w:hint="cs"/>
          <w:rtl/>
        </w:rPr>
        <w:t xml:space="preserve"> 2 לחוק השבות, וכן כי הפער המתואר מתבטא גם בדין. כלל האמור מוביל</w:t>
      </w:r>
      <w:r>
        <w:rPr>
          <w:rFonts w:hint="cs"/>
          <w:rtl/>
        </w:rPr>
        <w:t xml:space="preserve">, לשיטתי, להבחנה </w:t>
      </w:r>
      <w:r w:rsidRPr="00D90D84">
        <w:rPr>
          <w:rFonts w:hint="cs"/>
          <w:rtl/>
        </w:rPr>
        <w:t>יסודית יותר שניתן לערוך בין זכאי השבות השונים, שעניינה בהבדל שבין טעמי זכאות עצמיים, אינטרינזיים, לבין טעמי זכאות מכשירניים, אינסטרומנטליים. אסביר במה</w:t>
      </w:r>
      <w:r>
        <w:rPr>
          <w:rFonts w:hint="cs"/>
          <w:rtl/>
        </w:rPr>
        <w:t xml:space="preserve"> דברים אמורים.</w:t>
      </w:r>
      <w:bookmarkEnd w:id="9"/>
    </w:p>
    <w:p w:rsidR="00872589" w:rsidRDefault="00872589" w:rsidP="00872589">
      <w:pPr>
        <w:pStyle w:val="Ruller41"/>
        <w:rPr>
          <w:rtl/>
        </w:rPr>
      </w:pPr>
    </w:p>
    <w:p w:rsidR="00872589" w:rsidRDefault="00872589" w:rsidP="00872589">
      <w:pPr>
        <w:pStyle w:val="Ruller4"/>
        <w:textAlignment w:val="baseline"/>
      </w:pPr>
      <w:r>
        <w:rPr>
          <w:rFonts w:hint="cs"/>
          <w:rtl/>
        </w:rPr>
        <w:lastRenderedPageBreak/>
        <w:t xml:space="preserve">כמתואר, חוק השבות מעלה את העם היהודי על ראש שמחתו. תכליתו המרכזית </w:t>
      </w:r>
      <w:r>
        <w:rPr>
          <w:rtl/>
        </w:rPr>
        <w:t>–</w:t>
      </w:r>
      <w:r>
        <w:rPr>
          <w:rFonts w:hint="cs"/>
          <w:rtl/>
        </w:rPr>
        <w:t xml:space="preserve"> עיקר עיקריו </w:t>
      </w:r>
      <w:r>
        <w:rPr>
          <w:rtl/>
        </w:rPr>
        <w:t>–</w:t>
      </w:r>
      <w:r>
        <w:rPr>
          <w:rFonts w:hint="cs"/>
          <w:rtl/>
        </w:rPr>
        <w:t xml:space="preserve"> היא שיבת היהודים למולדתם. לצד זאת, במסגרת סעיף 4א לחוק, הכיר המחוקק בזכאותם של אנשים נוספים, שאינם יהודים </w:t>
      </w:r>
      <w:r>
        <w:rPr>
          <w:rtl/>
        </w:rPr>
        <w:t>–</w:t>
      </w:r>
      <w:r>
        <w:rPr>
          <w:rFonts w:hint="cs"/>
          <w:rtl/>
        </w:rPr>
        <w:t xml:space="preserve"> צאצאים לנישואי תערובת, ובני זוג של זכאי שבות. לעיל הזכרתי את התכליות השונות שיוחסו בפסיקה לסעיף זה. עיון בתכליות אלה מלמד, כי משמשות בהן בערבוביה הצדקות המבטאות ערך עצמי, המיוחס לעליית הזכאים שאינם יהודים, לצד הצדקות המבטאות ערך מכשירני, המיוחס לעלייתם של אלה. כך, מחד גיסא, מוצאים אנו אמירות המקשרות בין הרחבת הזכאות, לבין שזירת גורלם של זכאי סעיף 4א(א) עם העם היהודי, אף כי מדובר במי שאינם יהודים לפי הגדרת החוק </w:t>
      </w:r>
      <w:r>
        <w:rPr>
          <w:rtl/>
        </w:rPr>
        <w:t>–</w:t>
      </w:r>
      <w:r>
        <w:rPr>
          <w:rFonts w:hint="cs"/>
          <w:rtl/>
        </w:rPr>
        <w:t xml:space="preserve"> תפיסות שנראה כי קיבלו משקל ניכר בהכרעתו של חברי, מ"מ הנשיא (ראו: פסקאות 40 ו-47 לחוות דעתו </w:t>
      </w:r>
      <w:r w:rsidRPr="00B439E3">
        <w:rPr>
          <w:rFonts w:hint="cs"/>
          <w:rtl/>
        </w:rPr>
        <w:t>והאסמכתאות שם).</w:t>
      </w:r>
      <w:r>
        <w:rPr>
          <w:rFonts w:hint="cs"/>
          <w:rtl/>
        </w:rPr>
        <w:t xml:space="preserve"> מאידך גיסא, מוצאים אנו גם אמירות שלפיהן </w:t>
      </w:r>
      <w:r w:rsidRPr="00AB2348">
        <w:rPr>
          <w:rFonts w:ascii="Century" w:hAnsi="Century" w:cs="Miriam" w:hint="cs"/>
          <w:b/>
          <w:spacing w:val="0"/>
          <w:sz w:val="22"/>
          <w:szCs w:val="24"/>
          <w:rtl/>
        </w:rPr>
        <w:t>"ת</w:t>
      </w:r>
      <w:r w:rsidRPr="00AB2348">
        <w:rPr>
          <w:rFonts w:ascii="Century" w:hAnsi="Century" w:cs="Miriam" w:hint="eastAsia"/>
          <w:b/>
          <w:spacing w:val="0"/>
          <w:sz w:val="22"/>
          <w:szCs w:val="24"/>
          <w:rtl/>
        </w:rPr>
        <w:t>כליתו</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המרכזית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של</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סעיף</w:t>
      </w:r>
      <w:r w:rsidRPr="00AB2348">
        <w:rPr>
          <w:rFonts w:ascii="Century" w:hAnsi="Century" w:cs="Miriam"/>
          <w:b/>
          <w:spacing w:val="0"/>
          <w:sz w:val="22"/>
          <w:szCs w:val="24"/>
          <w:rtl/>
        </w:rPr>
        <w:t xml:space="preserve"> 4</w:t>
      </w:r>
      <w:r w:rsidRPr="00AB2348">
        <w:rPr>
          <w:rFonts w:ascii="Century" w:hAnsi="Century" w:cs="Miriam" w:hint="eastAsia"/>
          <w:b/>
          <w:spacing w:val="0"/>
          <w:sz w:val="22"/>
          <w:szCs w:val="24"/>
          <w:rtl/>
        </w:rPr>
        <w:t>א</w:t>
      </w:r>
      <w:r w:rsidRPr="00AB2348">
        <w:rPr>
          <w:rFonts w:ascii="Century" w:hAnsi="Century" w:cs="Miriam"/>
          <w:b/>
          <w:spacing w:val="0"/>
          <w:sz w:val="22"/>
          <w:szCs w:val="24"/>
          <w:rtl/>
        </w:rPr>
        <w:t>(</w:t>
      </w:r>
      <w:r w:rsidRPr="00AB2348">
        <w:rPr>
          <w:rFonts w:ascii="Century" w:hAnsi="Century" w:cs="Miriam" w:hint="eastAsia"/>
          <w:b/>
          <w:spacing w:val="0"/>
          <w:sz w:val="22"/>
          <w:szCs w:val="24"/>
          <w:rtl/>
        </w:rPr>
        <w:t>א</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לחוק</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השבות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הינה</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לאפשר</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למשפחות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מעורבות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לעלות</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יחד</w:t>
      </w:r>
      <w:r w:rsidRPr="00AB2348">
        <w:rPr>
          <w:rFonts w:ascii="Century" w:hAnsi="Century" w:cs="Miriam"/>
          <w:b/>
          <w:spacing w:val="0"/>
          <w:sz w:val="22"/>
          <w:szCs w:val="24"/>
          <w:rtl/>
        </w:rPr>
        <w:t xml:space="preserve"> </w:t>
      </w:r>
      <w:r w:rsidRPr="00AB2348">
        <w:rPr>
          <w:rFonts w:ascii="Century" w:hAnsi="Century" w:cs="Miriam" w:hint="eastAsia"/>
          <w:b/>
          <w:spacing w:val="0"/>
          <w:sz w:val="22"/>
          <w:szCs w:val="24"/>
          <w:rtl/>
        </w:rPr>
        <w:t>ארצה</w:t>
      </w:r>
      <w:r w:rsidRPr="00AB2348">
        <w:rPr>
          <w:rFonts w:ascii="Century" w:hAnsi="Century" w:cs="Miriam" w:hint="cs"/>
          <w:b/>
          <w:spacing w:val="0"/>
          <w:sz w:val="22"/>
          <w:szCs w:val="24"/>
          <w:rtl/>
        </w:rPr>
        <w:t xml:space="preserve">" </w:t>
      </w:r>
      <w:r>
        <w:rPr>
          <w:rFonts w:hint="cs"/>
          <w:rtl/>
        </w:rPr>
        <w:t xml:space="preserve">(עניין </w:t>
      </w:r>
      <w:r w:rsidRPr="00AB2348">
        <w:rPr>
          <w:rFonts w:ascii="Century" w:hAnsi="Century" w:cs="Miriam" w:hint="cs"/>
          <w:b/>
          <w:spacing w:val="0"/>
          <w:sz w:val="22"/>
          <w:szCs w:val="24"/>
          <w:rtl/>
        </w:rPr>
        <w:t>פוזרסקי</w:t>
      </w:r>
      <w:r>
        <w:rPr>
          <w:rFonts w:hint="cs"/>
          <w:rtl/>
        </w:rPr>
        <w:t xml:space="preserve">, פסקה 24), ובכך לשמש </w:t>
      </w:r>
      <w:r w:rsidRPr="009D409E">
        <w:rPr>
          <w:rFonts w:ascii="Century" w:hAnsi="Century" w:cs="Miriam" w:hint="cs"/>
          <w:b/>
          <w:spacing w:val="0"/>
          <w:sz w:val="22"/>
          <w:szCs w:val="24"/>
          <w:rtl/>
        </w:rPr>
        <w:t xml:space="preserve">"כלי-עזר" </w:t>
      </w:r>
      <w:r>
        <w:rPr>
          <w:rFonts w:hint="cs"/>
          <w:rtl/>
        </w:rPr>
        <w:t xml:space="preserve">לעליית יהודים (עניין </w:t>
      </w:r>
      <w:r w:rsidRPr="009D409E">
        <w:rPr>
          <w:rFonts w:ascii="Century" w:hAnsi="Century" w:cs="Miriam" w:hint="cs"/>
          <w:b/>
          <w:spacing w:val="0"/>
          <w:sz w:val="22"/>
          <w:szCs w:val="24"/>
          <w:rtl/>
        </w:rPr>
        <w:t>סמוילוב</w:t>
      </w:r>
      <w:r>
        <w:rPr>
          <w:rFonts w:hint="cs"/>
          <w:rtl/>
        </w:rPr>
        <w:t xml:space="preserve">, עמוד 120) (סוג תכליות שלעיל, בפסקה </w:t>
      </w:r>
      <w:r>
        <w:rPr>
          <w:highlight w:val="yellow"/>
          <w:rtl/>
        </w:rPr>
        <w:fldChar w:fldCharType="begin"/>
      </w:r>
      <w:r>
        <w:rPr>
          <w:rtl/>
        </w:rPr>
        <w:instrText xml:space="preserve"> </w:instrText>
      </w:r>
      <w:r>
        <w:rPr>
          <w:rFonts w:hint="cs"/>
        </w:rPr>
        <w:instrText>REF</w:instrText>
      </w:r>
      <w:r>
        <w:rPr>
          <w:rFonts w:hint="cs"/>
          <w:rtl/>
        </w:rPr>
        <w:instrText xml:space="preserve"> _</w:instrText>
      </w:r>
      <w:r>
        <w:rPr>
          <w:rFonts w:hint="cs"/>
        </w:rPr>
        <w:instrText>Ref140392999 \r \h</w:instrText>
      </w:r>
      <w:r>
        <w:rPr>
          <w:rtl/>
        </w:rPr>
        <w:instrText xml:space="preserve"> </w:instrText>
      </w:r>
      <w:r>
        <w:rPr>
          <w:highlight w:val="yellow"/>
          <w:rtl/>
        </w:rPr>
        <w:instrText xml:space="preserve"> \* </w:instrText>
      </w:r>
      <w:r>
        <w:rPr>
          <w:highlight w:val="yellow"/>
        </w:rPr>
        <w:instrText>MERGEFORMAT</w:instrText>
      </w:r>
      <w:r>
        <w:rPr>
          <w:highlight w:val="yellow"/>
          <w:rtl/>
        </w:rPr>
        <w:instrText xml:space="preserve"> </w:instrText>
      </w:r>
      <w:r>
        <w:rPr>
          <w:highlight w:val="yellow"/>
          <w:rtl/>
        </w:rPr>
      </w:r>
      <w:r>
        <w:rPr>
          <w:highlight w:val="yellow"/>
          <w:rtl/>
        </w:rPr>
        <w:fldChar w:fldCharType="separate"/>
      </w:r>
      <w:r w:rsidR="00AE7B46">
        <w:rPr>
          <w:rFonts w:hint="eastAsia"/>
          <w:cs/>
        </w:rPr>
        <w:t>‎</w:t>
      </w:r>
      <w:r w:rsidR="00AE7B46" w:rsidRPr="00AE7B46">
        <w:rPr>
          <w:rFonts w:ascii="FrankRuehl" w:hAnsi="FrankRuehl"/>
          <w:sz w:val="28"/>
        </w:rPr>
        <w:t>18</w:t>
      </w:r>
      <w:r>
        <w:rPr>
          <w:highlight w:val="yellow"/>
          <w:rtl/>
        </w:rPr>
        <w:fldChar w:fldCharType="end"/>
      </w:r>
      <w:r>
        <w:rPr>
          <w:rFonts w:hint="cs"/>
          <w:rtl/>
        </w:rPr>
        <w:t xml:space="preserve">, טענתי כי הוא שניצב בליבתו של סעיף 4א(א)). </w:t>
      </w:r>
    </w:p>
    <w:p w:rsidR="00872589" w:rsidRDefault="00872589" w:rsidP="00872589">
      <w:pPr>
        <w:pStyle w:val="Ruller4"/>
        <w:numPr>
          <w:ilvl w:val="0"/>
          <w:numId w:val="0"/>
        </w:numPr>
        <w:rPr>
          <w:rtl/>
        </w:rPr>
      </w:pPr>
    </w:p>
    <w:p w:rsidR="00872589" w:rsidRPr="00B33431" w:rsidRDefault="00872589" w:rsidP="00872589">
      <w:pPr>
        <w:pStyle w:val="Ruller4"/>
        <w:textAlignment w:val="baseline"/>
        <w:rPr>
          <w:rtl/>
        </w:rPr>
      </w:pPr>
      <w:bookmarkStart w:id="10" w:name="_Ref140567008"/>
      <w:r>
        <w:rPr>
          <w:rFonts w:hint="cs"/>
          <w:rtl/>
        </w:rPr>
        <w:t xml:space="preserve">אכן, נראה כי שתי התכליות מתקיימות בכלל הזכאים לשבות שאינם יהודים. כך, הקשר של כל אחד מהם ל'יהודי', או לזכאי שבות שהוא צאצא של היהודי, מבטא חיבור מסוים, שזירת גורל </w:t>
      </w:r>
      <w:r>
        <w:rPr>
          <w:rtl/>
        </w:rPr>
        <w:t>–</w:t>
      </w:r>
      <w:r>
        <w:rPr>
          <w:rFonts w:hint="cs"/>
          <w:rtl/>
        </w:rPr>
        <w:t xml:space="preserve"> רצונית או כפויה </w:t>
      </w:r>
      <w:r>
        <w:rPr>
          <w:rtl/>
        </w:rPr>
        <w:t>–</w:t>
      </w:r>
      <w:r>
        <w:rPr>
          <w:rFonts w:hint="cs"/>
          <w:rtl/>
        </w:rPr>
        <w:t xml:space="preserve"> עם העם היהודי; זוהי התכלית העצמית. בד בבד, מתן זכאות שבות לכל אחד מהם משרת את עלייתו של 'היהודי', שלעתים עשוי להימנע מעלייה, מחשש לפירוד וריחוק גיאוגרפי בין בני המשפחה; זוהי התכלית המכשירנית. יחד עם זאת, על רקע האמור מעלה, בדבר ההבדלים שבין זכאות הנובעת מקשר דם לבין זו הנובעת מקשר חיתון, סבורני כי התכלית העצמית</w:t>
      </w:r>
      <w:r w:rsidRPr="00D90D84">
        <w:rPr>
          <w:rFonts w:hint="cs"/>
          <w:rtl/>
        </w:rPr>
        <w:t>, האינטרינזית, יפה</w:t>
      </w:r>
      <w:r>
        <w:rPr>
          <w:rFonts w:hint="cs"/>
          <w:rtl/>
        </w:rPr>
        <w:t xml:space="preserve"> בעיקר ביחס לצאצאי היהודי, הקשורים אל העם היהודי בקשר דם (כאשר לצד תכלית זו, כמובן שמתקיימת בצאצאים גם התכלית המכשירנית). זאת, בניגוד לבן הזוג של היהודי, או בני הזוג של זכאי השבות, שזכאותם נובעת, בעיקרו של דבר, מן התכליות המכשירניות של סעיף 4א </w:t>
      </w:r>
      <w:r>
        <w:rPr>
          <w:rtl/>
        </w:rPr>
        <w:t>–</w:t>
      </w:r>
      <w:r>
        <w:rPr>
          <w:rFonts w:hint="cs"/>
          <w:rtl/>
        </w:rPr>
        <w:t xml:space="preserve"> היותו </w:t>
      </w:r>
      <w:r w:rsidRPr="00D90D84">
        <w:rPr>
          <w:rFonts w:hint="cs"/>
          <w:rtl/>
        </w:rPr>
        <w:t xml:space="preserve">של הסעיף </w:t>
      </w:r>
      <w:r w:rsidRPr="00D90D84">
        <w:rPr>
          <w:rFonts w:ascii="Century" w:hAnsi="Century" w:cs="Miriam" w:hint="cs"/>
          <w:b/>
          <w:spacing w:val="0"/>
          <w:sz w:val="22"/>
          <w:szCs w:val="24"/>
          <w:rtl/>
        </w:rPr>
        <w:t>"כלי-עזר להגשמת תכליתו העיקרית של חוק השבות; לא אך שכל יהודי באשר הוא יהא זכאי לעלות לישראל, אלא שיהודים אכן יעלו לישראל; לעודד יהודים החיים מחוץ לישראל, ולאפשר להם ככל הניתן לעלות לישראל"</w:t>
      </w:r>
      <w:r w:rsidRPr="00D90D84">
        <w:rPr>
          <w:rFonts w:hint="cs"/>
          <w:rtl/>
        </w:rPr>
        <w:t xml:space="preserve"> (עניין </w:t>
      </w:r>
      <w:r w:rsidRPr="00D90D84">
        <w:rPr>
          <w:rFonts w:ascii="Century" w:hAnsi="Century" w:cs="Miriam" w:hint="cs"/>
          <w:b/>
          <w:spacing w:val="0"/>
          <w:sz w:val="22"/>
          <w:szCs w:val="24"/>
          <w:rtl/>
        </w:rPr>
        <w:t>סמוילוב</w:t>
      </w:r>
      <w:r w:rsidRPr="00D90D84">
        <w:rPr>
          <w:rFonts w:hint="cs"/>
          <w:rtl/>
        </w:rPr>
        <w:t>, עמוד 120)</w:t>
      </w:r>
      <w:r>
        <w:rPr>
          <w:rFonts w:hint="cs"/>
          <w:rtl/>
        </w:rPr>
        <w:t xml:space="preserve"> (אעיר, כי בהקשר זה תיתכן הבחנה בין בן הזוג של היהודי, לבין בני הזוג של זכאי השבות השונים, בפרט על יסוד ריחוקם ההולך וגובר מן היהודי; ראו על כך דברי לעיל, בפסקה </w:t>
      </w:r>
      <w:r>
        <w:rPr>
          <w:highlight w:val="yellow"/>
          <w:rtl/>
        </w:rPr>
        <w:fldChar w:fldCharType="begin"/>
      </w:r>
      <w:r>
        <w:rPr>
          <w:rtl/>
        </w:rPr>
        <w:instrText xml:space="preserve"> </w:instrText>
      </w:r>
      <w:r>
        <w:rPr>
          <w:rFonts w:hint="cs"/>
        </w:rPr>
        <w:instrText>REF</w:instrText>
      </w:r>
      <w:r>
        <w:rPr>
          <w:rFonts w:hint="cs"/>
          <w:rtl/>
        </w:rPr>
        <w:instrText xml:space="preserve"> _</w:instrText>
      </w:r>
      <w:r>
        <w:rPr>
          <w:rFonts w:hint="cs"/>
        </w:rPr>
        <w:instrText>Ref141258228 \r \h</w:instrText>
      </w:r>
      <w:r>
        <w:rPr>
          <w:rtl/>
        </w:rPr>
        <w:instrText xml:space="preserve"> </w:instrText>
      </w:r>
      <w:r>
        <w:rPr>
          <w:highlight w:val="yellow"/>
          <w:rtl/>
        </w:rPr>
        <w:instrText xml:space="preserve"> \* </w:instrText>
      </w:r>
      <w:r>
        <w:rPr>
          <w:highlight w:val="yellow"/>
        </w:rPr>
        <w:instrText>MERGEFORMAT</w:instrText>
      </w:r>
      <w:r>
        <w:rPr>
          <w:highlight w:val="yellow"/>
          <w:rtl/>
        </w:rPr>
        <w:instrText xml:space="preserve"> </w:instrText>
      </w:r>
      <w:r>
        <w:rPr>
          <w:highlight w:val="yellow"/>
          <w:rtl/>
        </w:rPr>
      </w:r>
      <w:r>
        <w:rPr>
          <w:highlight w:val="yellow"/>
          <w:rtl/>
        </w:rPr>
        <w:fldChar w:fldCharType="separate"/>
      </w:r>
      <w:r w:rsidR="00AE7B46">
        <w:rPr>
          <w:rFonts w:hint="eastAsia"/>
          <w:cs/>
        </w:rPr>
        <w:t>‎</w:t>
      </w:r>
      <w:r w:rsidR="00AE7B46" w:rsidRPr="00AE7B46">
        <w:rPr>
          <w:rFonts w:ascii="FrankRuehl" w:hAnsi="FrankRuehl"/>
          <w:sz w:val="28"/>
          <w:szCs w:val="36"/>
        </w:rPr>
        <w:t>24</w:t>
      </w:r>
      <w:r>
        <w:rPr>
          <w:highlight w:val="yellow"/>
          <w:rtl/>
        </w:rPr>
        <w:fldChar w:fldCharType="end"/>
      </w:r>
      <w:r>
        <w:rPr>
          <w:rFonts w:hint="cs"/>
          <w:rtl/>
        </w:rPr>
        <w:t>)</w:t>
      </w:r>
      <w:r w:rsidRPr="00D90D84">
        <w:rPr>
          <w:rFonts w:hint="cs"/>
          <w:rtl/>
        </w:rPr>
        <w:t xml:space="preserve">. בהתאם לכך, ניתן להסביר את </w:t>
      </w:r>
      <w:r>
        <w:rPr>
          <w:rFonts w:hint="cs"/>
          <w:rtl/>
        </w:rPr>
        <w:t>מגבל</w:t>
      </w:r>
      <w:r w:rsidRPr="00D90D84">
        <w:rPr>
          <w:rFonts w:hint="cs"/>
          <w:rtl/>
        </w:rPr>
        <w:t>ת 'מיצוי' הזכות, ש</w:t>
      </w:r>
      <w:r>
        <w:rPr>
          <w:rFonts w:hint="cs"/>
          <w:rtl/>
        </w:rPr>
        <w:t xml:space="preserve">חלה לגבי בני </w:t>
      </w:r>
      <w:r w:rsidRPr="00D90D84">
        <w:rPr>
          <w:rFonts w:hint="cs"/>
          <w:rtl/>
        </w:rPr>
        <w:t>זוג</w:t>
      </w:r>
      <w:r>
        <w:rPr>
          <w:rFonts w:hint="cs"/>
          <w:rtl/>
        </w:rPr>
        <w:t xml:space="preserve"> (אך לא לגבי צאצאים, כאמור לעיל)</w:t>
      </w:r>
      <w:r w:rsidRPr="00D90D84">
        <w:rPr>
          <w:rFonts w:hint="cs"/>
          <w:rtl/>
        </w:rPr>
        <w:t xml:space="preserve">; תפיסה זו, כפי שפורט </w:t>
      </w:r>
      <w:r>
        <w:rPr>
          <w:rFonts w:hint="cs"/>
          <w:rtl/>
        </w:rPr>
        <w:t xml:space="preserve">בעניין </w:t>
      </w:r>
      <w:r w:rsidRPr="007E37FB">
        <w:rPr>
          <w:rFonts w:ascii="Century" w:hAnsi="Century" w:cs="Miriam" w:hint="cs"/>
          <w:b/>
          <w:spacing w:val="0"/>
          <w:sz w:val="22"/>
          <w:szCs w:val="24"/>
          <w:rtl/>
        </w:rPr>
        <w:t>סטמקה</w:t>
      </w:r>
      <w:r w:rsidRPr="00D90D84">
        <w:rPr>
          <w:rFonts w:hint="cs"/>
          <w:rtl/>
        </w:rPr>
        <w:t xml:space="preserve">, נגזרה ישירות מתכליות חוק השבות, שבראשן עידוד עליית בני זוג הנשואים בנישואי תערובת לעלות ארצה </w:t>
      </w:r>
      <w:r w:rsidRPr="00D90D84">
        <w:rPr>
          <w:rtl/>
        </w:rPr>
        <w:t>–</w:t>
      </w:r>
      <w:r w:rsidRPr="00D90D84">
        <w:rPr>
          <w:rFonts w:hint="cs"/>
          <w:rtl/>
        </w:rPr>
        <w:t xml:space="preserve"> תכליות ש</w:t>
      </w:r>
      <w:r w:rsidRPr="00D90D84">
        <w:rPr>
          <w:rFonts w:ascii="Century" w:hAnsi="Century" w:cs="Miriam" w:hint="cs"/>
          <w:b/>
          <w:spacing w:val="0"/>
          <w:sz w:val="22"/>
          <w:szCs w:val="24"/>
          <w:rtl/>
        </w:rPr>
        <w:t>"</w:t>
      </w:r>
      <w:r w:rsidRPr="00D90D84">
        <w:rPr>
          <w:rFonts w:ascii="Century" w:hAnsi="Century" w:cs="Miriam" w:hint="eastAsia"/>
          <w:b/>
          <w:spacing w:val="0"/>
          <w:sz w:val="22"/>
          <w:szCs w:val="24"/>
          <w:rtl/>
        </w:rPr>
        <w:t>אין</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ולא</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כלום</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ביניהן</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לבין</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הקניית</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שבות</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ללא</w:t>
      </w:r>
      <w:r w:rsidRPr="00D90D84">
        <w:rPr>
          <w:rFonts w:ascii="Century" w:hAnsi="Century" w:cs="Miriam"/>
          <w:b/>
          <w:spacing w:val="0"/>
          <w:sz w:val="22"/>
          <w:szCs w:val="24"/>
          <w:rtl/>
        </w:rPr>
        <w:t>-</w:t>
      </w:r>
      <w:r w:rsidRPr="00D90D84">
        <w:rPr>
          <w:rFonts w:ascii="Century" w:hAnsi="Century" w:cs="Miriam" w:hint="eastAsia"/>
          <w:b/>
          <w:spacing w:val="0"/>
          <w:sz w:val="22"/>
          <w:szCs w:val="24"/>
          <w:rtl/>
        </w:rPr>
        <w:lastRenderedPageBreak/>
        <w:t>יהודי</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אך</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בשל</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כך</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שנישא</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ליהודי</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אזרח</w:t>
      </w:r>
      <w:r w:rsidRPr="00D90D84">
        <w:rPr>
          <w:rFonts w:ascii="Century" w:hAnsi="Century" w:cs="Miriam"/>
          <w:b/>
          <w:spacing w:val="0"/>
          <w:sz w:val="22"/>
          <w:szCs w:val="24"/>
          <w:rtl/>
        </w:rPr>
        <w:t xml:space="preserve"> </w:t>
      </w:r>
      <w:r w:rsidRPr="00D90D84">
        <w:rPr>
          <w:rFonts w:ascii="Century" w:hAnsi="Century" w:cs="Miriam" w:hint="eastAsia"/>
          <w:b/>
          <w:spacing w:val="0"/>
          <w:sz w:val="22"/>
          <w:szCs w:val="24"/>
          <w:rtl/>
        </w:rPr>
        <w:t>ישראל</w:t>
      </w:r>
      <w:r w:rsidRPr="00D90D84">
        <w:rPr>
          <w:rFonts w:ascii="Century" w:hAnsi="Century" w:cs="Miriam" w:hint="cs"/>
          <w:b/>
          <w:spacing w:val="0"/>
          <w:sz w:val="22"/>
          <w:szCs w:val="24"/>
          <w:rtl/>
        </w:rPr>
        <w:t>"</w:t>
      </w:r>
      <w:r w:rsidRPr="00D90D84">
        <w:rPr>
          <w:rFonts w:hint="cs"/>
          <w:rtl/>
        </w:rPr>
        <w:t xml:space="preserve"> (</w:t>
      </w:r>
      <w:r w:rsidRPr="00D90D84">
        <w:rPr>
          <w:rFonts w:ascii="Century" w:hAnsi="Century" w:cs="Miriam" w:hint="cs"/>
          <w:b/>
          <w:spacing w:val="0"/>
          <w:sz w:val="22"/>
          <w:szCs w:val="24"/>
          <w:rtl/>
        </w:rPr>
        <w:t>שם</w:t>
      </w:r>
      <w:r w:rsidRPr="00D90D84">
        <w:rPr>
          <w:rFonts w:hint="cs"/>
          <w:rtl/>
        </w:rPr>
        <w:t>, עמוד 757).</w:t>
      </w:r>
      <w:bookmarkEnd w:id="10"/>
      <w:r>
        <w:rPr>
          <w:rFonts w:hint="cs"/>
          <w:rtl/>
        </w:rPr>
        <w:t xml:space="preserve"> זאת, חרף היבטי קשירת הגורל עם העם היהודי, שאיני סבור כי מתקיימים במידה פחוּתה במי שנישא ליהודי אזרח ישראל, בהשוואה לאחר שנישא ליהודי שהוא אזרח מדינה אחרת; שמא להפך.    </w:t>
      </w:r>
    </w:p>
    <w:p w:rsidR="00872589" w:rsidRPr="006C3FC0" w:rsidRDefault="00872589" w:rsidP="00872589">
      <w:pPr>
        <w:pStyle w:val="Ruller41"/>
      </w:pPr>
    </w:p>
    <w:p w:rsidR="00872589" w:rsidRDefault="00872589" w:rsidP="00872589">
      <w:pPr>
        <w:pStyle w:val="Ruller4"/>
        <w:textAlignment w:val="baseline"/>
        <w:rPr>
          <w:rtl/>
        </w:rPr>
      </w:pPr>
      <w:r>
        <w:rPr>
          <w:rFonts w:hint="cs"/>
          <w:rtl/>
        </w:rPr>
        <w:t xml:space="preserve">סיכום עד כה: תכליתו המרכזית של חוק השבות, הריהי עלייתם של יהודים לישראל. תכלית זו, ניצבת גם ברקע לחקיקת סעיף 4א לחוק </w:t>
      </w:r>
      <w:r>
        <w:rPr>
          <w:rtl/>
        </w:rPr>
        <w:t>–</w:t>
      </w:r>
      <w:r>
        <w:rPr>
          <w:rFonts w:hint="cs"/>
          <w:rtl/>
        </w:rPr>
        <w:t xml:space="preserve"> המעניק את הזכאות גם לצאצאיו של 'היהודי' ובני זוגם, על מנת לקדם את עלייתו ארצה של היהודי, אף בדרך של הענקת הזכאות גם למי מבני משפחתו שאינם יהודים. לצד זאת, סעיף 4א(א) נושא גם תכלית נוספת, של הכרה בזכותו של מי שגורלו נקשר לעם היהודי, המבטאת ערך עצמי שמיוחס לעלייתו של זה האחרון ארצה. על רקע כפל תכליות זה,</w:t>
      </w:r>
      <w:r w:rsidRPr="00BA6D11">
        <w:rPr>
          <w:rFonts w:hint="eastAsia"/>
          <w:rtl/>
        </w:rPr>
        <w:t xml:space="preserve"> עֶמְדָּתִי</w:t>
      </w:r>
      <w:r>
        <w:rPr>
          <w:rFonts w:hint="cs"/>
          <w:rtl/>
        </w:rPr>
        <w:t xml:space="preserve"> היא שבכל הנוגע לזכאותם של צאצאי היהודי שהם מ'זרע ישראל', כלומר שיש להם קשר דם ליהודי (שהוא אביהם או סבם), התכלית הדומיננטית היא התכלית העצמית, היינו עלייתם-שלהם לארץ ישראל. מנגד, בכל הנוגע לזכאות הניתנת לבני הזוג של זכאי השבות או של היהודי, התכלית הדומיננטית היא התכלית המכשירנית שעליה עמדתי לעיל, כלומר מניעת מצב שבו יהודים, או זכאי שבות שהם מ'זרע ישראל', הנשואים בנישואי תערובת, ימנעו מלעלות ארצה, בשל החשש מפירוד וריחוק מבני משפחותיהם.   </w:t>
      </w:r>
    </w:p>
    <w:p w:rsidR="00872589" w:rsidRDefault="00872589" w:rsidP="00872589">
      <w:pPr>
        <w:pStyle w:val="Ruller41"/>
        <w:rPr>
          <w:rtl/>
        </w:rPr>
      </w:pPr>
    </w:p>
    <w:p w:rsidR="00872589" w:rsidRPr="00927916" w:rsidRDefault="00872589" w:rsidP="00872589">
      <w:pPr>
        <w:pStyle w:val="Ruller4"/>
        <w:textAlignment w:val="baseline"/>
        <w:rPr>
          <w:rtl/>
        </w:rPr>
      </w:pPr>
      <w:r w:rsidRPr="00927916">
        <w:rPr>
          <w:rFonts w:hint="cs"/>
          <w:rtl/>
        </w:rPr>
        <w:t>לעיל תיארתי, כי המשיבים מתנגדים לפרשנות הלשונית שבה צִדדתי אני, בהתייחס לסעיפים 4א ו-4ב, וזאת בטענה כי לכלל בני המשפחה המנויים בסעיף 4א(א) עומדת זכות שבות עצמאית (</w:t>
      </w:r>
      <w:r>
        <w:rPr>
          <w:rFonts w:hint="cs"/>
          <w:rtl/>
        </w:rPr>
        <w:t>א</w:t>
      </w:r>
      <w:r w:rsidRPr="00927916">
        <w:rPr>
          <w:rFonts w:hint="cs"/>
          <w:rtl/>
        </w:rPr>
        <w:t>ע</w:t>
      </w:r>
      <w:r>
        <w:rPr>
          <w:rFonts w:hint="cs"/>
          <w:rtl/>
        </w:rPr>
        <w:t>י</w:t>
      </w:r>
      <w:r w:rsidRPr="00927916">
        <w:rPr>
          <w:rFonts w:hint="cs"/>
          <w:rtl/>
        </w:rPr>
        <w:t xml:space="preserve">ר, כי גישה זו נסמכת, בעיקר, על האמור בעניין </w:t>
      </w:r>
      <w:r w:rsidRPr="00927916">
        <w:rPr>
          <w:rFonts w:ascii="Century" w:hAnsi="Century" w:cs="Miriam" w:hint="cs"/>
          <w:b/>
          <w:spacing w:val="0"/>
          <w:sz w:val="22"/>
          <w:szCs w:val="24"/>
          <w:rtl/>
        </w:rPr>
        <w:t>סטמקה</w:t>
      </w:r>
      <w:r w:rsidRPr="00927916">
        <w:rPr>
          <w:rFonts w:hint="cs"/>
          <w:rtl/>
        </w:rPr>
        <w:t xml:space="preserve">, עמוד 756, ובעניין </w:t>
      </w:r>
      <w:r w:rsidRPr="00927916">
        <w:rPr>
          <w:rFonts w:ascii="Century" w:hAnsi="Century" w:cs="Miriam" w:hint="cs"/>
          <w:b/>
          <w:spacing w:val="0"/>
          <w:sz w:val="22"/>
          <w:szCs w:val="24"/>
          <w:rtl/>
        </w:rPr>
        <w:t>סמוילוב</w:t>
      </w:r>
      <w:r w:rsidRPr="00927916">
        <w:rPr>
          <w:rFonts w:hint="cs"/>
          <w:rtl/>
        </w:rPr>
        <w:t xml:space="preserve">, עמוד 121; </w:t>
      </w:r>
      <w:r>
        <w:rPr>
          <w:rFonts w:hint="cs"/>
          <w:rtl/>
        </w:rPr>
        <w:t xml:space="preserve">עם זאת, </w:t>
      </w:r>
      <w:r w:rsidRPr="00927916">
        <w:rPr>
          <w:rFonts w:hint="cs"/>
          <w:rtl/>
        </w:rPr>
        <w:t xml:space="preserve">לטעמי, קריאת דברים אלה על רקע הקשרם, מקשה על קבלת גישת המשיבים). על כן, כך לפי המשיבים, מות זכאי השבות אין בו כדי להשפיע על בן הזוג האלמן, שכן זכותו של האחרון כלל אינה תלויה ב'חיבור קבע' אל זכאי השבות; היא אמנם 'נולדה' מתוך החיבור בקשרי נישואין לזכאי השבות, אך מרגע הנישואין ואילך, הפכה זכות זו לעצמאית ובלתי תלויה, ממש כמו זכאותו של זכאי השבות הקשור ליהודי בקשר דם. ואולם, נוכח האמור עתה, על אודות ההבחנה היסודית שבין קשרי דם לבין קשרי חיתון; ובשים לב גם להדגשת ההיבטים המכשירניים, בכל הנוגע לזכאות בני הזוג, </w:t>
      </w:r>
      <w:r>
        <w:rPr>
          <w:rFonts w:hint="cs"/>
          <w:rtl/>
        </w:rPr>
        <w:t>לעומת התכלית העצמית העומדת בב</w:t>
      </w:r>
      <w:r w:rsidRPr="00927916">
        <w:rPr>
          <w:rFonts w:hint="cs"/>
          <w:rtl/>
        </w:rPr>
        <w:t xml:space="preserve">סיס הזכאות של צאצאי היהודי </w:t>
      </w:r>
      <w:r w:rsidRPr="00927916">
        <w:rPr>
          <w:rtl/>
        </w:rPr>
        <w:t>–</w:t>
      </w:r>
      <w:r w:rsidRPr="00927916">
        <w:rPr>
          <w:rFonts w:hint="cs"/>
          <w:rtl/>
        </w:rPr>
        <w:t xml:space="preserve"> סבורני, כי אין מקום להשקפה שלפיה זכאות בני הזוג היא עצמאית ובלתי תלויה, במובן זה שהיא כלל לא 'עוברת' דרך זכאי השבות, ולכן אינה מושפעת ממותו. לשיטתי-שלי, כשם שהזכות לשבוּת מושפעת מהגירושין מזכאי השבות (עניין </w:t>
      </w:r>
      <w:r w:rsidRPr="00927916">
        <w:rPr>
          <w:rFonts w:ascii="Century" w:hAnsi="Century" w:cs="Miriam" w:hint="cs"/>
          <w:b/>
          <w:spacing w:val="0"/>
          <w:sz w:val="22"/>
          <w:szCs w:val="24"/>
          <w:rtl/>
        </w:rPr>
        <w:t>סמוילוב</w:t>
      </w:r>
      <w:r w:rsidRPr="00927916">
        <w:rPr>
          <w:rFonts w:hint="cs"/>
          <w:rtl/>
        </w:rPr>
        <w:t xml:space="preserve">, עמוד 123) </w:t>
      </w:r>
      <w:r w:rsidRPr="00927916">
        <w:rPr>
          <w:rtl/>
        </w:rPr>
        <w:t>–</w:t>
      </w:r>
      <w:r w:rsidRPr="00927916">
        <w:rPr>
          <w:rFonts w:hint="cs"/>
          <w:rtl/>
        </w:rPr>
        <w:t xml:space="preserve"> עניין המבטא כבר כשלעצמו היעדר זיקה עצמאית וישירה אל היהודי </w:t>
      </w:r>
      <w:r w:rsidRPr="00927916">
        <w:rPr>
          <w:rtl/>
        </w:rPr>
        <w:t>–</w:t>
      </w:r>
      <w:r w:rsidRPr="00927916">
        <w:rPr>
          <w:rFonts w:hint="cs"/>
          <w:rtl/>
        </w:rPr>
        <w:t xml:space="preserve"> כך היא מושפעת גם ממות זכאי השבות.   </w:t>
      </w:r>
    </w:p>
    <w:p w:rsidR="00872589" w:rsidRDefault="00872589" w:rsidP="00872589">
      <w:pPr>
        <w:pStyle w:val="Ruller41"/>
        <w:rPr>
          <w:rtl/>
        </w:rPr>
      </w:pPr>
    </w:p>
    <w:p w:rsidR="00872589" w:rsidRDefault="00872589" w:rsidP="00872589">
      <w:pPr>
        <w:pStyle w:val="Ruller41"/>
        <w:rPr>
          <w:rtl/>
        </w:rPr>
      </w:pPr>
      <w:r w:rsidRPr="00570FFE">
        <w:rPr>
          <w:rtl/>
        </w:rPr>
        <w:lastRenderedPageBreak/>
        <w:tab/>
      </w:r>
      <w:r>
        <w:rPr>
          <w:rFonts w:hint="cs"/>
          <w:rtl/>
        </w:rPr>
        <w:t xml:space="preserve">אחזור עתה לשאלה שהונחה על שולחננו: </w:t>
      </w:r>
      <w:r w:rsidRPr="00570FFE">
        <w:rPr>
          <w:rFonts w:hint="cs"/>
          <w:rtl/>
        </w:rPr>
        <w:t xml:space="preserve">זכאותו של </w:t>
      </w:r>
      <w:r>
        <w:rPr>
          <w:rFonts w:hint="cs"/>
          <w:rtl/>
        </w:rPr>
        <w:t xml:space="preserve">בן-זוגו של </w:t>
      </w:r>
      <w:r w:rsidRPr="00570FFE">
        <w:rPr>
          <w:rFonts w:hint="cs"/>
          <w:rtl/>
        </w:rPr>
        <w:t>זכאי שבות</w:t>
      </w:r>
      <w:r>
        <w:rPr>
          <w:rFonts w:hint="cs"/>
          <w:rtl/>
        </w:rPr>
        <w:t xml:space="preserve"> שהלך לבית עולמו</w:t>
      </w:r>
      <w:r w:rsidRPr="00570FFE">
        <w:rPr>
          <w:rFonts w:hint="cs"/>
          <w:rtl/>
        </w:rPr>
        <w:t>.</w:t>
      </w:r>
      <w:r>
        <w:rPr>
          <w:rFonts w:hint="cs"/>
          <w:rtl/>
        </w:rPr>
        <w:t xml:space="preserve"> </w:t>
      </w:r>
    </w:p>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8654D5">
        <w:rPr>
          <w:rFonts w:ascii="Century" w:hAnsi="Century" w:cs="Miriam" w:hint="cs"/>
          <w:b/>
          <w:spacing w:val="0"/>
          <w:szCs w:val="24"/>
          <w:rtl/>
        </w:rPr>
        <w:t>יישום תכליות החוק</w:t>
      </w:r>
      <w:r>
        <w:rPr>
          <w:rFonts w:ascii="Century" w:hAnsi="Century" w:cs="Miriam" w:hint="cs"/>
          <w:b/>
          <w:spacing w:val="0"/>
          <w:szCs w:val="24"/>
          <w:rtl/>
        </w:rPr>
        <w:t xml:space="preserve"> והתיקון בשאלה שלפנינו</w:t>
      </w:r>
    </w:p>
    <w:p w:rsidR="00216C97" w:rsidRDefault="00216C97" w:rsidP="00872589">
      <w:pPr>
        <w:pStyle w:val="Ruller41"/>
        <w:rPr>
          <w:rFonts w:ascii="Century" w:hAnsi="Century" w:cs="Miriam"/>
          <w:b/>
          <w:spacing w:val="0"/>
          <w:szCs w:val="24"/>
          <w:rtl/>
        </w:rPr>
      </w:pPr>
    </w:p>
    <w:p w:rsidR="00872589" w:rsidRDefault="00872589" w:rsidP="00872589">
      <w:pPr>
        <w:pStyle w:val="Ruller4"/>
        <w:textAlignment w:val="baseline"/>
      </w:pPr>
      <w:r>
        <w:rPr>
          <w:rFonts w:hint="cs"/>
          <w:rtl/>
        </w:rPr>
        <w:t xml:space="preserve">אפתח ואומר, כי באשר לתכליתו המרכזית של חוק השבות, כמו גם של סעיף 4א </w:t>
      </w:r>
      <w:r>
        <w:rPr>
          <w:rtl/>
        </w:rPr>
        <w:t>–</w:t>
      </w:r>
      <w:r>
        <w:rPr>
          <w:rFonts w:hint="cs"/>
          <w:rtl/>
        </w:rPr>
        <w:t xml:space="preserve"> עידוד עליית יהודים לישראל, ומתן זכאות לבני משפחתם על מנת לעודד עליה זו </w:t>
      </w:r>
      <w:r>
        <w:rPr>
          <w:rtl/>
        </w:rPr>
        <w:t>–</w:t>
      </w:r>
      <w:r>
        <w:rPr>
          <w:rFonts w:hint="cs"/>
          <w:rtl/>
        </w:rPr>
        <w:t xml:space="preserve"> עדיפה פרשנות המבקשים. אזכיר, כי מדובר במי שכלל לא ניהלו את חייהם בצוותא עם יהודי, אלא עם זכאי שבות, כאשר זה האחרון נפטר, ולא יעלה עוד לישראל. לפיכך, אין מדובר בעליית בני זוג שיהיה בה כדי לקדם ולעודד עליית יהודים; סביר גם שלא את עלייתם של צאצאים זכאים ליהודי. </w:t>
      </w:r>
    </w:p>
    <w:p w:rsidR="00872589" w:rsidRDefault="00872589" w:rsidP="00872589">
      <w:pPr>
        <w:pStyle w:val="Ruller4"/>
        <w:numPr>
          <w:ilvl w:val="0"/>
          <w:numId w:val="0"/>
        </w:numPr>
      </w:pPr>
    </w:p>
    <w:p w:rsidR="00872589" w:rsidRDefault="00872589" w:rsidP="00872589">
      <w:pPr>
        <w:pStyle w:val="Ruller4"/>
        <w:textAlignment w:val="baseline"/>
      </w:pPr>
      <w:r>
        <w:rPr>
          <w:rFonts w:hint="cs"/>
          <w:rtl/>
        </w:rPr>
        <w:t xml:space="preserve">אין לכחד: יתכנו מצבים שבהם ילדיהם המשותפים של בני הזוג </w:t>
      </w:r>
      <w:r>
        <w:rPr>
          <w:rtl/>
        </w:rPr>
        <w:t>–</w:t>
      </w:r>
      <w:r>
        <w:rPr>
          <w:rFonts w:hint="cs"/>
          <w:rtl/>
        </w:rPr>
        <w:t xml:space="preserve"> זכאי שבות שהוא </w:t>
      </w:r>
      <w:r w:rsidRPr="00927916">
        <w:rPr>
          <w:rFonts w:ascii="Century" w:hAnsi="Century" w:cs="Miriam" w:hint="cs"/>
          <w:b/>
          <w:spacing w:val="0"/>
          <w:sz w:val="22"/>
          <w:szCs w:val="24"/>
          <w:rtl/>
        </w:rPr>
        <w:t>בן</w:t>
      </w:r>
      <w:r w:rsidRPr="00A3726B">
        <w:rPr>
          <w:rFonts w:hint="cs"/>
          <w:rtl/>
        </w:rPr>
        <w:t xml:space="preserve"> </w:t>
      </w:r>
      <w:r>
        <w:rPr>
          <w:rFonts w:hint="cs"/>
          <w:rtl/>
        </w:rPr>
        <w:t xml:space="preserve">של יהודי, ורעייתו הנוכריה </w:t>
      </w:r>
      <w:r>
        <w:rPr>
          <w:rtl/>
        </w:rPr>
        <w:t>–</w:t>
      </w:r>
      <w:r>
        <w:rPr>
          <w:rFonts w:hint="cs"/>
          <w:rtl/>
        </w:rPr>
        <w:t xml:space="preserve"> חפצים לממש את זכאותם לעלות ארצה, מכוח סעיף 4א; או אז, מתן זכאות לאלמנת הבן-זכאי השבות אכן עשוי לקדם במידת-מה את עלייתם (זאת, להבדיל ממקרה של אלמנת הנכד-זכאי השבות, שאז הילדים המשותפים (הנינים) אינם זכאי שבות, וממילא אין צורך לעודד את עלייתם). חברי, מ"מ הנשיא, אף תיאר מצב שבו הסב היהודי ירצה לעלות ארצה עם נכדיו, כאשר מניעת הזכאות מכלתו, </w:t>
      </w:r>
      <w:r w:rsidRPr="00403AFD">
        <w:rPr>
          <w:rFonts w:hint="cs"/>
          <w:rtl/>
        </w:rPr>
        <w:t>אֵם</w:t>
      </w:r>
      <w:r>
        <w:rPr>
          <w:rFonts w:hint="cs"/>
          <w:rtl/>
        </w:rPr>
        <w:t xml:space="preserve"> הנכדים </w:t>
      </w:r>
      <w:r>
        <w:rPr>
          <w:rtl/>
        </w:rPr>
        <w:t>–</w:t>
      </w:r>
      <w:r>
        <w:rPr>
          <w:rFonts w:hint="cs"/>
          <w:rtl/>
        </w:rPr>
        <w:t xml:space="preserve"> עשויה לסכל זאת (פסקה 49 לחוות דעתו). </w:t>
      </w:r>
    </w:p>
    <w:p w:rsidR="00872589" w:rsidRDefault="00872589" w:rsidP="00872589">
      <w:pPr>
        <w:pStyle w:val="Ruller4"/>
        <w:numPr>
          <w:ilvl w:val="0"/>
          <w:numId w:val="0"/>
        </w:numPr>
      </w:pPr>
    </w:p>
    <w:p w:rsidR="00872589" w:rsidRDefault="00872589" w:rsidP="00872589">
      <w:pPr>
        <w:pStyle w:val="Ruller4"/>
        <w:textAlignment w:val="baseline"/>
      </w:pPr>
      <w:r>
        <w:rPr>
          <w:rFonts w:hint="cs"/>
          <w:rtl/>
        </w:rPr>
        <w:t xml:space="preserve">אין בדוגמאות אלה כדי לשנות את מסקנתי. ראשית, מדובר בנסיבות עובדתיות קונקרטיות, תחומות למדי, שבוודאי אינן יפות כלפי כלל אלמנות זכאי השבות, כפי שציין גם חברי. שנית, וחשוב מכך, </w:t>
      </w:r>
      <w:r w:rsidRPr="007D7DCD">
        <w:rPr>
          <w:rFonts w:ascii="Century" w:hAnsi="Century" w:cs="Miriam" w:hint="cs"/>
          <w:b/>
          <w:spacing w:val="0"/>
          <w:sz w:val="22"/>
          <w:szCs w:val="24"/>
          <w:rtl/>
        </w:rPr>
        <w:t>"</w:t>
      </w:r>
      <w:r w:rsidRPr="007D7DCD">
        <w:rPr>
          <w:rFonts w:ascii="Century" w:hAnsi="Century" w:cs="Miriam" w:hint="eastAsia"/>
          <w:b/>
          <w:spacing w:val="0"/>
          <w:sz w:val="22"/>
          <w:szCs w:val="24"/>
          <w:rtl/>
        </w:rPr>
        <w:t>חוק</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השבות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אינו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מעניק</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זכות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שבות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כלפי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מעלה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דהיינו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להורה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נוכרי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של</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יהודי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של</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בן</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זוג</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של</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יהודי</w:t>
      </w:r>
      <w:r w:rsidRPr="007D7DCD">
        <w:rPr>
          <w:rFonts w:ascii="Century" w:hAnsi="Century" w:cs="Miriam"/>
          <w:b/>
          <w:spacing w:val="0"/>
          <w:sz w:val="22"/>
          <w:szCs w:val="24"/>
          <w:rtl/>
        </w:rPr>
        <w:t xml:space="preserve"> </w:t>
      </w:r>
      <w:r w:rsidRPr="007D7DCD">
        <w:rPr>
          <w:rFonts w:ascii="Century" w:hAnsi="Century" w:cs="Miriam" w:hint="cs"/>
          <w:b/>
          <w:spacing w:val="0"/>
          <w:sz w:val="22"/>
          <w:szCs w:val="24"/>
          <w:rtl/>
        </w:rPr>
        <w:t>[...]</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בכך</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מבטא</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חוק</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השבות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השקפתו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כי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איחוד</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המשפחות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יחול</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בעיקרו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כלפי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מטה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לעבר</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הצאצאים</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ולא</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כלפי</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מעלה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לעבר</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ההורים</w:t>
      </w:r>
      <w:r w:rsidRPr="007D7DCD">
        <w:rPr>
          <w:rFonts w:ascii="Century" w:hAnsi="Century" w:cs="Miriam" w:hint="cs"/>
          <w:b/>
          <w:spacing w:val="0"/>
          <w:sz w:val="22"/>
          <w:szCs w:val="24"/>
          <w:rtl/>
        </w:rPr>
        <w:t>"</w:t>
      </w:r>
      <w:r>
        <w:rPr>
          <w:rFonts w:hint="cs"/>
          <w:rtl/>
        </w:rPr>
        <w:t xml:space="preserve"> (עניין </w:t>
      </w:r>
      <w:r w:rsidRPr="007D7DCD">
        <w:rPr>
          <w:rFonts w:ascii="Century" w:hAnsi="Century" w:cs="Miriam" w:hint="cs"/>
          <w:b/>
          <w:spacing w:val="0"/>
          <w:sz w:val="22"/>
          <w:szCs w:val="24"/>
          <w:rtl/>
        </w:rPr>
        <w:t>גורודצקי</w:t>
      </w:r>
      <w:r>
        <w:rPr>
          <w:rFonts w:hint="cs"/>
          <w:rtl/>
        </w:rPr>
        <w:t xml:space="preserve">, פסקה 39; </w:t>
      </w:r>
      <w:r w:rsidRPr="007D7DCD">
        <w:rPr>
          <w:rFonts w:ascii="Century" w:hAnsi="Century" w:cs="Miriam" w:hint="cs"/>
          <w:b/>
          <w:spacing w:val="0"/>
          <w:sz w:val="22"/>
          <w:szCs w:val="24"/>
          <w:rtl/>
        </w:rPr>
        <w:t>קורינאלדי</w:t>
      </w:r>
      <w:r>
        <w:rPr>
          <w:rFonts w:hint="cs"/>
          <w:rtl/>
        </w:rPr>
        <w:t>, עמודים 97, 183-182)</w:t>
      </w:r>
      <w:r w:rsidRPr="007D7DCD">
        <w:rPr>
          <w:rtl/>
        </w:rPr>
        <w:t>.</w:t>
      </w:r>
      <w:r>
        <w:rPr>
          <w:rFonts w:hint="cs"/>
          <w:rtl/>
        </w:rPr>
        <w:t xml:space="preserve"> באותו אופן, למשל, גם מי שהתגרש מיהודי, או מבן של יהודי, תוך </w:t>
      </w:r>
      <w:r w:rsidRPr="00403AFD">
        <w:rPr>
          <w:rFonts w:hint="cs"/>
          <w:rtl/>
        </w:rPr>
        <w:t>שילדיו זכאֵי</w:t>
      </w:r>
      <w:r>
        <w:rPr>
          <w:rFonts w:hint="cs"/>
          <w:rtl/>
        </w:rPr>
        <w:t xml:space="preserve"> השבות בחרו לעלות ארצה </w:t>
      </w:r>
      <w:r>
        <w:rPr>
          <w:rtl/>
        </w:rPr>
        <w:t>–</w:t>
      </w:r>
      <w:r>
        <w:rPr>
          <w:rFonts w:hint="cs"/>
          <w:rtl/>
        </w:rPr>
        <w:t xml:space="preserve"> לא יוכל לעלות אחריהם, מכוח חוק השבות, חרף העובדה </w:t>
      </w:r>
      <w:r w:rsidRPr="00927916">
        <w:rPr>
          <w:rFonts w:hint="cs"/>
          <w:rtl/>
        </w:rPr>
        <w:t xml:space="preserve">שאין בגירושין כדי לפגום בקשר שבין הורה לילדיו. בכך יש, לטעמי, גם כדי להשיב לדברי חברי, </w:t>
      </w:r>
      <w:r>
        <w:rPr>
          <w:rFonts w:hint="cs"/>
          <w:rtl/>
        </w:rPr>
        <w:t>מ"מ הנשיא</w:t>
      </w:r>
      <w:r w:rsidRPr="00927916">
        <w:rPr>
          <w:rFonts w:hint="cs"/>
          <w:rtl/>
        </w:rPr>
        <w:t>, שגרס כי אין ללמוד לענייננו מכך ש</w:t>
      </w:r>
      <w:r w:rsidRPr="00927916">
        <w:rPr>
          <w:rFonts w:ascii="Century" w:hAnsi="Century" w:cs="Miriam" w:hint="cs"/>
          <w:b/>
          <w:spacing w:val="0"/>
          <w:sz w:val="22"/>
          <w:szCs w:val="24"/>
          <w:rtl/>
        </w:rPr>
        <w:t>"</w:t>
      </w:r>
      <w:r w:rsidRPr="00927916">
        <w:rPr>
          <w:rFonts w:ascii="Century" w:hAnsi="Century" w:cs="Miriam" w:hint="eastAsia"/>
          <w:b/>
          <w:spacing w:val="0"/>
          <w:sz w:val="22"/>
          <w:szCs w:val="24"/>
          <w:rtl/>
        </w:rPr>
        <w:t>איחוד</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המשפחות</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יחול</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בעיקרו</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כלפי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מטה</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לעבר</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הצאצאים</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ולא</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כלפי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מעלה</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לעבר</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ההורים</w:t>
      </w:r>
      <w:r w:rsidRPr="00927916">
        <w:rPr>
          <w:rFonts w:ascii="Century" w:hAnsi="Century" w:cs="Miriam" w:hint="cs"/>
          <w:b/>
          <w:spacing w:val="0"/>
          <w:sz w:val="22"/>
          <w:szCs w:val="24"/>
          <w:rtl/>
        </w:rPr>
        <w:t>"</w:t>
      </w:r>
      <w:r w:rsidRPr="00927916">
        <w:rPr>
          <w:rFonts w:hint="cs"/>
          <w:rtl/>
        </w:rPr>
        <w:t>; זאת לשיטת חברי, מאחר שקביעה זו יפה דווקא כלפי מעמדו של מי ש"</w:t>
      </w:r>
      <w:r w:rsidRPr="00927916">
        <w:rPr>
          <w:rFonts w:ascii="Century" w:hAnsi="Century" w:cs="Miriam" w:hint="eastAsia"/>
          <w:b/>
          <w:spacing w:val="0"/>
          <w:sz w:val="22"/>
          <w:szCs w:val="24"/>
          <w:rtl/>
        </w:rPr>
        <w:t>שמלכתחילה</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לא</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נכלל</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בגדרי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התא</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המשפחתי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שעוגן</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בסעיף</w:t>
      </w:r>
      <w:r w:rsidRPr="00927916">
        <w:rPr>
          <w:rFonts w:ascii="Century" w:hAnsi="Century" w:cs="Miriam"/>
          <w:b/>
          <w:spacing w:val="0"/>
          <w:sz w:val="22"/>
          <w:szCs w:val="24"/>
          <w:rtl/>
        </w:rPr>
        <w:t xml:space="preserve"> 4</w:t>
      </w:r>
      <w:r w:rsidRPr="00927916">
        <w:rPr>
          <w:rFonts w:ascii="Century" w:hAnsi="Century" w:cs="Miriam" w:hint="eastAsia"/>
          <w:b/>
          <w:spacing w:val="0"/>
          <w:sz w:val="22"/>
          <w:szCs w:val="24"/>
          <w:rtl/>
        </w:rPr>
        <w:t>א</w:t>
      </w:r>
      <w:r w:rsidRPr="00927916">
        <w:rPr>
          <w:rFonts w:ascii="Century" w:hAnsi="Century" w:cs="Miriam"/>
          <w:b/>
          <w:spacing w:val="0"/>
          <w:sz w:val="22"/>
          <w:szCs w:val="24"/>
          <w:rtl/>
        </w:rPr>
        <w:t>(</w:t>
      </w:r>
      <w:r w:rsidRPr="00927916">
        <w:rPr>
          <w:rFonts w:ascii="Century" w:hAnsi="Century" w:cs="Miriam" w:hint="eastAsia"/>
          <w:b/>
          <w:spacing w:val="0"/>
          <w:sz w:val="22"/>
          <w:szCs w:val="24"/>
          <w:rtl/>
        </w:rPr>
        <w:t>א</w:t>
      </w:r>
      <w:r w:rsidRPr="00927916">
        <w:rPr>
          <w:rFonts w:ascii="Century" w:hAnsi="Century" w:cs="Miriam"/>
          <w:b/>
          <w:spacing w:val="0"/>
          <w:sz w:val="22"/>
          <w:szCs w:val="24"/>
          <w:rtl/>
        </w:rPr>
        <w:t>)</w:t>
      </w:r>
      <w:r w:rsidRPr="00927916">
        <w:rPr>
          <w:rFonts w:hint="cs"/>
          <w:rtl/>
        </w:rPr>
        <w:t xml:space="preserve"> </w:t>
      </w:r>
      <w:r w:rsidRPr="00927916">
        <w:rPr>
          <w:rFonts w:ascii="Century" w:hAnsi="Century"/>
          <w:sz w:val="22"/>
          <w:rtl/>
        </w:rPr>
        <w:t>–</w:t>
      </w:r>
      <w:r w:rsidRPr="00927916">
        <w:rPr>
          <w:rFonts w:ascii="Century" w:hAnsi="Century" w:cs="Miriam" w:hint="cs"/>
          <w:b/>
          <w:spacing w:val="0"/>
          <w:sz w:val="22"/>
          <w:szCs w:val="24"/>
          <w:rtl/>
        </w:rPr>
        <w:t xml:space="preserve"> כגון הורהו של היהודי</w:t>
      </w:r>
      <w:r w:rsidRPr="00927916">
        <w:rPr>
          <w:rFonts w:hint="cs"/>
          <w:rtl/>
        </w:rPr>
        <w:t>", להבדיל מ</w:t>
      </w:r>
      <w:r w:rsidRPr="00927916">
        <w:rPr>
          <w:rFonts w:ascii="Century" w:hAnsi="Century" w:cs="Miriam" w:hint="cs"/>
          <w:b/>
          <w:spacing w:val="0"/>
          <w:sz w:val="22"/>
          <w:szCs w:val="24"/>
          <w:rtl/>
        </w:rPr>
        <w:t>"</w:t>
      </w:r>
      <w:r w:rsidRPr="00927916">
        <w:rPr>
          <w:rFonts w:ascii="Century" w:hAnsi="Century" w:cs="Miriam" w:hint="eastAsia"/>
          <w:b/>
          <w:spacing w:val="0"/>
          <w:sz w:val="22"/>
          <w:szCs w:val="24"/>
          <w:rtl/>
        </w:rPr>
        <w:t>מעמדם</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של</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קשרים</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בין</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חברי</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המשפחה</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שכן</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נכללו</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במסגרת</w:t>
      </w:r>
      <w:r w:rsidRPr="00927916">
        <w:rPr>
          <w:rFonts w:ascii="Century" w:hAnsi="Century" w:cs="Miriam"/>
          <w:b/>
          <w:spacing w:val="0"/>
          <w:sz w:val="22"/>
          <w:szCs w:val="24"/>
          <w:rtl/>
        </w:rPr>
        <w:t xml:space="preserve"> </w:t>
      </w:r>
      <w:r w:rsidRPr="00927916">
        <w:rPr>
          <w:rFonts w:ascii="Century" w:hAnsi="Century" w:cs="Miriam" w:hint="eastAsia"/>
          <w:b/>
          <w:spacing w:val="0"/>
          <w:sz w:val="22"/>
          <w:szCs w:val="24"/>
          <w:rtl/>
        </w:rPr>
        <w:t>החוק</w:t>
      </w:r>
      <w:r w:rsidRPr="00927916">
        <w:rPr>
          <w:rFonts w:ascii="Century" w:hAnsi="Century" w:cs="Miriam" w:hint="cs"/>
          <w:b/>
          <w:spacing w:val="0"/>
          <w:sz w:val="22"/>
          <w:szCs w:val="24"/>
          <w:rtl/>
        </w:rPr>
        <w:t>"</w:t>
      </w:r>
      <w:r w:rsidRPr="00927916">
        <w:rPr>
          <w:rFonts w:hint="cs"/>
          <w:rtl/>
        </w:rPr>
        <w:t xml:space="preserve"> (פסקה 46 לחוות דעתו). דא עקא, שבן זוג לשעבר, שהתגרש </w:t>
      </w:r>
      <w:r w:rsidRPr="00927916">
        <w:rPr>
          <w:rFonts w:hint="cs"/>
          <w:rtl/>
        </w:rPr>
        <w:lastRenderedPageBreak/>
        <w:t xml:space="preserve">מהיהודי או מזכאי השבות </w:t>
      </w:r>
      <w:r w:rsidRPr="00927916">
        <w:rPr>
          <w:rtl/>
        </w:rPr>
        <w:t>–</w:t>
      </w:r>
      <w:r w:rsidRPr="00927916">
        <w:rPr>
          <w:rFonts w:hint="cs"/>
          <w:rtl/>
        </w:rPr>
        <w:t xml:space="preserve"> בהחלט כלול היה בתא המשפחתי שבסעיף 4א(א) לחוק, אך בכל זאת לא נעשה לזכאי שבות מכוח ילדיו, בתקופה שלאחר הגירושין. </w:t>
      </w:r>
      <w:r>
        <w:rPr>
          <w:rFonts w:hint="cs"/>
          <w:rtl/>
        </w:rPr>
        <w:t>אם כך, בהחלט י</w:t>
      </w:r>
      <w:r w:rsidRPr="00927916">
        <w:rPr>
          <w:rFonts w:hint="cs"/>
          <w:rtl/>
        </w:rPr>
        <w:t>תכן כי בן הזוג של זכאי השבות שנפטר, יאבד את זכאותו, חרף הקשר ההורי עם ילדיו זכאי</w:t>
      </w:r>
      <w:r>
        <w:rPr>
          <w:rFonts w:hint="cs"/>
          <w:rtl/>
        </w:rPr>
        <w:t xml:space="preserve"> השבות. </w:t>
      </w:r>
    </w:p>
    <w:p w:rsidR="00872589" w:rsidRPr="00044AEB" w:rsidRDefault="00872589" w:rsidP="00872589">
      <w:pPr>
        <w:pStyle w:val="Ruller4"/>
        <w:numPr>
          <w:ilvl w:val="0"/>
          <w:numId w:val="0"/>
        </w:numPr>
      </w:pPr>
    </w:p>
    <w:p w:rsidR="00872589" w:rsidRDefault="00872589" w:rsidP="00872589">
      <w:pPr>
        <w:pStyle w:val="Ruller4"/>
        <w:textAlignment w:val="baseline"/>
      </w:pPr>
      <w:r w:rsidRPr="00BA6D11">
        <w:rPr>
          <w:rFonts w:hint="eastAsia"/>
          <w:rtl/>
        </w:rPr>
        <w:t>הֱוֵי</w:t>
      </w:r>
      <w:r>
        <w:rPr>
          <w:rFonts w:hint="cs"/>
          <w:rtl/>
        </w:rPr>
        <w:t xml:space="preserve"> אומר: גם אלמן שילדיו זכאי השבות מימשו את זכותם, אינו זכאי לשבות; בדומה לכך, גם בכל הנוגע לבני זוגם הנוכרים של יהודים או של זכאי שבות, החוק מתווה מסגרת שבה הוריהם אינם זכאים לעלות עִמם ארצה. כלומר, איחודי משפחות אלה מקבלים, ככלל, משקל נמוך יחסית בכל הנוגע למערך שמתווה חוק השבות, והם מופנים לפתרונות </w:t>
      </w:r>
      <w:r w:rsidRPr="007D7DCD">
        <w:rPr>
          <w:rFonts w:ascii="Century" w:hAnsi="Century" w:cs="Miriam" w:hint="cs"/>
          <w:b/>
          <w:spacing w:val="0"/>
          <w:sz w:val="22"/>
          <w:szCs w:val="24"/>
          <w:rtl/>
        </w:rPr>
        <w:t>"</w:t>
      </w:r>
      <w:r w:rsidRPr="007D7DCD">
        <w:rPr>
          <w:rFonts w:ascii="Century" w:hAnsi="Century" w:cs="Miriam" w:hint="eastAsia"/>
          <w:b/>
          <w:spacing w:val="0"/>
          <w:sz w:val="22"/>
          <w:szCs w:val="24"/>
          <w:rtl/>
        </w:rPr>
        <w:t>באמצעות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חוק</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האזרחות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או</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באמצעות</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הוועדה</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לעניינים</w:t>
      </w:r>
      <w:r w:rsidRPr="007D7DCD">
        <w:rPr>
          <w:rFonts w:ascii="Century" w:hAnsi="Century" w:cs="Miriam"/>
          <w:b/>
          <w:spacing w:val="0"/>
          <w:sz w:val="22"/>
          <w:szCs w:val="24"/>
          <w:rtl/>
        </w:rPr>
        <w:t xml:space="preserve"> </w:t>
      </w:r>
      <w:r w:rsidRPr="007D7DCD">
        <w:rPr>
          <w:rFonts w:ascii="Century" w:hAnsi="Century" w:cs="Miriam" w:hint="eastAsia"/>
          <w:b/>
          <w:spacing w:val="0"/>
          <w:sz w:val="22"/>
          <w:szCs w:val="24"/>
          <w:rtl/>
        </w:rPr>
        <w:t>הומניטאריים</w:t>
      </w:r>
      <w:r w:rsidRPr="007D7DCD">
        <w:rPr>
          <w:rFonts w:ascii="Century" w:hAnsi="Century" w:cs="Miriam" w:hint="cs"/>
          <w:b/>
          <w:spacing w:val="0"/>
          <w:sz w:val="22"/>
          <w:szCs w:val="24"/>
          <w:rtl/>
        </w:rPr>
        <w:t>"</w:t>
      </w:r>
      <w:r>
        <w:rPr>
          <w:rFonts w:hint="cs"/>
          <w:rtl/>
        </w:rPr>
        <w:t xml:space="preserve"> (עניין </w:t>
      </w:r>
      <w:r w:rsidRPr="007D7DCD">
        <w:rPr>
          <w:rFonts w:ascii="Century" w:hAnsi="Century" w:cs="Miriam" w:hint="cs"/>
          <w:b/>
          <w:spacing w:val="0"/>
          <w:sz w:val="22"/>
          <w:szCs w:val="24"/>
          <w:rtl/>
        </w:rPr>
        <w:t>גורודצקי</w:t>
      </w:r>
      <w:r>
        <w:rPr>
          <w:rFonts w:hint="cs"/>
          <w:rtl/>
        </w:rPr>
        <w:t xml:space="preserve">, פסקה 39; </w:t>
      </w:r>
      <w:r w:rsidRPr="007D7DCD">
        <w:rPr>
          <w:rFonts w:ascii="Century" w:hAnsi="Century" w:cs="Miriam" w:hint="cs"/>
          <w:b/>
          <w:spacing w:val="0"/>
          <w:sz w:val="22"/>
          <w:szCs w:val="24"/>
          <w:rtl/>
        </w:rPr>
        <w:t>קורינאלדי</w:t>
      </w:r>
      <w:r>
        <w:rPr>
          <w:rFonts w:hint="cs"/>
          <w:rtl/>
        </w:rPr>
        <w:t xml:space="preserve">, עמודים 97, 183-182) (הצעת חוק שנועדה להביא לשינוי מצב זה </w:t>
      </w:r>
      <w:r>
        <w:rPr>
          <w:rtl/>
        </w:rPr>
        <w:t>–</w:t>
      </w:r>
      <w:r>
        <w:rPr>
          <w:rFonts w:hint="cs"/>
          <w:rtl/>
        </w:rPr>
        <w:t xml:space="preserve"> לא צלחה; ראו: </w:t>
      </w:r>
      <w:r>
        <w:rPr>
          <w:rFonts w:ascii="FrankRuehl" w:hAnsi="FrankRuehl"/>
          <w:color w:val="000000"/>
          <w:sz w:val="28"/>
          <w:shd w:val="clear" w:color="auto" w:fill="FFFFFF"/>
          <w:rtl/>
        </w:rPr>
        <w:t>הצעת חוק השבות תיקון מס' 3, התשמ"ה-1985</w:t>
      </w:r>
      <w:r>
        <w:rPr>
          <w:rFonts w:ascii="FrankRuehl" w:hAnsi="FrankRuehl" w:hint="cs"/>
          <w:color w:val="000000"/>
          <w:sz w:val="28"/>
          <w:shd w:val="clear" w:color="auto" w:fill="FFFFFF"/>
          <w:rtl/>
        </w:rPr>
        <w:t>)</w:t>
      </w:r>
      <w:r>
        <w:rPr>
          <w:rFonts w:hint="cs"/>
          <w:rtl/>
        </w:rPr>
        <w:t xml:space="preserve">. אם כן, חרף המחיר שבהענקת זכאות שבות רק לחלק מבניה של משפחה אחת, ברי גם כי חוק השבות מחייב מתיחת קו גבול בנקודה מסוימת, וכך אכן נעשה; איני סבור כי קשרי המשפחה שעל הפרק בענייננו מצדיקים מתיחה כה ניכרת של קו גבול זה. נראה, כי החוק 'הציב גבול (ל)אלמנה', כמו גם לבני משפחה נוספים, ואל לנו לסטות מכך. </w:t>
      </w:r>
    </w:p>
    <w:p w:rsidR="00872589" w:rsidRDefault="00872589" w:rsidP="00872589">
      <w:pPr>
        <w:pStyle w:val="Ruller4"/>
        <w:numPr>
          <w:ilvl w:val="0"/>
          <w:numId w:val="0"/>
        </w:numPr>
        <w:rPr>
          <w:rtl/>
        </w:rPr>
      </w:pPr>
      <w:r>
        <w:rPr>
          <w:rtl/>
        </w:rPr>
        <w:t xml:space="preserve"> </w:t>
      </w:r>
    </w:p>
    <w:p w:rsidR="00872589" w:rsidRDefault="00872589" w:rsidP="00872589">
      <w:pPr>
        <w:pStyle w:val="Ruller4"/>
        <w:numPr>
          <w:ilvl w:val="0"/>
          <w:numId w:val="0"/>
        </w:numPr>
      </w:pPr>
      <w:r>
        <w:rPr>
          <w:rtl/>
        </w:rPr>
        <w:tab/>
      </w:r>
      <w:r>
        <w:rPr>
          <w:rFonts w:hint="cs"/>
          <w:rtl/>
        </w:rPr>
        <w:t xml:space="preserve">רואים אנו אפוא, כי תכליתו המרכזית של חוק השבות, כמו גם של סעיף 4א לחוק </w:t>
      </w:r>
      <w:r>
        <w:rPr>
          <w:rtl/>
        </w:rPr>
        <w:t>–</w:t>
      </w:r>
      <w:r>
        <w:rPr>
          <w:rFonts w:hint="cs"/>
          <w:rtl/>
        </w:rPr>
        <w:t xml:space="preserve"> אינה מתקיימת, ככלל, במקרה של אלמנת הבן או הנכד של יהודי. ואכן, אף חברי, מ"מ הנשיא, הכיר בכך ש</w:t>
      </w:r>
      <w:r w:rsidRPr="0098583A">
        <w:rPr>
          <w:rFonts w:ascii="Century" w:hAnsi="Century" w:cs="Miriam" w:hint="cs"/>
          <w:b/>
          <w:spacing w:val="0"/>
          <w:sz w:val="22"/>
          <w:szCs w:val="24"/>
          <w:rtl/>
        </w:rPr>
        <w:t>"</w:t>
      </w:r>
      <w:r w:rsidRPr="0098583A">
        <w:rPr>
          <w:rFonts w:ascii="Century" w:hAnsi="Century" w:cs="Miriam"/>
          <w:b/>
          <w:spacing w:val="0"/>
          <w:sz w:val="22"/>
          <w:szCs w:val="24"/>
          <w:rtl/>
        </w:rPr>
        <w:t xml:space="preserve">במצב הדברים הטיפוסי שבו אלמנת בנו או נכדו של יהודי מבקשת לעלות לישראל, תכלית </w:t>
      </w:r>
      <w:r w:rsidRPr="0098583A">
        <w:rPr>
          <w:rFonts w:ascii="Century" w:hAnsi="Century" w:cs="Miriam" w:hint="cs"/>
          <w:b/>
          <w:spacing w:val="0"/>
          <w:sz w:val="22"/>
          <w:szCs w:val="24"/>
          <w:rtl/>
        </w:rPr>
        <w:t>זו</w:t>
      </w:r>
      <w:r w:rsidRPr="0098583A">
        <w:rPr>
          <w:rFonts w:ascii="Century" w:hAnsi="Century" w:cs="Miriam"/>
          <w:b/>
          <w:spacing w:val="0"/>
          <w:sz w:val="22"/>
          <w:szCs w:val="24"/>
          <w:rtl/>
        </w:rPr>
        <w:t xml:space="preserve"> לא תהא רלוונטית</w:t>
      </w:r>
      <w:r w:rsidRPr="0098583A">
        <w:rPr>
          <w:rFonts w:ascii="Century" w:hAnsi="Century" w:cs="Miriam" w:hint="cs"/>
          <w:b/>
          <w:spacing w:val="0"/>
          <w:sz w:val="22"/>
          <w:szCs w:val="24"/>
          <w:rtl/>
        </w:rPr>
        <w:t>"</w:t>
      </w:r>
      <w:r>
        <w:rPr>
          <w:rFonts w:hint="cs"/>
          <w:rtl/>
        </w:rPr>
        <w:t xml:space="preserve"> (פסקה 49 לחוות דעתו). לאי-תחולתה של תכלית מרכזית וחשובה זו (ראו המקורות הרבים ש</w:t>
      </w:r>
      <w:r w:rsidRPr="00235D72">
        <w:rPr>
          <w:rFonts w:ascii="FrankRuehl" w:hAnsi="FrankRuehl"/>
          <w:sz w:val="28"/>
          <w:rtl/>
        </w:rPr>
        <w:t xml:space="preserve">בפסקה </w:t>
      </w:r>
      <w:r w:rsidRPr="00235D72">
        <w:rPr>
          <w:rFonts w:ascii="FrankRuehl" w:hAnsi="FrankRuehl"/>
          <w:sz w:val="28"/>
          <w:rtl/>
        </w:rPr>
        <w:fldChar w:fldCharType="begin"/>
      </w:r>
      <w:r w:rsidRPr="00235D72">
        <w:rPr>
          <w:rFonts w:ascii="FrankRuehl" w:hAnsi="FrankRuehl"/>
          <w:sz w:val="28"/>
          <w:rtl/>
        </w:rPr>
        <w:instrText xml:space="preserve"> </w:instrText>
      </w:r>
      <w:r w:rsidRPr="00235D72">
        <w:rPr>
          <w:rFonts w:ascii="FrankRuehl" w:hAnsi="FrankRuehl"/>
          <w:sz w:val="28"/>
        </w:rPr>
        <w:instrText>REF</w:instrText>
      </w:r>
      <w:r w:rsidRPr="00235D72">
        <w:rPr>
          <w:rFonts w:ascii="FrankRuehl" w:hAnsi="FrankRuehl"/>
          <w:sz w:val="28"/>
          <w:rtl/>
        </w:rPr>
        <w:instrText xml:space="preserve"> _</w:instrText>
      </w:r>
      <w:r w:rsidRPr="00235D72">
        <w:rPr>
          <w:rFonts w:ascii="FrankRuehl" w:hAnsi="FrankRuehl"/>
          <w:sz w:val="28"/>
        </w:rPr>
        <w:instrText>Ref140392999 \r \h</w:instrText>
      </w:r>
      <w:r w:rsidRPr="00235D72">
        <w:rPr>
          <w:rFonts w:ascii="FrankRuehl" w:hAnsi="FrankRuehl"/>
          <w:sz w:val="28"/>
          <w:rtl/>
        </w:rPr>
        <w:instrText xml:space="preserve">  \* </w:instrText>
      </w:r>
      <w:r w:rsidRPr="00235D72">
        <w:rPr>
          <w:rFonts w:ascii="FrankRuehl" w:hAnsi="FrankRuehl"/>
          <w:sz w:val="28"/>
        </w:rPr>
        <w:instrText>MERGEFORMAT</w:instrText>
      </w:r>
      <w:r w:rsidRPr="00235D72">
        <w:rPr>
          <w:rFonts w:ascii="FrankRuehl" w:hAnsi="FrankRuehl"/>
          <w:sz w:val="28"/>
          <w:rtl/>
        </w:rPr>
        <w:instrText xml:space="preserve"> </w:instrText>
      </w:r>
      <w:r w:rsidRPr="00235D72">
        <w:rPr>
          <w:rFonts w:ascii="FrankRuehl" w:hAnsi="FrankRuehl"/>
          <w:sz w:val="28"/>
          <w:rtl/>
        </w:rPr>
      </w:r>
      <w:r w:rsidRPr="00235D72">
        <w:rPr>
          <w:rFonts w:ascii="FrankRuehl" w:hAnsi="FrankRuehl"/>
          <w:sz w:val="28"/>
          <w:rtl/>
        </w:rPr>
        <w:fldChar w:fldCharType="separate"/>
      </w:r>
      <w:r w:rsidR="00AE7B46">
        <w:rPr>
          <w:rFonts w:ascii="FrankRuehl" w:hAnsi="FrankRuehl"/>
          <w:sz w:val="28"/>
          <w:cs/>
        </w:rPr>
        <w:t>‎</w:t>
      </w:r>
      <w:r w:rsidR="00AE7B46">
        <w:rPr>
          <w:rFonts w:ascii="FrankRuehl" w:hAnsi="FrankRuehl"/>
          <w:sz w:val="28"/>
        </w:rPr>
        <w:t>18</w:t>
      </w:r>
      <w:r w:rsidRPr="00235D72">
        <w:rPr>
          <w:rFonts w:ascii="FrankRuehl" w:hAnsi="FrankRuehl"/>
          <w:sz w:val="28"/>
          <w:rtl/>
        </w:rPr>
        <w:fldChar w:fldCharType="end"/>
      </w:r>
      <w:r w:rsidRPr="00235D72">
        <w:rPr>
          <w:rFonts w:ascii="FrankRuehl" w:hAnsi="FrankRuehl"/>
          <w:sz w:val="28"/>
          <w:rtl/>
        </w:rPr>
        <w:t xml:space="preserve"> לע</w:t>
      </w:r>
      <w:r>
        <w:rPr>
          <w:rFonts w:hint="cs"/>
          <w:rtl/>
        </w:rPr>
        <w:t xml:space="preserve">יל), בנדון דידן, יש לייחס משקל רב בבואנו להכריע בשאלה הפרשנית שעל הפרק; משקל שיתר תכליות סעיף 4א(א), שאליהן התייחס חברי בהרחבה, תתקשינה להתמודד עִמו. ואכן, סבורני כי תכליות נוספות אלה אינן מתקיימות בצורה כה מובהקת באלמנתו של זכאי השבות, עד כי יהיה בהן כדי לגבור על תכליתו העיקרית של החוק; אסביר עמדתי להלן.  </w:t>
      </w:r>
    </w:p>
    <w:p w:rsidR="00872589" w:rsidRPr="00C23E4D" w:rsidRDefault="00872589" w:rsidP="00872589">
      <w:pPr>
        <w:pStyle w:val="Ruller4"/>
        <w:numPr>
          <w:ilvl w:val="0"/>
          <w:numId w:val="0"/>
        </w:numPr>
      </w:pPr>
    </w:p>
    <w:p w:rsidR="00872589" w:rsidRDefault="00872589" w:rsidP="00872589">
      <w:pPr>
        <w:pStyle w:val="Ruller4"/>
        <w:textAlignment w:val="baseline"/>
      </w:pPr>
      <w:r>
        <w:rPr>
          <w:rFonts w:hint="cs"/>
          <w:rtl/>
        </w:rPr>
        <w:t xml:space="preserve">תחילה לתכלית שעניינה אחדות המשפחה. אינני סבור כי תכלית זו מוגשמת בנדון דידן בעוצמה רבה דיה, עד כדי כך שיהיה בה כדי להצדיק את כלילתה של אלמנת זכאי השבות במעגל זכאי השבות. אקדים ואומר, ברוח דברַי לעיל, כי ברי שכל הרחבה של הזכאות לשבות לבני משפחה, קרובים כרחוקים, עשויה לקדם, במידה כזו או אחרת, את תכלית אחדות המשפחה. ואולם, כאמור, המחוקק בחר שלא להרחיב את תחולת חוק השבות עד בלי די. דוגמת בולטת לכך היא העדר זכאותם לשבות של הורים שילדם נעשה </w:t>
      </w:r>
      <w:r>
        <w:rPr>
          <w:rFonts w:hint="cs"/>
          <w:rtl/>
        </w:rPr>
        <w:lastRenderedPageBreak/>
        <w:t xml:space="preserve">זכאי שבות (למשל, כי נישא ליהודי), ודוגמה מרכזית נוספת היא נינו של יהודי, שאינו זכאי לשבות כהוריו. לנדון דידן רלבנטית במיוחד גם הדוגמה שנזכרה לעיל, שבה גרוש של יהודי, או של זכאי שבות, אינו נעשה זכאי שבות (פעם נוספת) בשל זכאות ילדיו. הנה כי כן, בהקשרים אלה, על אף שהיו מי שקראו לשינוי המצב (הצעת תיקון 3 שנזכרה לעיל; </w:t>
      </w:r>
      <w:r w:rsidRPr="00784C6F">
        <w:rPr>
          <w:rFonts w:ascii="Century" w:hAnsi="Century"/>
          <w:rtl/>
        </w:rPr>
        <w:t xml:space="preserve">אשר מעוז "הבן הנשכח: על סעיף 4א(א) לחוק השבות ועל השמטה שבהיסח דעת" </w:t>
      </w:r>
      <w:r w:rsidRPr="00784C6F">
        <w:rPr>
          <w:rFonts w:ascii="Century" w:hAnsi="Century" w:cs="Miriam"/>
          <w:b/>
          <w:spacing w:val="0"/>
          <w:szCs w:val="24"/>
          <w:rtl/>
        </w:rPr>
        <w:t>הפרקליט</w:t>
      </w:r>
      <w:r w:rsidRPr="00784C6F">
        <w:rPr>
          <w:rFonts w:ascii="Century" w:hAnsi="Century"/>
          <w:rtl/>
        </w:rPr>
        <w:t xml:space="preserve"> לח 637 (1989)</w:t>
      </w:r>
      <w:r>
        <w:rPr>
          <w:rFonts w:hint="cs"/>
          <w:rtl/>
        </w:rPr>
        <w:t xml:space="preserve">) </w:t>
      </w:r>
      <w:r>
        <w:rPr>
          <w:rtl/>
        </w:rPr>
        <w:t>–</w:t>
      </w:r>
      <w:r>
        <w:rPr>
          <w:rFonts w:hint="cs"/>
          <w:rtl/>
        </w:rPr>
        <w:t xml:space="preserve"> הכרעתו של החוק ברורה. הכרעה זו, מבטאת העדפה לתיחום הזכאות לשבות, על פני מתן אפשרות לאיחוד משפחות מן הסוגים המתוארים, בדרך של הרחבת הזכאות לשבות. אם כך, השאלה שעלינו לשאול אינה איזו מפרשנויות החוק האפשריות תקדם את תכלית אחדות המשפחה (מאחר שכמעט כל הרחבת זכאות תעשה כן), אלא איזו פרשנות תעלה בקנה אחד עם מתווה איחוד המשפחות שמשורטט בחוק השבות </w:t>
      </w:r>
      <w:r>
        <w:rPr>
          <w:rtl/>
        </w:rPr>
        <w:t>–</w:t>
      </w:r>
      <w:r>
        <w:rPr>
          <w:rFonts w:hint="cs"/>
          <w:rtl/>
        </w:rPr>
        <w:t xml:space="preserve"> מתווה הכולל גם פשרות ביחס לתכלית אחדות המשפחה. משעה שזו השאלה שעל הפרק, דעתי היא שהפירוד שבו עסקינן </w:t>
      </w:r>
      <w:r>
        <w:rPr>
          <w:rtl/>
        </w:rPr>
        <w:t>–</w:t>
      </w:r>
      <w:r>
        <w:rPr>
          <w:rFonts w:hint="cs"/>
          <w:rtl/>
        </w:rPr>
        <w:t xml:space="preserve"> מבלי חלילה להקל בו ראש </w:t>
      </w:r>
      <w:r>
        <w:rPr>
          <w:rtl/>
        </w:rPr>
        <w:t>–</w:t>
      </w:r>
      <w:r>
        <w:rPr>
          <w:rFonts w:hint="cs"/>
          <w:rtl/>
        </w:rPr>
        <w:t xml:space="preserve"> אינו נמנה על מקרי הפירוד שאותם מבקש חוק השבות למנוע, בדרך של הענקת זכאות לשבות. ההיפך הוא הנכון. כאמור, מדובר לגישתי בפירוד הדומה למצבי פרידה נוספים שעִמם מסכין חוק השבות. בהקשר זה חשוב לציין, כי משמעות שלילת הזכאות לשבות אינה פירוק המשפחה; ודאי לא באופן הכרחי. בדומה לאמור בעניין </w:t>
      </w:r>
      <w:r w:rsidRPr="00B5189C">
        <w:rPr>
          <w:rFonts w:ascii="Century" w:hAnsi="Century" w:cs="Miriam" w:hint="cs"/>
          <w:b/>
          <w:spacing w:val="0"/>
          <w:sz w:val="22"/>
          <w:szCs w:val="24"/>
          <w:rtl/>
        </w:rPr>
        <w:t>גורודצקי</w:t>
      </w:r>
      <w:r>
        <w:rPr>
          <w:rFonts w:hint="cs"/>
          <w:rtl/>
        </w:rPr>
        <w:t xml:space="preserve">, שהוּבא לעיל, מצבים מעין אלה </w:t>
      </w:r>
      <w:r>
        <w:rPr>
          <w:rtl/>
        </w:rPr>
        <w:t>–</w:t>
      </w:r>
      <w:r>
        <w:rPr>
          <w:rFonts w:hint="cs"/>
          <w:rtl/>
        </w:rPr>
        <w:t xml:space="preserve"> בדגש על אלה שבהם הורה אינו זכאי שבות, בניגוד לילדיו </w:t>
      </w:r>
      <w:r>
        <w:rPr>
          <w:rtl/>
        </w:rPr>
        <w:t>–</w:t>
      </w:r>
      <w:r>
        <w:rPr>
          <w:rFonts w:hint="cs"/>
          <w:rtl/>
        </w:rPr>
        <w:t xml:space="preserve"> יכולים לבוא על פתרונם בדרכים שנקבעו בחוק האזרחות ובחוק הכניסה לישראל, ועל-פי נהלי המבקשים (</w:t>
      </w:r>
      <w:r w:rsidRPr="00B5189C">
        <w:rPr>
          <w:rFonts w:ascii="Century" w:hAnsi="Century" w:cs="Miriam" w:hint="cs"/>
          <w:b/>
          <w:spacing w:val="0"/>
          <w:sz w:val="22"/>
          <w:szCs w:val="24"/>
          <w:rtl/>
        </w:rPr>
        <w:t>שם</w:t>
      </w:r>
      <w:r>
        <w:rPr>
          <w:rFonts w:hint="cs"/>
          <w:rtl/>
        </w:rPr>
        <w:t xml:space="preserve">, פסקה 39; </w:t>
      </w:r>
      <w:r w:rsidRPr="00B5189C">
        <w:rPr>
          <w:rFonts w:ascii="Century" w:hAnsi="Century" w:cs="Miriam" w:hint="cs"/>
          <w:b/>
          <w:spacing w:val="0"/>
          <w:sz w:val="22"/>
          <w:szCs w:val="24"/>
          <w:rtl/>
        </w:rPr>
        <w:t>קורינאלדי</w:t>
      </w:r>
      <w:r>
        <w:rPr>
          <w:rFonts w:hint="cs"/>
          <w:rtl/>
        </w:rPr>
        <w:t xml:space="preserve">, עמודים 97, </w:t>
      </w:r>
      <w:r w:rsidRPr="005646A6">
        <w:rPr>
          <w:rFonts w:hint="cs"/>
          <w:rtl/>
        </w:rPr>
        <w:t>183-182) (ער אני לשלילתו העקרונית של פתרון מעין זה, על-ידי חברי, ככל שהדבר נוגע לפרשנותו של חוק השבות; אתייחס לכך בהמשך).</w:t>
      </w:r>
    </w:p>
    <w:p w:rsidR="00872589" w:rsidRPr="007B08B0" w:rsidRDefault="00872589" w:rsidP="00872589">
      <w:pPr>
        <w:pStyle w:val="Ruller4"/>
        <w:numPr>
          <w:ilvl w:val="0"/>
          <w:numId w:val="0"/>
        </w:numPr>
      </w:pPr>
    </w:p>
    <w:p w:rsidR="00872589" w:rsidRDefault="00872589" w:rsidP="00872589">
      <w:pPr>
        <w:pStyle w:val="Ruller4"/>
        <w:textAlignment w:val="baseline"/>
        <w:rPr>
          <w:rtl/>
        </w:rPr>
      </w:pPr>
      <w:r>
        <w:rPr>
          <w:rFonts w:hint="cs"/>
          <w:rtl/>
        </w:rPr>
        <w:t>עניין זה מובילני גם אל התכלית שעניינה ב</w:t>
      </w:r>
      <w:r w:rsidRPr="0066031F">
        <w:rPr>
          <w:rFonts w:ascii="Century" w:hAnsi="Century" w:cs="Miriam" w:hint="cs"/>
          <w:b/>
          <w:spacing w:val="0"/>
          <w:sz w:val="22"/>
          <w:szCs w:val="24"/>
          <w:rtl/>
        </w:rPr>
        <w:t xml:space="preserve">"השוואת </w:t>
      </w:r>
      <w:r w:rsidRPr="003573C9">
        <w:rPr>
          <w:rFonts w:ascii="Century" w:hAnsi="Century" w:cs="Miriam" w:hint="cs"/>
          <w:b/>
          <w:spacing w:val="0"/>
          <w:sz w:val="22"/>
          <w:szCs w:val="24"/>
          <w:rtl/>
        </w:rPr>
        <w:t xml:space="preserve">הסטאטוס של בני משפחה מעורבת שעולים לישראל, בלי שחלק מבני המשפחה ידרשו לעמוד במבחני </w:t>
      </w:r>
      <w:hyperlink w:history="1">
        <w:r w:rsidRPr="009E36BA">
          <w:rPr>
            <w:rFonts w:ascii="Century" w:hAnsi="Century" w:cs="Miriam" w:hint="cs"/>
            <w:b/>
            <w:spacing w:val="0"/>
            <w:sz w:val="22"/>
            <w:szCs w:val="24"/>
            <w:rtl/>
          </w:rPr>
          <w:t>חוק</w:t>
        </w:r>
      </w:hyperlink>
      <w:r w:rsidRPr="003573C9">
        <w:rPr>
          <w:rFonts w:ascii="Century" w:hAnsi="Century" w:cs="Miriam" w:hint="cs"/>
          <w:b/>
          <w:spacing w:val="0"/>
          <w:sz w:val="22"/>
          <w:szCs w:val="24"/>
          <w:rtl/>
        </w:rPr>
        <w:t xml:space="preserve"> השבות</w:t>
      </w:r>
      <w:r w:rsidRPr="0066031F">
        <w:rPr>
          <w:rFonts w:ascii="Century" w:hAnsi="Century" w:cs="Miriam" w:hint="cs"/>
          <w:b/>
          <w:spacing w:val="0"/>
          <w:sz w:val="22"/>
          <w:szCs w:val="24"/>
          <w:rtl/>
        </w:rPr>
        <w:t xml:space="preserve"> בעוד האחרים יקבלו מעמד אוטומאטי"</w:t>
      </w:r>
      <w:r>
        <w:rPr>
          <w:rFonts w:hint="cs"/>
          <w:rtl/>
        </w:rPr>
        <w:t xml:space="preserve"> (עניין </w:t>
      </w:r>
      <w:r w:rsidRPr="0066031F">
        <w:rPr>
          <w:rFonts w:ascii="Century" w:hAnsi="Century" w:cs="Miriam" w:hint="cs"/>
          <w:b/>
          <w:spacing w:val="0"/>
          <w:sz w:val="22"/>
          <w:szCs w:val="24"/>
          <w:rtl/>
        </w:rPr>
        <w:t>גורודצקי</w:t>
      </w:r>
      <w:r>
        <w:rPr>
          <w:rFonts w:hint="cs"/>
          <w:rtl/>
        </w:rPr>
        <w:t xml:space="preserve">, פסקה 33). כפי שניתן לראות, מדובר בתכלית </w:t>
      </w:r>
      <w:r>
        <w:rPr>
          <w:rFonts w:ascii="Century" w:hAnsi="Century" w:hint="cs"/>
          <w:sz w:val="22"/>
          <w:rtl/>
        </w:rPr>
        <w:t>'</w:t>
      </w:r>
      <w:r w:rsidRPr="003C09DB">
        <w:rPr>
          <w:rFonts w:ascii="Century" w:hAnsi="Century" w:hint="cs"/>
          <w:sz w:val="22"/>
          <w:rtl/>
        </w:rPr>
        <w:t>משנית</w:t>
      </w:r>
      <w:r>
        <w:rPr>
          <w:rFonts w:ascii="Century" w:hAnsi="Century" w:hint="cs"/>
          <w:sz w:val="22"/>
          <w:rtl/>
        </w:rPr>
        <w:t>'</w:t>
      </w:r>
      <w:r>
        <w:rPr>
          <w:rFonts w:hint="cs"/>
          <w:rtl/>
        </w:rPr>
        <w:t xml:space="preserve">, שעניינה </w:t>
      </w:r>
      <w:r w:rsidRPr="003C09DB">
        <w:rPr>
          <w:rFonts w:ascii="Century" w:hAnsi="Century" w:hint="cs"/>
          <w:sz w:val="22"/>
          <w:rtl/>
        </w:rPr>
        <w:t>ב</w:t>
      </w:r>
      <w:r w:rsidRPr="003C09DB">
        <w:rPr>
          <w:rFonts w:ascii="Century" w:hAnsi="Century" w:cs="Miriam" w:hint="cs"/>
          <w:b/>
          <w:spacing w:val="0"/>
          <w:sz w:val="22"/>
          <w:szCs w:val="24"/>
          <w:rtl/>
        </w:rPr>
        <w:t>דרך</w:t>
      </w:r>
      <w:r w:rsidRPr="003C09DB">
        <w:rPr>
          <w:rFonts w:hint="cs"/>
          <w:rtl/>
        </w:rPr>
        <w:t xml:space="preserve"> </w:t>
      </w:r>
      <w:r>
        <w:rPr>
          <w:rFonts w:hint="cs"/>
          <w:rtl/>
        </w:rPr>
        <w:t xml:space="preserve">שבה תתאפשר עליית בני משפחת היהודי, לאחר שהוחלט כי מדובר בבני משפחה שיש ליתן להם אפשרות להצטרף אל היהודי במסע שיבתו לישראל. גם לשיטת חברי, מ"מ הנשיא, בתוך המעגל המשפחתי, ניצבים בני משפחה שיכולים להצטרף אל היהודי בדרך של זכאות לשבות, לצד בני משפחה נוספים, אשר חרף תכלית השוואת הסטטוס </w:t>
      </w:r>
      <w:r>
        <w:rPr>
          <w:rtl/>
        </w:rPr>
        <w:t>–</w:t>
      </w:r>
      <w:r>
        <w:rPr>
          <w:rFonts w:hint="cs"/>
          <w:rtl/>
        </w:rPr>
        <w:t xml:space="preserve"> אינם זכאים למעמד אוטומטי מכוח חוק השבות, ושעליהם יהיה לרכוש מעמד בדרך אחרת. השאלה מיהם בני המשפחה שראויים למסלול זה, ומיהם שראויים למסלול אחר, אינה מוכרעת על-פי תכלית השוואת הסטטוס </w:t>
      </w:r>
      <w:r>
        <w:rPr>
          <w:rtl/>
        </w:rPr>
        <w:t>–</w:t>
      </w:r>
      <w:r>
        <w:rPr>
          <w:rFonts w:hint="cs"/>
          <w:rtl/>
        </w:rPr>
        <w:t xml:space="preserve"> שהיא תכלית 'משנית', כאמור </w:t>
      </w:r>
      <w:r>
        <w:rPr>
          <w:rtl/>
        </w:rPr>
        <w:t>–</w:t>
      </w:r>
      <w:r>
        <w:rPr>
          <w:rFonts w:hint="cs"/>
          <w:rtl/>
        </w:rPr>
        <w:t xml:space="preserve"> אלא בהתאם לתכליותיו ה'ראשוניות' של החוק, שבמרכזן השאלה אם עסקינן במי שעלייתו ארצה תקדם עליית יהודים, אם לאו. משמצאתי, </w:t>
      </w:r>
      <w:r>
        <w:rPr>
          <w:rFonts w:hint="cs"/>
          <w:rtl/>
        </w:rPr>
        <w:lastRenderedPageBreak/>
        <w:t xml:space="preserve">כמפורט לעיל, כי בכל הנוגע לאלמנתו של זכאי השבות, לא חלים, ככלל, הטעמים שעניינם בעידוד עליית יהודים ארצה ובאיחוד המשפחות שמקבל משקל במסגרת חוק השבות, הרי שאין בתכלית המשנית בדבר 'השוואת הסטטוס', כדי להטות לעבר מסקנה אחרת. אין אפוא בעייתיות בכך שאם אכן יגיעו ארצה, אֵלו שאין הצדקה למנותם על בני המשפחה שעלייתם תתרום לעליית יהודים </w:t>
      </w:r>
      <w:r>
        <w:rPr>
          <w:rtl/>
        </w:rPr>
        <w:t>–</w:t>
      </w:r>
      <w:r>
        <w:rPr>
          <w:rFonts w:hint="cs"/>
          <w:rtl/>
        </w:rPr>
        <w:t xml:space="preserve"> הדבר יֵעשה שלא בדרכו של חוק השבות, אלא </w:t>
      </w:r>
      <w:r w:rsidRPr="00235D72">
        <w:rPr>
          <w:rFonts w:hint="cs"/>
          <w:rtl/>
        </w:rPr>
        <w:t xml:space="preserve">בדרכם של חוקי האזרחות והכניסה לישראל, </w:t>
      </w:r>
      <w:r>
        <w:rPr>
          <w:rFonts w:hint="cs"/>
          <w:rtl/>
        </w:rPr>
        <w:t>ושל</w:t>
      </w:r>
      <w:r w:rsidRPr="00235D72">
        <w:rPr>
          <w:rFonts w:hint="cs"/>
          <w:rtl/>
        </w:rPr>
        <w:t xml:space="preserve"> נהלי המבקשים</w:t>
      </w:r>
      <w:r>
        <w:rPr>
          <w:rFonts w:hint="cs"/>
          <w:rtl/>
        </w:rPr>
        <w:t xml:space="preserve">. </w:t>
      </w:r>
    </w:p>
    <w:p w:rsidR="00872589" w:rsidRPr="00676C96" w:rsidRDefault="00872589" w:rsidP="00872589">
      <w:pPr>
        <w:pStyle w:val="Ruller4"/>
        <w:numPr>
          <w:ilvl w:val="0"/>
          <w:numId w:val="0"/>
        </w:numPr>
      </w:pPr>
    </w:p>
    <w:p w:rsidR="00872589" w:rsidRDefault="00872589" w:rsidP="00872589">
      <w:pPr>
        <w:pStyle w:val="Ruller4"/>
        <w:textAlignment w:val="baseline"/>
        <w:rPr>
          <w:rtl/>
        </w:rPr>
      </w:pPr>
      <w:r>
        <w:rPr>
          <w:rFonts w:hint="cs"/>
          <w:rtl/>
        </w:rPr>
        <w:t xml:space="preserve">גם בתכלית שעניינה ביצירת איזון בין הגדרת היהדות ההלכתית, לבין זו הלאומית, אין כדי לסייע למשיבים. נוכח האמור מעלה, עמדתי היא שאיזון כאמור נדרש בעיקר ביחס לצאצא היהודי, </w:t>
      </w:r>
      <w:r>
        <w:rPr>
          <w:rFonts w:ascii="Century" w:hAnsi="Century" w:cs="Miriam" w:hint="cs"/>
          <w:b/>
          <w:spacing w:val="0"/>
          <w:szCs w:val="24"/>
          <w:rtl/>
        </w:rPr>
        <w:t>"</w:t>
      </w:r>
      <w:r w:rsidRPr="0066031F">
        <w:rPr>
          <w:rFonts w:ascii="Century" w:hAnsi="Century" w:cs="Miriam" w:hint="eastAsia"/>
          <w:b/>
          <w:spacing w:val="0"/>
          <w:szCs w:val="24"/>
          <w:rtl/>
        </w:rPr>
        <w:t>אשר</w:t>
      </w:r>
      <w:r w:rsidRPr="0066031F">
        <w:rPr>
          <w:rFonts w:ascii="Century" w:hAnsi="Century" w:cs="Miriam"/>
          <w:b/>
          <w:spacing w:val="0"/>
          <w:szCs w:val="24"/>
          <w:rtl/>
        </w:rPr>
        <w:t xml:space="preserve"> </w:t>
      </w:r>
      <w:r w:rsidRPr="0066031F">
        <w:rPr>
          <w:rFonts w:ascii="Century" w:hAnsi="Century" w:cs="Miriam" w:hint="eastAsia"/>
          <w:b/>
          <w:spacing w:val="0"/>
          <w:szCs w:val="24"/>
          <w:rtl/>
        </w:rPr>
        <w:t>גם</w:t>
      </w:r>
      <w:r w:rsidRPr="0066031F">
        <w:rPr>
          <w:rFonts w:ascii="Century" w:hAnsi="Century" w:cs="Miriam"/>
          <w:b/>
          <w:spacing w:val="0"/>
          <w:szCs w:val="24"/>
          <w:rtl/>
        </w:rPr>
        <w:t xml:space="preserve"> </w:t>
      </w:r>
      <w:r w:rsidRPr="0066031F">
        <w:rPr>
          <w:rFonts w:ascii="Century" w:hAnsi="Century" w:cs="Miriam" w:hint="eastAsia"/>
          <w:b/>
          <w:spacing w:val="0"/>
          <w:szCs w:val="24"/>
          <w:rtl/>
        </w:rPr>
        <w:t>אם</w:t>
      </w:r>
      <w:r w:rsidRPr="0066031F">
        <w:rPr>
          <w:rFonts w:ascii="Century" w:hAnsi="Century" w:cs="Miriam"/>
          <w:b/>
          <w:spacing w:val="0"/>
          <w:szCs w:val="24"/>
          <w:rtl/>
        </w:rPr>
        <w:t xml:space="preserve"> </w:t>
      </w:r>
      <w:r w:rsidRPr="0066031F">
        <w:rPr>
          <w:rFonts w:ascii="Century" w:hAnsi="Century" w:cs="Miriam" w:hint="eastAsia"/>
          <w:b/>
          <w:spacing w:val="0"/>
          <w:szCs w:val="24"/>
          <w:rtl/>
        </w:rPr>
        <w:t>אינו</w:t>
      </w:r>
      <w:r w:rsidRPr="0066031F">
        <w:rPr>
          <w:rFonts w:ascii="Century" w:hAnsi="Century" w:cs="Miriam"/>
          <w:b/>
          <w:spacing w:val="0"/>
          <w:szCs w:val="24"/>
          <w:rtl/>
        </w:rPr>
        <w:t xml:space="preserve"> </w:t>
      </w:r>
      <w:r w:rsidRPr="0066031F">
        <w:rPr>
          <w:rFonts w:ascii="Century" w:hAnsi="Century" w:cs="Miriam" w:hint="eastAsia"/>
          <w:b/>
          <w:spacing w:val="0"/>
          <w:szCs w:val="24"/>
          <w:rtl/>
        </w:rPr>
        <w:t>יהודי</w:t>
      </w:r>
      <w:r w:rsidRPr="0066031F">
        <w:rPr>
          <w:rFonts w:ascii="Century" w:hAnsi="Century" w:cs="Miriam"/>
          <w:b/>
          <w:spacing w:val="0"/>
          <w:szCs w:val="24"/>
          <w:rtl/>
        </w:rPr>
        <w:t xml:space="preserve"> </w:t>
      </w:r>
      <w:r w:rsidRPr="0066031F">
        <w:rPr>
          <w:rFonts w:ascii="Century" w:hAnsi="Century" w:cs="Miriam" w:hint="eastAsia"/>
          <w:b/>
          <w:spacing w:val="0"/>
          <w:szCs w:val="24"/>
          <w:rtl/>
        </w:rPr>
        <w:t>על</w:t>
      </w:r>
      <w:r w:rsidRPr="0066031F">
        <w:rPr>
          <w:rFonts w:ascii="Century" w:hAnsi="Century" w:cs="Miriam"/>
          <w:b/>
          <w:spacing w:val="0"/>
          <w:szCs w:val="24"/>
          <w:rtl/>
        </w:rPr>
        <w:t>-</w:t>
      </w:r>
      <w:r w:rsidRPr="0066031F">
        <w:rPr>
          <w:rFonts w:ascii="Century" w:hAnsi="Century" w:cs="Miriam" w:hint="eastAsia"/>
          <w:b/>
          <w:spacing w:val="0"/>
          <w:szCs w:val="24"/>
          <w:rtl/>
        </w:rPr>
        <w:t>פי</w:t>
      </w:r>
      <w:r w:rsidRPr="0066031F">
        <w:rPr>
          <w:rFonts w:ascii="Century" w:hAnsi="Century" w:cs="Miriam"/>
          <w:b/>
          <w:spacing w:val="0"/>
          <w:szCs w:val="24"/>
          <w:rtl/>
        </w:rPr>
        <w:t xml:space="preserve"> </w:t>
      </w:r>
      <w:r w:rsidRPr="0066031F">
        <w:rPr>
          <w:rFonts w:ascii="Century" w:hAnsi="Century" w:cs="Miriam" w:hint="eastAsia"/>
          <w:b/>
          <w:spacing w:val="0"/>
          <w:szCs w:val="24"/>
          <w:rtl/>
        </w:rPr>
        <w:t>ההלכה</w:t>
      </w:r>
      <w:r w:rsidRPr="0066031F">
        <w:rPr>
          <w:rFonts w:ascii="Century" w:hAnsi="Century" w:cs="Miriam"/>
          <w:b/>
          <w:spacing w:val="0"/>
          <w:szCs w:val="24"/>
          <w:rtl/>
        </w:rPr>
        <w:t xml:space="preserve"> </w:t>
      </w:r>
      <w:r w:rsidRPr="0066031F">
        <w:rPr>
          <w:rFonts w:ascii="Century" w:hAnsi="Century" w:cs="Miriam" w:hint="eastAsia"/>
          <w:b/>
          <w:spacing w:val="0"/>
          <w:szCs w:val="24"/>
          <w:rtl/>
        </w:rPr>
        <w:t>זיקתו</w:t>
      </w:r>
      <w:r w:rsidRPr="0066031F">
        <w:rPr>
          <w:rFonts w:ascii="Century" w:hAnsi="Century" w:cs="Miriam"/>
          <w:b/>
          <w:spacing w:val="0"/>
          <w:szCs w:val="24"/>
          <w:rtl/>
        </w:rPr>
        <w:t xml:space="preserve"> </w:t>
      </w:r>
      <w:r w:rsidRPr="0066031F">
        <w:rPr>
          <w:rFonts w:ascii="Century" w:hAnsi="Century" w:cs="Miriam" w:hint="eastAsia"/>
          <w:b/>
          <w:spacing w:val="0"/>
          <w:szCs w:val="24"/>
          <w:rtl/>
        </w:rPr>
        <w:t>ליהדות</w:t>
      </w:r>
      <w:r w:rsidRPr="0066031F">
        <w:rPr>
          <w:rFonts w:ascii="Century" w:hAnsi="Century" w:cs="Miriam"/>
          <w:b/>
          <w:spacing w:val="0"/>
          <w:szCs w:val="24"/>
          <w:rtl/>
        </w:rPr>
        <w:t xml:space="preserve"> </w:t>
      </w:r>
      <w:r w:rsidRPr="0066031F">
        <w:rPr>
          <w:rFonts w:ascii="Century" w:hAnsi="Century" w:cs="Miriam" w:hint="eastAsia"/>
          <w:b/>
          <w:spacing w:val="0"/>
          <w:szCs w:val="24"/>
          <w:rtl/>
        </w:rPr>
        <w:t>נקבעת</w:t>
      </w:r>
      <w:r w:rsidRPr="0066031F">
        <w:rPr>
          <w:rFonts w:ascii="Century" w:hAnsi="Century" w:cs="Miriam"/>
          <w:b/>
          <w:spacing w:val="0"/>
          <w:szCs w:val="24"/>
          <w:rtl/>
        </w:rPr>
        <w:t xml:space="preserve"> </w:t>
      </w:r>
      <w:r w:rsidRPr="0066031F">
        <w:rPr>
          <w:rFonts w:ascii="Century" w:hAnsi="Century" w:cs="Miriam" w:hint="eastAsia"/>
          <w:b/>
          <w:spacing w:val="0"/>
          <w:szCs w:val="24"/>
          <w:rtl/>
        </w:rPr>
        <w:t>מרגע</w:t>
      </w:r>
      <w:r w:rsidRPr="0066031F">
        <w:rPr>
          <w:rFonts w:ascii="Century" w:hAnsi="Century" w:cs="Miriam"/>
          <w:b/>
          <w:spacing w:val="0"/>
          <w:szCs w:val="24"/>
          <w:rtl/>
        </w:rPr>
        <w:t xml:space="preserve"> </w:t>
      </w:r>
      <w:r w:rsidRPr="0066031F">
        <w:rPr>
          <w:rFonts w:ascii="Century" w:hAnsi="Century" w:cs="Miriam" w:hint="eastAsia"/>
          <w:b/>
          <w:spacing w:val="0"/>
          <w:szCs w:val="24"/>
          <w:rtl/>
        </w:rPr>
        <w:t>לידתו</w:t>
      </w:r>
      <w:r w:rsidRPr="0066031F">
        <w:rPr>
          <w:rFonts w:ascii="Century" w:hAnsi="Century" w:cs="Miriam"/>
          <w:b/>
          <w:spacing w:val="0"/>
          <w:szCs w:val="24"/>
          <w:rtl/>
        </w:rPr>
        <w:t xml:space="preserve"> </w:t>
      </w:r>
      <w:r w:rsidRPr="0066031F">
        <w:rPr>
          <w:rFonts w:ascii="Century" w:hAnsi="Century" w:cs="Miriam" w:hint="eastAsia"/>
          <w:b/>
          <w:spacing w:val="0"/>
          <w:szCs w:val="24"/>
          <w:rtl/>
        </w:rPr>
        <w:t>לאדם</w:t>
      </w:r>
      <w:r w:rsidRPr="0066031F">
        <w:rPr>
          <w:rFonts w:ascii="Century" w:hAnsi="Century" w:cs="Miriam"/>
          <w:b/>
          <w:spacing w:val="0"/>
          <w:szCs w:val="24"/>
          <w:rtl/>
        </w:rPr>
        <w:t xml:space="preserve"> </w:t>
      </w:r>
      <w:r w:rsidRPr="0066031F">
        <w:rPr>
          <w:rFonts w:ascii="Century" w:hAnsi="Century" w:cs="Miriam" w:hint="eastAsia"/>
          <w:b/>
          <w:spacing w:val="0"/>
          <w:szCs w:val="24"/>
          <w:rtl/>
        </w:rPr>
        <w:t>יהודי</w:t>
      </w:r>
      <w:r w:rsidRPr="0066031F">
        <w:rPr>
          <w:rFonts w:ascii="Century" w:hAnsi="Century" w:cs="Miriam"/>
          <w:b/>
          <w:spacing w:val="0"/>
          <w:szCs w:val="24"/>
          <w:rtl/>
        </w:rPr>
        <w:t xml:space="preserve"> </w:t>
      </w:r>
      <w:r w:rsidRPr="0066031F">
        <w:rPr>
          <w:rFonts w:ascii="Century" w:hAnsi="Century" w:cs="Miriam" w:hint="eastAsia"/>
          <w:b/>
          <w:spacing w:val="0"/>
          <w:szCs w:val="24"/>
          <w:rtl/>
        </w:rPr>
        <w:t>באמצעות</w:t>
      </w:r>
      <w:r w:rsidRPr="0066031F">
        <w:rPr>
          <w:rFonts w:ascii="Century" w:hAnsi="Century" w:cs="Miriam"/>
          <w:b/>
          <w:spacing w:val="0"/>
          <w:szCs w:val="24"/>
          <w:rtl/>
        </w:rPr>
        <w:t xml:space="preserve"> </w:t>
      </w:r>
      <w:r w:rsidRPr="0066031F">
        <w:rPr>
          <w:rFonts w:ascii="Century" w:hAnsi="Century" w:cs="Miriam" w:hint="eastAsia"/>
          <w:b/>
          <w:spacing w:val="0"/>
          <w:szCs w:val="24"/>
          <w:rtl/>
        </w:rPr>
        <w:t>קשר</w:t>
      </w:r>
      <w:r w:rsidRPr="0066031F">
        <w:rPr>
          <w:rFonts w:ascii="Century" w:hAnsi="Century" w:cs="Miriam"/>
          <w:b/>
          <w:spacing w:val="0"/>
          <w:szCs w:val="24"/>
          <w:rtl/>
        </w:rPr>
        <w:t xml:space="preserve"> </w:t>
      </w:r>
      <w:r w:rsidRPr="0066031F">
        <w:rPr>
          <w:rFonts w:ascii="Century" w:hAnsi="Century" w:cs="Miriam" w:hint="eastAsia"/>
          <w:b/>
          <w:spacing w:val="0"/>
          <w:szCs w:val="24"/>
          <w:rtl/>
        </w:rPr>
        <w:t>הדם</w:t>
      </w:r>
      <w:r w:rsidRPr="0066031F">
        <w:rPr>
          <w:rFonts w:ascii="Century" w:hAnsi="Century" w:cs="Miriam" w:hint="cs"/>
          <w:b/>
          <w:spacing w:val="0"/>
          <w:szCs w:val="24"/>
          <w:rtl/>
        </w:rPr>
        <w:t>"</w:t>
      </w:r>
      <w:r>
        <w:rPr>
          <w:rFonts w:hint="cs"/>
          <w:rtl/>
        </w:rPr>
        <w:t xml:space="preserve">; זאת, בניגוד לבן הזוג של היהודי, אשר </w:t>
      </w:r>
      <w:r>
        <w:rPr>
          <w:rFonts w:ascii="Century" w:hAnsi="Century" w:cs="Miriam" w:hint="cs"/>
          <w:b/>
          <w:spacing w:val="0"/>
          <w:szCs w:val="24"/>
          <w:rtl/>
        </w:rPr>
        <w:t>"</w:t>
      </w:r>
      <w:r w:rsidRPr="00C20BED">
        <w:rPr>
          <w:rFonts w:ascii="Century" w:hAnsi="Century" w:cs="Miriam" w:hint="eastAsia"/>
          <w:b/>
          <w:spacing w:val="0"/>
          <w:szCs w:val="24"/>
          <w:rtl/>
        </w:rPr>
        <w:t>גם</w:t>
      </w:r>
      <w:r w:rsidRPr="00C20BED">
        <w:rPr>
          <w:rFonts w:ascii="Century" w:hAnsi="Century" w:cs="Miriam"/>
          <w:b/>
          <w:spacing w:val="0"/>
          <w:szCs w:val="24"/>
          <w:rtl/>
        </w:rPr>
        <w:t xml:space="preserve"> </w:t>
      </w:r>
      <w:r w:rsidRPr="00C20BED">
        <w:rPr>
          <w:rFonts w:ascii="Century" w:hAnsi="Century" w:cs="Miriam" w:hint="eastAsia"/>
          <w:b/>
          <w:spacing w:val="0"/>
          <w:szCs w:val="24"/>
          <w:rtl/>
        </w:rPr>
        <w:t>על</w:t>
      </w:r>
      <w:r w:rsidRPr="00C20BED">
        <w:rPr>
          <w:rFonts w:ascii="Century" w:hAnsi="Century" w:cs="Miriam"/>
          <w:b/>
          <w:spacing w:val="0"/>
          <w:szCs w:val="24"/>
          <w:rtl/>
        </w:rPr>
        <w:t>-</w:t>
      </w:r>
      <w:r w:rsidRPr="00C20BED">
        <w:rPr>
          <w:rFonts w:ascii="Century" w:hAnsi="Century" w:cs="Miriam" w:hint="eastAsia"/>
          <w:b/>
          <w:spacing w:val="0"/>
          <w:szCs w:val="24"/>
          <w:rtl/>
        </w:rPr>
        <w:t>פי</w:t>
      </w:r>
      <w:r w:rsidRPr="00C20BED">
        <w:rPr>
          <w:rFonts w:ascii="Century" w:hAnsi="Century" w:cs="Miriam"/>
          <w:b/>
          <w:spacing w:val="0"/>
          <w:szCs w:val="24"/>
          <w:rtl/>
        </w:rPr>
        <w:t xml:space="preserve"> </w:t>
      </w:r>
      <w:r w:rsidRPr="00C20BED">
        <w:rPr>
          <w:rFonts w:ascii="Century" w:hAnsi="Century" w:cs="Miriam" w:hint="eastAsia"/>
          <w:b/>
          <w:spacing w:val="0"/>
          <w:szCs w:val="24"/>
          <w:rtl/>
        </w:rPr>
        <w:t>תפישה</w:t>
      </w:r>
      <w:r w:rsidRPr="00C20BED">
        <w:rPr>
          <w:rFonts w:ascii="Century" w:hAnsi="Century" w:cs="Miriam"/>
          <w:b/>
          <w:spacing w:val="0"/>
          <w:szCs w:val="24"/>
          <w:rtl/>
        </w:rPr>
        <w:t xml:space="preserve"> </w:t>
      </w:r>
      <w:r w:rsidRPr="00C20BED">
        <w:rPr>
          <w:rFonts w:ascii="Century" w:hAnsi="Century" w:cs="Miriam" w:hint="eastAsia"/>
          <w:b/>
          <w:spacing w:val="0"/>
          <w:szCs w:val="24"/>
          <w:rtl/>
        </w:rPr>
        <w:t>חילונית</w:t>
      </w:r>
      <w:r w:rsidRPr="00C20BED">
        <w:rPr>
          <w:rFonts w:ascii="Century" w:hAnsi="Century" w:cs="Miriam"/>
          <w:b/>
          <w:spacing w:val="0"/>
          <w:szCs w:val="24"/>
          <w:rtl/>
        </w:rPr>
        <w:t>-</w:t>
      </w:r>
      <w:r w:rsidRPr="00C20BED">
        <w:rPr>
          <w:rFonts w:ascii="Century" w:hAnsi="Century" w:cs="Miriam" w:hint="eastAsia"/>
          <w:b/>
          <w:spacing w:val="0"/>
          <w:szCs w:val="24"/>
          <w:rtl/>
        </w:rPr>
        <w:t>לאומית</w:t>
      </w:r>
      <w:r w:rsidRPr="00C20BED">
        <w:rPr>
          <w:rFonts w:ascii="Century" w:hAnsi="Century" w:cs="Miriam"/>
          <w:b/>
          <w:spacing w:val="0"/>
          <w:szCs w:val="24"/>
          <w:rtl/>
        </w:rPr>
        <w:t xml:space="preserve"> </w:t>
      </w:r>
      <w:r w:rsidRPr="00C20BED">
        <w:rPr>
          <w:rFonts w:ascii="Century" w:hAnsi="Century" w:cs="Miriam" w:hint="eastAsia"/>
          <w:b/>
          <w:spacing w:val="0"/>
          <w:szCs w:val="24"/>
          <w:rtl/>
        </w:rPr>
        <w:t>הרואה</w:t>
      </w:r>
      <w:r w:rsidRPr="00C20BED">
        <w:rPr>
          <w:rFonts w:ascii="Century" w:hAnsi="Century" w:cs="Miriam"/>
          <w:b/>
          <w:spacing w:val="0"/>
          <w:szCs w:val="24"/>
          <w:rtl/>
        </w:rPr>
        <w:t xml:space="preserve"> </w:t>
      </w:r>
      <w:r w:rsidRPr="00C20BED">
        <w:rPr>
          <w:rFonts w:ascii="Century" w:hAnsi="Century" w:cs="Miriam" w:hint="eastAsia"/>
          <w:b/>
          <w:spacing w:val="0"/>
          <w:szCs w:val="24"/>
          <w:rtl/>
        </w:rPr>
        <w:t>את</w:t>
      </w:r>
      <w:r w:rsidRPr="00C20BED">
        <w:rPr>
          <w:rFonts w:ascii="Century" w:hAnsi="Century" w:cs="Miriam"/>
          <w:b/>
          <w:spacing w:val="0"/>
          <w:szCs w:val="24"/>
          <w:rtl/>
        </w:rPr>
        <w:t xml:space="preserve"> </w:t>
      </w:r>
      <w:r w:rsidRPr="00C20BED">
        <w:rPr>
          <w:rFonts w:ascii="Century" w:hAnsi="Century" w:cs="Miriam" w:hint="eastAsia"/>
          <w:b/>
          <w:spacing w:val="0"/>
          <w:szCs w:val="24"/>
          <w:rtl/>
        </w:rPr>
        <w:t>הגדרת</w:t>
      </w:r>
      <w:r w:rsidRPr="00C20BED">
        <w:rPr>
          <w:rFonts w:ascii="Century" w:hAnsi="Century" w:cs="Miriam"/>
          <w:b/>
          <w:spacing w:val="0"/>
          <w:szCs w:val="24"/>
          <w:rtl/>
        </w:rPr>
        <w:t xml:space="preserve"> </w:t>
      </w:r>
      <w:r w:rsidRPr="00C20BED">
        <w:rPr>
          <w:rFonts w:ascii="Century" w:hAnsi="Century" w:cs="Miriam" w:hint="eastAsia"/>
          <w:b/>
          <w:spacing w:val="0"/>
          <w:szCs w:val="24"/>
          <w:rtl/>
        </w:rPr>
        <w:t>היהודי</w:t>
      </w:r>
      <w:r w:rsidRPr="00C20BED">
        <w:rPr>
          <w:rFonts w:ascii="Century" w:hAnsi="Century" w:cs="Miriam"/>
          <w:b/>
          <w:spacing w:val="0"/>
          <w:szCs w:val="24"/>
          <w:rtl/>
        </w:rPr>
        <w:t xml:space="preserve"> </w:t>
      </w:r>
      <w:r w:rsidRPr="00C20BED">
        <w:rPr>
          <w:rFonts w:ascii="Century" w:hAnsi="Century" w:cs="Miriam" w:hint="eastAsia"/>
          <w:b/>
          <w:spacing w:val="0"/>
          <w:szCs w:val="24"/>
          <w:rtl/>
        </w:rPr>
        <w:t>באופן</w:t>
      </w:r>
      <w:r w:rsidRPr="00C20BED">
        <w:rPr>
          <w:rFonts w:ascii="Century" w:hAnsi="Century" w:cs="Miriam"/>
          <w:b/>
          <w:spacing w:val="0"/>
          <w:szCs w:val="24"/>
          <w:rtl/>
        </w:rPr>
        <w:t xml:space="preserve"> </w:t>
      </w:r>
      <w:r w:rsidRPr="00C20BED">
        <w:rPr>
          <w:rFonts w:ascii="Century" w:hAnsi="Century" w:cs="Miriam" w:hint="eastAsia"/>
          <w:b/>
          <w:spacing w:val="0"/>
          <w:szCs w:val="24"/>
          <w:rtl/>
        </w:rPr>
        <w:t>רחב</w:t>
      </w:r>
      <w:r w:rsidRPr="00C20BED">
        <w:rPr>
          <w:rFonts w:ascii="Century" w:hAnsi="Century" w:cs="Miriam"/>
          <w:b/>
          <w:spacing w:val="0"/>
          <w:szCs w:val="24"/>
          <w:rtl/>
        </w:rPr>
        <w:t xml:space="preserve"> </w:t>
      </w:r>
      <w:r w:rsidRPr="00C20BED">
        <w:rPr>
          <w:rFonts w:ascii="Century" w:hAnsi="Century" w:cs="Miriam" w:hint="eastAsia"/>
          <w:b/>
          <w:spacing w:val="0"/>
          <w:szCs w:val="24"/>
          <w:rtl/>
        </w:rPr>
        <w:t>יותר</w:t>
      </w:r>
      <w:r w:rsidRPr="00C20BED">
        <w:rPr>
          <w:rFonts w:ascii="Century" w:hAnsi="Century" w:cs="Miriam"/>
          <w:b/>
          <w:spacing w:val="0"/>
          <w:szCs w:val="24"/>
          <w:rtl/>
        </w:rPr>
        <w:t xml:space="preserve"> </w:t>
      </w:r>
      <w:r w:rsidRPr="00C20BED">
        <w:rPr>
          <w:rFonts w:ascii="Century" w:hAnsi="Century" w:cs="Miriam" w:hint="eastAsia"/>
          <w:b/>
          <w:spacing w:val="0"/>
          <w:szCs w:val="24"/>
          <w:rtl/>
        </w:rPr>
        <w:t>מהתפיסה</w:t>
      </w:r>
      <w:r w:rsidRPr="00C20BED">
        <w:rPr>
          <w:rFonts w:ascii="Century" w:hAnsi="Century" w:cs="Miriam"/>
          <w:b/>
          <w:spacing w:val="0"/>
          <w:szCs w:val="24"/>
          <w:rtl/>
        </w:rPr>
        <w:t xml:space="preserve"> </w:t>
      </w:r>
      <w:r w:rsidRPr="00C20BED">
        <w:rPr>
          <w:rFonts w:ascii="Century" w:hAnsi="Century" w:cs="Miriam" w:hint="eastAsia"/>
          <w:b/>
          <w:spacing w:val="0"/>
          <w:szCs w:val="24"/>
          <w:rtl/>
        </w:rPr>
        <w:t>המסורתית</w:t>
      </w:r>
      <w:r w:rsidRPr="00C20BED">
        <w:rPr>
          <w:rFonts w:ascii="Century" w:hAnsi="Century" w:cs="Miriam"/>
          <w:b/>
          <w:spacing w:val="0"/>
          <w:szCs w:val="24"/>
          <w:rtl/>
        </w:rPr>
        <w:t>-</w:t>
      </w:r>
      <w:r w:rsidRPr="00C20BED">
        <w:rPr>
          <w:rFonts w:ascii="Century" w:hAnsi="Century" w:cs="Miriam" w:hint="eastAsia"/>
          <w:b/>
          <w:spacing w:val="0"/>
          <w:szCs w:val="24"/>
          <w:rtl/>
        </w:rPr>
        <w:t>דתית</w:t>
      </w:r>
      <w:r w:rsidRPr="00C20BED">
        <w:rPr>
          <w:rFonts w:ascii="Century" w:hAnsi="Century" w:cs="Miriam"/>
          <w:b/>
          <w:spacing w:val="0"/>
          <w:szCs w:val="24"/>
          <w:rtl/>
        </w:rPr>
        <w:t xml:space="preserve">, </w:t>
      </w:r>
      <w:r>
        <w:rPr>
          <w:rFonts w:ascii="Century" w:hAnsi="Century" w:cs="Miriam" w:hint="cs"/>
          <w:b/>
          <w:spacing w:val="0"/>
          <w:szCs w:val="24"/>
          <w:rtl/>
        </w:rPr>
        <w:t>[...]</w:t>
      </w:r>
      <w:r w:rsidRPr="00C20BED">
        <w:rPr>
          <w:rFonts w:ascii="Century" w:hAnsi="Century" w:cs="Miriam"/>
          <w:b/>
          <w:spacing w:val="0"/>
          <w:szCs w:val="24"/>
          <w:rtl/>
        </w:rPr>
        <w:t xml:space="preserve"> </w:t>
      </w:r>
      <w:r w:rsidRPr="00C20BED">
        <w:rPr>
          <w:rFonts w:ascii="Century" w:hAnsi="Century" w:cs="Miriam" w:hint="eastAsia"/>
          <w:b/>
          <w:spacing w:val="0"/>
          <w:szCs w:val="24"/>
          <w:rtl/>
        </w:rPr>
        <w:t>אינו</w:t>
      </w:r>
      <w:r w:rsidRPr="00C20BED">
        <w:rPr>
          <w:rFonts w:ascii="Century" w:hAnsi="Century" w:cs="Miriam"/>
          <w:b/>
          <w:spacing w:val="0"/>
          <w:szCs w:val="24"/>
          <w:rtl/>
        </w:rPr>
        <w:t xml:space="preserve"> </w:t>
      </w:r>
      <w:r w:rsidRPr="00C20BED">
        <w:rPr>
          <w:rFonts w:ascii="Century" w:hAnsi="Century" w:cs="Miriam" w:hint="eastAsia"/>
          <w:b/>
          <w:spacing w:val="0"/>
          <w:szCs w:val="24"/>
          <w:rtl/>
        </w:rPr>
        <w:t>עומד</w:t>
      </w:r>
      <w:r w:rsidRPr="00C20BED">
        <w:rPr>
          <w:rFonts w:ascii="Century" w:hAnsi="Century" w:cs="Miriam"/>
          <w:b/>
          <w:spacing w:val="0"/>
          <w:szCs w:val="24"/>
          <w:rtl/>
        </w:rPr>
        <w:t xml:space="preserve"> </w:t>
      </w:r>
      <w:r w:rsidRPr="00C20BED">
        <w:rPr>
          <w:rFonts w:ascii="Century" w:hAnsi="Century" w:cs="Miriam" w:hint="eastAsia"/>
          <w:b/>
          <w:spacing w:val="0"/>
          <w:szCs w:val="24"/>
          <w:rtl/>
        </w:rPr>
        <w:t>במרכזו</w:t>
      </w:r>
      <w:r w:rsidRPr="00C20BED">
        <w:rPr>
          <w:rFonts w:ascii="Century" w:hAnsi="Century" w:cs="Miriam"/>
          <w:b/>
          <w:spacing w:val="0"/>
          <w:szCs w:val="24"/>
          <w:rtl/>
        </w:rPr>
        <w:t xml:space="preserve"> </w:t>
      </w:r>
      <w:r w:rsidRPr="00C20BED">
        <w:rPr>
          <w:rFonts w:ascii="Century" w:hAnsi="Century" w:cs="Miriam" w:hint="eastAsia"/>
          <w:b/>
          <w:spacing w:val="0"/>
          <w:szCs w:val="24"/>
          <w:rtl/>
        </w:rPr>
        <w:t>של</w:t>
      </w:r>
      <w:r w:rsidRPr="00C20BED">
        <w:rPr>
          <w:rFonts w:ascii="Century" w:hAnsi="Century" w:cs="Miriam"/>
          <w:b/>
          <w:spacing w:val="0"/>
          <w:szCs w:val="24"/>
          <w:rtl/>
        </w:rPr>
        <w:t xml:space="preserve"> </w:t>
      </w:r>
      <w:r w:rsidRPr="00C20BED">
        <w:rPr>
          <w:rFonts w:ascii="Century" w:hAnsi="Century" w:cs="Miriam" w:hint="eastAsia"/>
          <w:b/>
          <w:spacing w:val="0"/>
          <w:szCs w:val="24"/>
          <w:rtl/>
        </w:rPr>
        <w:t>חוק</w:t>
      </w:r>
      <w:r w:rsidRPr="00C20BED">
        <w:rPr>
          <w:rFonts w:ascii="Century" w:hAnsi="Century" w:cs="Miriam"/>
          <w:b/>
          <w:spacing w:val="0"/>
          <w:szCs w:val="24"/>
          <w:rtl/>
        </w:rPr>
        <w:t xml:space="preserve"> </w:t>
      </w:r>
      <w:r w:rsidRPr="00C20BED">
        <w:rPr>
          <w:rFonts w:ascii="Century" w:hAnsi="Century" w:cs="Miriam" w:hint="eastAsia"/>
          <w:b/>
          <w:spacing w:val="0"/>
          <w:szCs w:val="24"/>
          <w:rtl/>
        </w:rPr>
        <w:t>השבות</w:t>
      </w:r>
      <w:r w:rsidRPr="00C20BED">
        <w:rPr>
          <w:rFonts w:ascii="Century" w:hAnsi="Century" w:cs="Miriam"/>
          <w:b/>
          <w:spacing w:val="0"/>
          <w:szCs w:val="24"/>
          <w:rtl/>
        </w:rPr>
        <w:t xml:space="preserve"> </w:t>
      </w:r>
      <w:r w:rsidRPr="00C20BED">
        <w:rPr>
          <w:rFonts w:ascii="Century" w:hAnsi="Century" w:cs="Miriam" w:hint="eastAsia"/>
          <w:b/>
          <w:spacing w:val="0"/>
          <w:szCs w:val="24"/>
          <w:rtl/>
        </w:rPr>
        <w:t>ותכליתו</w:t>
      </w:r>
      <w:r w:rsidRPr="00C20BED">
        <w:rPr>
          <w:rFonts w:ascii="Century" w:hAnsi="Century" w:cs="Miriam"/>
          <w:b/>
          <w:spacing w:val="0"/>
          <w:szCs w:val="24"/>
          <w:rtl/>
        </w:rPr>
        <w:t xml:space="preserve"> </w:t>
      </w:r>
      <w:r w:rsidRPr="00C20BED">
        <w:rPr>
          <w:rFonts w:ascii="Century" w:hAnsi="Century" w:cs="Miriam" w:hint="eastAsia"/>
          <w:b/>
          <w:spacing w:val="0"/>
          <w:szCs w:val="24"/>
          <w:rtl/>
        </w:rPr>
        <w:t>אינה</w:t>
      </w:r>
      <w:r w:rsidRPr="00C20BED">
        <w:rPr>
          <w:rFonts w:ascii="Century" w:hAnsi="Century" w:cs="Miriam"/>
          <w:b/>
          <w:spacing w:val="0"/>
          <w:szCs w:val="24"/>
          <w:rtl/>
        </w:rPr>
        <w:t xml:space="preserve"> </w:t>
      </w:r>
      <w:r w:rsidRPr="00C20BED">
        <w:rPr>
          <w:rFonts w:ascii="Century" w:hAnsi="Century" w:cs="Miriam" w:hint="eastAsia"/>
          <w:b/>
          <w:spacing w:val="0"/>
          <w:szCs w:val="24"/>
          <w:rtl/>
        </w:rPr>
        <w:t>מכוונת</w:t>
      </w:r>
      <w:r w:rsidRPr="00C20BED">
        <w:rPr>
          <w:rFonts w:ascii="Century" w:hAnsi="Century" w:cs="Miriam"/>
          <w:b/>
          <w:spacing w:val="0"/>
          <w:szCs w:val="24"/>
          <w:rtl/>
        </w:rPr>
        <w:t xml:space="preserve"> </w:t>
      </w:r>
      <w:r w:rsidRPr="00C20BED">
        <w:rPr>
          <w:rFonts w:ascii="Century" w:hAnsi="Century" w:cs="Miriam" w:hint="eastAsia"/>
          <w:b/>
          <w:spacing w:val="0"/>
          <w:szCs w:val="24"/>
          <w:rtl/>
        </w:rPr>
        <w:t>אליו</w:t>
      </w:r>
      <w:r>
        <w:rPr>
          <w:rFonts w:ascii="Century" w:hAnsi="Century" w:cs="Miriam" w:hint="cs"/>
          <w:b/>
          <w:spacing w:val="0"/>
          <w:szCs w:val="24"/>
          <w:rtl/>
        </w:rPr>
        <w:t>"</w:t>
      </w:r>
      <w:r w:rsidRPr="0066031F">
        <w:rPr>
          <w:rFonts w:ascii="Century" w:hAnsi="Century" w:cs="Miriam"/>
          <w:b/>
          <w:spacing w:val="0"/>
          <w:szCs w:val="24"/>
          <w:rtl/>
        </w:rPr>
        <w:t xml:space="preserve"> </w:t>
      </w:r>
      <w:r>
        <w:rPr>
          <w:rFonts w:ascii="Century" w:hAnsi="Century" w:hint="cs"/>
          <w:sz w:val="22"/>
          <w:rtl/>
        </w:rPr>
        <w:t xml:space="preserve">(עניין </w:t>
      </w:r>
      <w:r w:rsidRPr="0066031F">
        <w:rPr>
          <w:rFonts w:ascii="Century" w:hAnsi="Century" w:cs="Miriam" w:hint="cs"/>
          <w:b/>
          <w:spacing w:val="0"/>
          <w:sz w:val="22"/>
          <w:szCs w:val="24"/>
          <w:rtl/>
        </w:rPr>
        <w:t>גורודצקי</w:t>
      </w:r>
      <w:r>
        <w:rPr>
          <w:rFonts w:ascii="Century" w:hAnsi="Century" w:hint="cs"/>
          <w:sz w:val="22"/>
          <w:rtl/>
        </w:rPr>
        <w:t>, פסק</w:t>
      </w:r>
      <w:r w:rsidRPr="00292822">
        <w:rPr>
          <w:rFonts w:ascii="Century" w:hAnsi="Century" w:hint="cs"/>
          <w:sz w:val="22"/>
          <w:rtl/>
        </w:rPr>
        <w:t>ה 36;</w:t>
      </w:r>
      <w:r>
        <w:rPr>
          <w:rFonts w:ascii="Century" w:hAnsi="Century" w:hint="cs"/>
          <w:sz w:val="22"/>
          <w:rtl/>
        </w:rPr>
        <w:t xml:space="preserve"> ראו ביתר הרחבה, </w:t>
      </w:r>
      <w:r w:rsidRPr="00984DF6">
        <w:rPr>
          <w:rFonts w:ascii="Century" w:hAnsi="Century" w:hint="cs"/>
          <w:sz w:val="22"/>
          <w:rtl/>
        </w:rPr>
        <w:t>דברַי שלעיל, בפרט בפסקה</w:t>
      </w:r>
      <w:r>
        <w:rPr>
          <w:rFonts w:ascii="Century" w:hAnsi="Century" w:hint="cs"/>
          <w:sz w:val="22"/>
          <w:rtl/>
        </w:rPr>
        <w:t xml:space="preserve"> </w:t>
      </w:r>
      <w:r>
        <w:rPr>
          <w:rFonts w:ascii="Century" w:hAnsi="Century"/>
          <w:sz w:val="22"/>
          <w:rtl/>
        </w:rPr>
        <w:fldChar w:fldCharType="begin"/>
      </w:r>
      <w:r>
        <w:rPr>
          <w:rFonts w:ascii="Century" w:hAnsi="Century"/>
          <w:sz w:val="22"/>
          <w:rtl/>
        </w:rPr>
        <w:instrText xml:space="preserve"> </w:instrText>
      </w:r>
      <w:r>
        <w:rPr>
          <w:rFonts w:ascii="Century" w:hAnsi="Century" w:hint="cs"/>
          <w:sz w:val="22"/>
        </w:rPr>
        <w:instrText>REF</w:instrText>
      </w:r>
      <w:r>
        <w:rPr>
          <w:rFonts w:ascii="Century" w:hAnsi="Century" w:hint="cs"/>
          <w:sz w:val="22"/>
          <w:rtl/>
        </w:rPr>
        <w:instrText xml:space="preserve"> _</w:instrText>
      </w:r>
      <w:r>
        <w:rPr>
          <w:rFonts w:ascii="Century" w:hAnsi="Century" w:hint="cs"/>
          <w:sz w:val="22"/>
        </w:rPr>
        <w:instrText>Ref140415049 \r \h</w:instrText>
      </w:r>
      <w:r>
        <w:rPr>
          <w:rFonts w:ascii="Century" w:hAnsi="Century"/>
          <w:sz w:val="22"/>
          <w:rtl/>
        </w:rPr>
        <w:instrText xml:space="preserve">  \* </w:instrText>
      </w:r>
      <w:r>
        <w:rPr>
          <w:rFonts w:ascii="Century" w:hAnsi="Century"/>
          <w:sz w:val="22"/>
        </w:rPr>
        <w:instrText>MERGEFORMAT</w:instrText>
      </w:r>
      <w:r>
        <w:rPr>
          <w:rFonts w:ascii="Century" w:hAnsi="Century"/>
          <w:sz w:val="22"/>
          <w:rtl/>
        </w:rPr>
        <w:instrText xml:space="preserve"> </w:instrText>
      </w:r>
      <w:r>
        <w:rPr>
          <w:rFonts w:ascii="Century" w:hAnsi="Century"/>
          <w:sz w:val="22"/>
          <w:rtl/>
        </w:rPr>
      </w:r>
      <w:r>
        <w:rPr>
          <w:rFonts w:ascii="Century" w:hAnsi="Century"/>
          <w:sz w:val="22"/>
          <w:rtl/>
        </w:rPr>
        <w:fldChar w:fldCharType="separate"/>
      </w:r>
      <w:r w:rsidR="00AE7B46">
        <w:rPr>
          <w:rFonts w:ascii="Century" w:hAnsi="Century" w:hint="eastAsia"/>
          <w:sz w:val="22"/>
          <w:cs/>
        </w:rPr>
        <w:t>‎</w:t>
      </w:r>
      <w:r w:rsidR="00AE7B46" w:rsidRPr="00AE7B46">
        <w:rPr>
          <w:rFonts w:ascii="FrankRuehl" w:hAnsi="FrankRuehl"/>
          <w:sz w:val="28"/>
        </w:rPr>
        <w:t>25</w:t>
      </w:r>
      <w:r>
        <w:rPr>
          <w:rFonts w:ascii="Century" w:hAnsi="Century"/>
          <w:sz w:val="22"/>
          <w:rtl/>
        </w:rPr>
        <w:fldChar w:fldCharType="end"/>
      </w:r>
      <w:r>
        <w:rPr>
          <w:rFonts w:ascii="Century" w:hAnsi="Century" w:hint="cs"/>
          <w:sz w:val="22"/>
          <w:rtl/>
        </w:rPr>
        <w:t>)</w:t>
      </w:r>
      <w:r w:rsidRPr="0066031F">
        <w:rPr>
          <w:rFonts w:ascii="Century" w:hAnsi="Century"/>
          <w:sz w:val="22"/>
          <w:rtl/>
        </w:rPr>
        <w:t>.</w:t>
      </w:r>
      <w:r>
        <w:rPr>
          <w:rFonts w:hint="cs"/>
          <w:rtl/>
        </w:rPr>
        <w:t xml:space="preserve"> לפיכך, אף תכלית זו מתקיימת באלמנתו של זכאי השבות במידה פחוּתה, אם בכלל.</w:t>
      </w:r>
    </w:p>
    <w:p w:rsidR="00872589" w:rsidRDefault="00872589" w:rsidP="00872589">
      <w:pPr>
        <w:pStyle w:val="Ruller41"/>
        <w:rPr>
          <w:rtl/>
        </w:rPr>
      </w:pPr>
    </w:p>
    <w:p w:rsidR="00872589" w:rsidRDefault="00872589" w:rsidP="00872589">
      <w:pPr>
        <w:pStyle w:val="Ruller4"/>
        <w:textAlignment w:val="baseline"/>
      </w:pPr>
      <w:r>
        <w:rPr>
          <w:rFonts w:hint="cs"/>
          <w:rtl/>
        </w:rPr>
        <w:t xml:space="preserve">נותרים אנו אפוא, בעיקר עם תכלית 'קשירת הגורל'. כלומר, התכלית שלפיה סעיף 4א נועד לעודד את </w:t>
      </w:r>
      <w:r w:rsidRPr="009C00E8">
        <w:rPr>
          <w:rFonts w:ascii="Century" w:hAnsi="Century" w:cs="Miriam" w:hint="cs"/>
          <w:b/>
          <w:spacing w:val="0"/>
          <w:sz w:val="22"/>
          <w:szCs w:val="24"/>
          <w:rtl/>
        </w:rPr>
        <w:t>"</w:t>
      </w:r>
      <w:r w:rsidRPr="009C00E8">
        <w:rPr>
          <w:rFonts w:ascii="Century" w:hAnsi="Century" w:cs="Miriam"/>
          <w:b/>
          <w:spacing w:val="0"/>
          <w:szCs w:val="24"/>
          <w:rtl/>
        </w:rPr>
        <w:t>מי שאינו יהודי על-פי ההלכה אך יש לו זיקה משפחתית ליהודים לעלות לישראל ולהצטרף לעם היושב בציון כאמצעי למניעת התבוללות</w:t>
      </w:r>
      <w:r w:rsidRPr="009C00E8">
        <w:rPr>
          <w:rFonts w:ascii="Century" w:hAnsi="Century" w:cs="Miriam" w:hint="cs"/>
          <w:b/>
          <w:spacing w:val="0"/>
          <w:szCs w:val="24"/>
          <w:rtl/>
        </w:rPr>
        <w:t xml:space="preserve">" </w:t>
      </w:r>
      <w:r w:rsidRPr="009C00E8">
        <w:rPr>
          <w:rFonts w:ascii="Century" w:hAnsi="Century" w:hint="cs"/>
          <w:sz w:val="22"/>
          <w:rtl/>
        </w:rPr>
        <w:t xml:space="preserve">(עניין </w:t>
      </w:r>
      <w:r w:rsidRPr="009C00E8">
        <w:rPr>
          <w:rFonts w:ascii="Century" w:hAnsi="Century" w:cs="Miriam" w:hint="cs"/>
          <w:b/>
          <w:spacing w:val="0"/>
          <w:sz w:val="22"/>
          <w:szCs w:val="24"/>
          <w:rtl/>
        </w:rPr>
        <w:t>גורודצקי</w:t>
      </w:r>
      <w:r w:rsidRPr="009C00E8">
        <w:rPr>
          <w:rFonts w:ascii="Century" w:hAnsi="Century" w:hint="cs"/>
          <w:sz w:val="22"/>
          <w:rtl/>
        </w:rPr>
        <w:t xml:space="preserve">, פסקה 33). </w:t>
      </w:r>
      <w:r>
        <w:rPr>
          <w:rFonts w:hint="cs"/>
          <w:rtl/>
        </w:rPr>
        <w:t>כאמור, תכלית זו, מבטאת ערך אינטרינזי המיוחס לעלייתם של בעלי ה'זיקה [ה]משפחתית ליהודים', ונראה שהיא</w:t>
      </w:r>
      <w:r w:rsidRPr="009C00E8">
        <w:rPr>
          <w:rFonts w:ascii="Century" w:hAnsi="Century" w:hint="cs"/>
          <w:sz w:val="22"/>
          <w:rtl/>
        </w:rPr>
        <w:t xml:space="preserve"> אכן מתקיימת, </w:t>
      </w:r>
      <w:r>
        <w:rPr>
          <w:rFonts w:ascii="Century" w:hAnsi="Century" w:hint="cs"/>
          <w:sz w:val="22"/>
          <w:rtl/>
        </w:rPr>
        <w:t xml:space="preserve">ולוּ </w:t>
      </w:r>
      <w:r w:rsidRPr="009C00E8">
        <w:rPr>
          <w:rFonts w:ascii="Century" w:hAnsi="Century" w:hint="cs"/>
          <w:sz w:val="22"/>
          <w:rtl/>
        </w:rPr>
        <w:t>במידה מסוימת, במי שבחר להינשא ל</w:t>
      </w:r>
      <w:r>
        <w:rPr>
          <w:rFonts w:ascii="Century" w:hAnsi="Century" w:hint="cs"/>
          <w:sz w:val="22"/>
          <w:rtl/>
        </w:rPr>
        <w:t>זכאי שבות, ובכך קשר את גורלו בגורל העם היהודי. אכן,</w:t>
      </w:r>
      <w:r w:rsidRPr="009C00E8">
        <w:rPr>
          <w:rFonts w:ascii="Century" w:hAnsi="Century" w:hint="cs"/>
          <w:sz w:val="22"/>
          <w:rtl/>
        </w:rPr>
        <w:t xml:space="preserve"> </w:t>
      </w:r>
      <w:r>
        <w:rPr>
          <w:rFonts w:ascii="Century" w:hAnsi="Century" w:hint="cs"/>
          <w:sz w:val="22"/>
          <w:rtl/>
        </w:rPr>
        <w:t xml:space="preserve">מתן </w:t>
      </w:r>
      <w:r w:rsidRPr="009C00E8">
        <w:rPr>
          <w:rFonts w:ascii="Century" w:hAnsi="Century" w:hint="cs"/>
          <w:sz w:val="22"/>
          <w:rtl/>
        </w:rPr>
        <w:t>זכאות ל</w:t>
      </w:r>
      <w:r>
        <w:rPr>
          <w:rFonts w:ascii="Century" w:hAnsi="Century" w:hint="cs"/>
          <w:sz w:val="22"/>
          <w:rtl/>
        </w:rPr>
        <w:t>בן הזוג האלמן</w:t>
      </w:r>
      <w:r w:rsidRPr="009C00E8">
        <w:rPr>
          <w:rFonts w:ascii="Century" w:hAnsi="Century" w:hint="cs"/>
          <w:sz w:val="22"/>
          <w:rtl/>
        </w:rPr>
        <w:t xml:space="preserve"> תאפשר לו לעלות ארצה ולהצטרף לעם היושב בציון. עם זאת, בהתחשב </w:t>
      </w:r>
      <w:r>
        <w:rPr>
          <w:rFonts w:ascii="Century" w:hAnsi="Century" w:hint="cs"/>
          <w:sz w:val="22"/>
          <w:rtl/>
        </w:rPr>
        <w:t>בהבחנה היסודית</w:t>
      </w:r>
      <w:r w:rsidRPr="009C00E8">
        <w:rPr>
          <w:rFonts w:ascii="Century" w:hAnsi="Century" w:hint="cs"/>
          <w:sz w:val="22"/>
          <w:rtl/>
        </w:rPr>
        <w:t xml:space="preserve"> ש</w:t>
      </w:r>
      <w:r>
        <w:rPr>
          <w:rFonts w:ascii="Century" w:hAnsi="Century" w:hint="cs"/>
          <w:sz w:val="22"/>
          <w:rtl/>
        </w:rPr>
        <w:t xml:space="preserve">צוינה לעיל, </w:t>
      </w:r>
      <w:r w:rsidRPr="009C00E8">
        <w:rPr>
          <w:rFonts w:ascii="Century" w:hAnsi="Century" w:hint="cs"/>
          <w:sz w:val="22"/>
          <w:rtl/>
        </w:rPr>
        <w:t xml:space="preserve">בין </w:t>
      </w:r>
      <w:r>
        <w:rPr>
          <w:rFonts w:ascii="Century" w:hAnsi="Century" w:hint="cs"/>
          <w:sz w:val="22"/>
          <w:rtl/>
        </w:rPr>
        <w:t>החיבור</w:t>
      </w:r>
      <w:r w:rsidRPr="009C00E8">
        <w:rPr>
          <w:rFonts w:ascii="Century" w:hAnsi="Century" w:hint="cs"/>
          <w:sz w:val="22"/>
          <w:rtl/>
        </w:rPr>
        <w:t xml:space="preserve"> לעם היהודי בקשרי דם, ל</w:t>
      </w:r>
      <w:r>
        <w:rPr>
          <w:rFonts w:ascii="Century" w:hAnsi="Century" w:hint="cs"/>
          <w:sz w:val="22"/>
          <w:rtl/>
        </w:rPr>
        <w:t xml:space="preserve">בין חיבור כאמור בקשרי </w:t>
      </w:r>
      <w:r w:rsidRPr="009C00E8">
        <w:rPr>
          <w:rFonts w:ascii="Century" w:hAnsi="Century" w:hint="cs"/>
          <w:sz w:val="22"/>
          <w:rtl/>
        </w:rPr>
        <w:t>חיתון</w:t>
      </w:r>
      <w:r>
        <w:rPr>
          <w:rFonts w:ascii="Century" w:hAnsi="Century" w:hint="cs"/>
          <w:sz w:val="22"/>
          <w:rtl/>
        </w:rPr>
        <w:t>, בדגש על השפעתה של הבחנה זו על מידת תחולתם של הטעמים המייחסים ערך עצמי לעליה ארצה ולמימוש הזכאות לשבות</w:t>
      </w:r>
      <w:r w:rsidRPr="009C00E8">
        <w:rPr>
          <w:rFonts w:ascii="Century" w:hAnsi="Century" w:hint="cs"/>
          <w:sz w:val="22"/>
          <w:rtl/>
        </w:rPr>
        <w:t xml:space="preserve"> (ראו דברַי </w:t>
      </w:r>
      <w:r w:rsidRPr="00292822">
        <w:rPr>
          <w:rFonts w:ascii="FrankRuehl" w:hAnsi="FrankRuehl"/>
          <w:sz w:val="28"/>
          <w:rtl/>
        </w:rPr>
        <w:t xml:space="preserve">בפסקאות </w:t>
      </w:r>
      <w:r w:rsidRPr="00292822">
        <w:rPr>
          <w:rFonts w:ascii="FrankRuehl" w:hAnsi="FrankRuehl"/>
          <w:sz w:val="28"/>
          <w:highlight w:val="yellow"/>
          <w:rtl/>
        </w:rPr>
        <w:fldChar w:fldCharType="begin"/>
      </w:r>
      <w:r w:rsidRPr="00292822">
        <w:rPr>
          <w:rFonts w:ascii="FrankRuehl" w:hAnsi="FrankRuehl"/>
          <w:sz w:val="28"/>
          <w:rtl/>
        </w:rPr>
        <w:instrText xml:space="preserve"> </w:instrText>
      </w:r>
      <w:r w:rsidRPr="00292822">
        <w:rPr>
          <w:rFonts w:ascii="FrankRuehl" w:hAnsi="FrankRuehl"/>
          <w:sz w:val="28"/>
        </w:rPr>
        <w:instrText>REF</w:instrText>
      </w:r>
      <w:r w:rsidRPr="00292822">
        <w:rPr>
          <w:rFonts w:ascii="FrankRuehl" w:hAnsi="FrankRuehl"/>
          <w:sz w:val="28"/>
          <w:rtl/>
        </w:rPr>
        <w:instrText xml:space="preserve"> _</w:instrText>
      </w:r>
      <w:r w:rsidRPr="00292822">
        <w:rPr>
          <w:rFonts w:ascii="FrankRuehl" w:hAnsi="FrankRuehl"/>
          <w:sz w:val="28"/>
        </w:rPr>
        <w:instrText>Ref140567021 \r \h</w:instrText>
      </w:r>
      <w:r w:rsidRPr="00292822">
        <w:rPr>
          <w:rFonts w:ascii="FrankRuehl" w:hAnsi="FrankRuehl"/>
          <w:sz w:val="28"/>
          <w:rtl/>
        </w:rPr>
        <w:instrText xml:space="preserve"> </w:instrText>
      </w:r>
      <w:r w:rsidRPr="00292822">
        <w:rPr>
          <w:rFonts w:ascii="FrankRuehl" w:hAnsi="FrankRuehl"/>
          <w:sz w:val="28"/>
          <w:highlight w:val="yellow"/>
          <w:rtl/>
        </w:rPr>
        <w:instrText xml:space="preserve"> \* </w:instrText>
      </w:r>
      <w:r w:rsidRPr="00292822">
        <w:rPr>
          <w:rFonts w:ascii="FrankRuehl" w:hAnsi="FrankRuehl"/>
          <w:sz w:val="28"/>
          <w:highlight w:val="yellow"/>
        </w:rPr>
        <w:instrText>MERGEFORMAT</w:instrText>
      </w:r>
      <w:r w:rsidRPr="00292822">
        <w:rPr>
          <w:rFonts w:ascii="FrankRuehl" w:hAnsi="FrankRuehl"/>
          <w:sz w:val="28"/>
          <w:highlight w:val="yellow"/>
          <w:rtl/>
        </w:rPr>
        <w:instrText xml:space="preserve"> </w:instrText>
      </w:r>
      <w:r w:rsidRPr="00292822">
        <w:rPr>
          <w:rFonts w:ascii="FrankRuehl" w:hAnsi="FrankRuehl"/>
          <w:sz w:val="28"/>
          <w:highlight w:val="yellow"/>
          <w:rtl/>
        </w:rPr>
      </w:r>
      <w:r w:rsidRPr="00292822">
        <w:rPr>
          <w:rFonts w:ascii="FrankRuehl" w:hAnsi="FrankRuehl"/>
          <w:sz w:val="28"/>
          <w:highlight w:val="yellow"/>
          <w:rtl/>
        </w:rPr>
        <w:fldChar w:fldCharType="separate"/>
      </w:r>
      <w:r w:rsidR="00AE7B46">
        <w:rPr>
          <w:rFonts w:ascii="FrankRuehl" w:hAnsi="FrankRuehl"/>
          <w:sz w:val="28"/>
          <w:cs/>
        </w:rPr>
        <w:t>‎</w:t>
      </w:r>
      <w:r w:rsidR="00AE7B46">
        <w:rPr>
          <w:rFonts w:ascii="FrankRuehl" w:hAnsi="FrankRuehl"/>
          <w:sz w:val="28"/>
        </w:rPr>
        <w:t>27</w:t>
      </w:r>
      <w:r w:rsidRPr="00292822">
        <w:rPr>
          <w:rFonts w:ascii="FrankRuehl" w:hAnsi="FrankRuehl"/>
          <w:sz w:val="28"/>
          <w:highlight w:val="yellow"/>
          <w:rtl/>
        </w:rPr>
        <w:fldChar w:fldCharType="end"/>
      </w:r>
      <w:r w:rsidRPr="00292822">
        <w:rPr>
          <w:rFonts w:ascii="FrankRuehl" w:hAnsi="FrankRuehl"/>
          <w:sz w:val="28"/>
          <w:rtl/>
        </w:rPr>
        <w:t>-</w:t>
      </w:r>
      <w:r w:rsidRPr="00292822">
        <w:rPr>
          <w:rFonts w:ascii="FrankRuehl" w:hAnsi="FrankRuehl"/>
          <w:sz w:val="28"/>
          <w:rtl/>
        </w:rPr>
        <w:fldChar w:fldCharType="begin"/>
      </w:r>
      <w:r w:rsidRPr="00292822">
        <w:rPr>
          <w:rFonts w:ascii="FrankRuehl" w:hAnsi="FrankRuehl"/>
          <w:sz w:val="28"/>
          <w:rtl/>
        </w:rPr>
        <w:instrText xml:space="preserve"> </w:instrText>
      </w:r>
      <w:r w:rsidRPr="00292822">
        <w:rPr>
          <w:rFonts w:ascii="FrankRuehl" w:hAnsi="FrankRuehl"/>
          <w:sz w:val="28"/>
        </w:rPr>
        <w:instrText>REF</w:instrText>
      </w:r>
      <w:r w:rsidRPr="00292822">
        <w:rPr>
          <w:rFonts w:ascii="FrankRuehl" w:hAnsi="FrankRuehl"/>
          <w:sz w:val="28"/>
          <w:rtl/>
        </w:rPr>
        <w:instrText xml:space="preserve"> _</w:instrText>
      </w:r>
      <w:r w:rsidRPr="00292822">
        <w:rPr>
          <w:rFonts w:ascii="FrankRuehl" w:hAnsi="FrankRuehl"/>
          <w:sz w:val="28"/>
        </w:rPr>
        <w:instrText>Ref140567008 \r \h</w:instrText>
      </w:r>
      <w:r w:rsidRPr="00292822">
        <w:rPr>
          <w:rFonts w:ascii="FrankRuehl" w:hAnsi="FrankRuehl"/>
          <w:sz w:val="28"/>
          <w:rtl/>
        </w:rPr>
        <w:instrText xml:space="preserve">  \* </w:instrText>
      </w:r>
      <w:r w:rsidRPr="00292822">
        <w:rPr>
          <w:rFonts w:ascii="FrankRuehl" w:hAnsi="FrankRuehl"/>
          <w:sz w:val="28"/>
        </w:rPr>
        <w:instrText>MERGEFORMAT</w:instrText>
      </w:r>
      <w:r w:rsidRPr="00292822">
        <w:rPr>
          <w:rFonts w:ascii="FrankRuehl" w:hAnsi="FrankRuehl"/>
          <w:sz w:val="28"/>
          <w:rtl/>
        </w:rPr>
        <w:instrText xml:space="preserve"> </w:instrText>
      </w:r>
      <w:r w:rsidRPr="00292822">
        <w:rPr>
          <w:rFonts w:ascii="FrankRuehl" w:hAnsi="FrankRuehl"/>
          <w:sz w:val="28"/>
          <w:rtl/>
        </w:rPr>
      </w:r>
      <w:r w:rsidRPr="00292822">
        <w:rPr>
          <w:rFonts w:ascii="FrankRuehl" w:hAnsi="FrankRuehl"/>
          <w:sz w:val="28"/>
          <w:rtl/>
        </w:rPr>
        <w:fldChar w:fldCharType="separate"/>
      </w:r>
      <w:r w:rsidR="00AE7B46">
        <w:rPr>
          <w:rFonts w:ascii="FrankRuehl" w:hAnsi="FrankRuehl"/>
          <w:sz w:val="28"/>
          <w:cs/>
        </w:rPr>
        <w:t>‎</w:t>
      </w:r>
      <w:r w:rsidR="00AE7B46">
        <w:rPr>
          <w:rFonts w:ascii="FrankRuehl" w:hAnsi="FrankRuehl"/>
          <w:sz w:val="28"/>
        </w:rPr>
        <w:t>29</w:t>
      </w:r>
      <w:r w:rsidRPr="00292822">
        <w:rPr>
          <w:rFonts w:ascii="FrankRuehl" w:hAnsi="FrankRuehl"/>
          <w:sz w:val="28"/>
          <w:rtl/>
        </w:rPr>
        <w:fldChar w:fldCharType="end"/>
      </w:r>
      <w:r w:rsidRPr="009C00E8">
        <w:rPr>
          <w:rFonts w:ascii="Century" w:hAnsi="Century" w:hint="cs"/>
          <w:sz w:val="22"/>
          <w:rtl/>
        </w:rPr>
        <w:t xml:space="preserve"> לעיל) </w:t>
      </w:r>
      <w:r w:rsidRPr="009C00E8">
        <w:rPr>
          <w:rFonts w:ascii="Century" w:hAnsi="Century"/>
          <w:sz w:val="22"/>
          <w:rtl/>
        </w:rPr>
        <w:t>–</w:t>
      </w:r>
      <w:r w:rsidRPr="009C00E8">
        <w:rPr>
          <w:rFonts w:ascii="Century" w:hAnsi="Century" w:hint="cs"/>
          <w:sz w:val="22"/>
          <w:rtl/>
        </w:rPr>
        <w:t xml:space="preserve"> איני סבור כי המידה שבה </w:t>
      </w:r>
      <w:r>
        <w:rPr>
          <w:rFonts w:ascii="Century" w:hAnsi="Century" w:hint="cs"/>
          <w:sz w:val="22"/>
          <w:rtl/>
        </w:rPr>
        <w:t>מוגשמת</w:t>
      </w:r>
      <w:r w:rsidRPr="009C00E8">
        <w:rPr>
          <w:rFonts w:ascii="Century" w:hAnsi="Century" w:hint="cs"/>
          <w:sz w:val="22"/>
          <w:rtl/>
        </w:rPr>
        <w:t xml:space="preserve"> תכלית </w:t>
      </w:r>
      <w:r>
        <w:rPr>
          <w:rFonts w:ascii="Century" w:hAnsi="Century" w:hint="cs"/>
          <w:sz w:val="22"/>
          <w:rtl/>
        </w:rPr>
        <w:t>'קשירת הגורל'</w:t>
      </w:r>
      <w:r w:rsidRPr="009C00E8">
        <w:rPr>
          <w:rFonts w:ascii="Century" w:hAnsi="Century" w:hint="cs"/>
          <w:sz w:val="22"/>
          <w:rtl/>
        </w:rPr>
        <w:t xml:space="preserve">, </w:t>
      </w:r>
      <w:r>
        <w:rPr>
          <w:rFonts w:ascii="Century" w:hAnsi="Century" w:hint="cs"/>
          <w:sz w:val="22"/>
          <w:rtl/>
        </w:rPr>
        <w:t>ביחס</w:t>
      </w:r>
      <w:r w:rsidRPr="009C00E8">
        <w:rPr>
          <w:rFonts w:ascii="Century" w:hAnsi="Century" w:hint="cs"/>
          <w:sz w:val="22"/>
          <w:rtl/>
        </w:rPr>
        <w:t xml:space="preserve"> לאלמנ</w:t>
      </w:r>
      <w:r>
        <w:rPr>
          <w:rFonts w:ascii="Century" w:hAnsi="Century" w:hint="cs"/>
          <w:sz w:val="22"/>
          <w:rtl/>
        </w:rPr>
        <w:t>ותיהם</w:t>
      </w:r>
      <w:r w:rsidRPr="009C00E8">
        <w:rPr>
          <w:rFonts w:ascii="Century" w:hAnsi="Century" w:hint="cs"/>
          <w:sz w:val="22"/>
          <w:rtl/>
        </w:rPr>
        <w:t xml:space="preserve"> של </w:t>
      </w:r>
      <w:r>
        <w:rPr>
          <w:rFonts w:ascii="Century" w:hAnsi="Century" w:hint="cs"/>
          <w:sz w:val="22"/>
          <w:rtl/>
        </w:rPr>
        <w:t>זכאי שבות</w:t>
      </w:r>
      <w:r w:rsidRPr="009C00E8">
        <w:rPr>
          <w:rFonts w:ascii="Century" w:hAnsi="Century" w:hint="cs"/>
          <w:sz w:val="22"/>
          <w:rtl/>
        </w:rPr>
        <w:t>,</w:t>
      </w:r>
      <w:r>
        <w:rPr>
          <w:rFonts w:ascii="Century" w:hAnsi="Century" w:hint="cs"/>
          <w:sz w:val="22"/>
          <w:rtl/>
        </w:rPr>
        <w:t xml:space="preserve"> די בה</w:t>
      </w:r>
      <w:r w:rsidRPr="009C00E8">
        <w:rPr>
          <w:rFonts w:ascii="Century" w:hAnsi="Century" w:hint="cs"/>
          <w:sz w:val="22"/>
          <w:rtl/>
        </w:rPr>
        <w:t xml:space="preserve"> כדי </w:t>
      </w:r>
      <w:r>
        <w:rPr>
          <w:rFonts w:ascii="Century" w:hAnsi="Century" w:hint="cs"/>
          <w:sz w:val="22"/>
          <w:rtl/>
        </w:rPr>
        <w:t xml:space="preserve">להצדיק את הענקת הזכאות. זאת, נוכח התמונה שמצטיירת באשר ליתר התכליות, ובפרט התכלית העיקרית של עליית יהודים לישראל, שכפי שתיארתי </w:t>
      </w:r>
      <w:r>
        <w:rPr>
          <w:rFonts w:ascii="Century" w:hAnsi="Century"/>
          <w:sz w:val="22"/>
          <w:rtl/>
        </w:rPr>
        <w:t>–</w:t>
      </w:r>
      <w:r>
        <w:rPr>
          <w:rFonts w:ascii="Century" w:hAnsi="Century" w:hint="cs"/>
          <w:sz w:val="22"/>
          <w:rtl/>
        </w:rPr>
        <w:t xml:space="preserve"> אינן מתקיימות, או שמתקיימות במידה פחוּתה בלבד, בכל הנוגע לאותן אלמנות.</w:t>
      </w:r>
      <w:r w:rsidRPr="009C00E8">
        <w:rPr>
          <w:rFonts w:ascii="Century" w:hAnsi="Century" w:hint="cs"/>
          <w:sz w:val="22"/>
          <w:rtl/>
        </w:rPr>
        <w:t xml:space="preserve"> </w:t>
      </w:r>
    </w:p>
    <w:p w:rsidR="00872589" w:rsidRPr="007B08B0" w:rsidRDefault="00872589" w:rsidP="00872589">
      <w:pPr>
        <w:pStyle w:val="Ruller41"/>
        <w:rPr>
          <w:rFonts w:ascii="Garamond" w:hAnsi="Garamond"/>
          <w:sz w:val="24"/>
          <w:rtl/>
        </w:rPr>
      </w:pPr>
    </w:p>
    <w:p w:rsidR="00872589" w:rsidRDefault="00872589" w:rsidP="00872589">
      <w:pPr>
        <w:pStyle w:val="Ruller41"/>
        <w:rPr>
          <w:rtl/>
        </w:rPr>
      </w:pPr>
      <w:r>
        <w:rPr>
          <w:rFonts w:ascii="Garamond" w:hAnsi="Garamond"/>
          <w:sz w:val="24"/>
          <w:rtl/>
        </w:rPr>
        <w:tab/>
      </w:r>
      <w:r>
        <w:rPr>
          <w:rFonts w:ascii="Garamond" w:hAnsi="Garamond" w:hint="cs"/>
          <w:sz w:val="24"/>
          <w:rtl/>
        </w:rPr>
        <w:t xml:space="preserve">סיכומו של דבר, תכליתו המרכזית של חוק השבות ושל סעיף 4א </w:t>
      </w:r>
      <w:r>
        <w:rPr>
          <w:rFonts w:ascii="Garamond" w:hAnsi="Garamond"/>
          <w:sz w:val="24"/>
          <w:rtl/>
        </w:rPr>
        <w:t>–</w:t>
      </w:r>
      <w:r>
        <w:rPr>
          <w:rFonts w:ascii="Garamond" w:hAnsi="Garamond" w:hint="cs"/>
          <w:sz w:val="24"/>
          <w:rtl/>
        </w:rPr>
        <w:t xml:space="preserve"> עידוד יהודים הנשואים בנישואי תערובת לעלות ארצה </w:t>
      </w:r>
      <w:r>
        <w:rPr>
          <w:rFonts w:ascii="Garamond" w:hAnsi="Garamond"/>
          <w:sz w:val="24"/>
          <w:rtl/>
        </w:rPr>
        <w:t>–</w:t>
      </w:r>
      <w:r>
        <w:rPr>
          <w:rFonts w:ascii="Garamond" w:hAnsi="Garamond" w:hint="cs"/>
          <w:sz w:val="24"/>
          <w:rtl/>
        </w:rPr>
        <w:t xml:space="preserve"> אינה מוגשמת באמצעות מתן זכאות לאלמנתו של זכאי השבות; ודאי שלא במידה משמעותית. הוא הדין גם ביחס לתכליותיו הפרטניות </w:t>
      </w:r>
      <w:r>
        <w:rPr>
          <w:rFonts w:ascii="Garamond" w:hAnsi="Garamond" w:hint="cs"/>
          <w:sz w:val="24"/>
          <w:rtl/>
        </w:rPr>
        <w:lastRenderedPageBreak/>
        <w:t xml:space="preserve">של סעיף 4א, אשר או שאינן מתקיימות כלל, או שמתקיימות במידה פחוּתה. </w:t>
      </w:r>
      <w:r>
        <w:rPr>
          <w:rFonts w:hint="cs"/>
          <w:rtl/>
        </w:rPr>
        <w:t>לפיכך, גם בחינת תכליותיו של סעיף 4א, עולה בקנה אחד עם המסקנה שאליה הגעתי, במסגרת בחינת לשונו של הסעיף.</w:t>
      </w:r>
    </w:p>
    <w:p w:rsidR="00872589" w:rsidRDefault="00872589" w:rsidP="00872589">
      <w:pPr>
        <w:pStyle w:val="Ruller41"/>
        <w:rPr>
          <w:rtl/>
        </w:rPr>
      </w:pPr>
    </w:p>
    <w:p w:rsidR="00872589" w:rsidRDefault="00872589" w:rsidP="00872589">
      <w:pPr>
        <w:pStyle w:val="Ruller4"/>
        <w:textAlignment w:val="baseline"/>
        <w:rPr>
          <w:rtl/>
        </w:rPr>
      </w:pPr>
      <w:r>
        <w:rPr>
          <w:rFonts w:hint="cs"/>
          <w:rtl/>
        </w:rPr>
        <w:t xml:space="preserve">לקראת סיום אעיר, כי מקובלים עלי עיקרי דברי חברי, מ"מ הנשיא (בפסקה 19 לחוות דעתו), שלפיהם אין מקום לייחס משקל, במסגרת מלאכת הפרשנות, לאופן התנהלות המשיבים בפועל, ולהנחיות שיצאו תחת ידם (בהקשר זה הפנו המשיבים להנחיית רשות האוכלוסין וההגירה, שלפיה ניתן במקרים מסוימים להעניק מעמד לאלמנת זכאי השבות). זאת, להבדיל משאלת המשקל שיש לייחס לפרקטיקה שעל-פיה נוהגת הרשות המינהלית המופקדת על ישׂוּם הוראות החוק המסמיך (ראו, למשל, ע"א 3847/16 </w:t>
      </w:r>
      <w:r w:rsidRPr="00DB6205">
        <w:rPr>
          <w:rFonts w:cs="Miriam" w:hint="eastAsia"/>
          <w:b/>
          <w:spacing w:val="0"/>
          <w:sz w:val="22"/>
          <w:szCs w:val="24"/>
          <w:rtl/>
        </w:rPr>
        <w:t>עגלי</w:t>
      </w:r>
      <w:r w:rsidRPr="00DB6205">
        <w:rPr>
          <w:rFonts w:cs="Miriam"/>
          <w:b/>
          <w:spacing w:val="0"/>
          <w:sz w:val="22"/>
          <w:szCs w:val="24"/>
          <w:rtl/>
        </w:rPr>
        <w:t xml:space="preserve"> </w:t>
      </w:r>
      <w:r w:rsidRPr="00DB6205">
        <w:rPr>
          <w:rFonts w:cs="Miriam" w:hint="eastAsia"/>
          <w:b/>
          <w:spacing w:val="0"/>
          <w:sz w:val="22"/>
          <w:szCs w:val="24"/>
          <w:rtl/>
        </w:rPr>
        <w:t>תל</w:t>
      </w:r>
      <w:r w:rsidRPr="00DB6205">
        <w:rPr>
          <w:rFonts w:cs="Miriam"/>
          <w:b/>
          <w:spacing w:val="0"/>
          <w:sz w:val="22"/>
          <w:szCs w:val="24"/>
          <w:rtl/>
        </w:rPr>
        <w:t xml:space="preserve"> </w:t>
      </w:r>
      <w:r w:rsidRPr="00DB6205">
        <w:rPr>
          <w:rFonts w:cs="Miriam" w:hint="eastAsia"/>
          <w:b/>
          <w:spacing w:val="0"/>
          <w:sz w:val="22"/>
          <w:szCs w:val="24"/>
          <w:rtl/>
        </w:rPr>
        <w:t>שווק</w:t>
      </w:r>
      <w:r w:rsidRPr="00DB6205">
        <w:rPr>
          <w:rFonts w:cs="Miriam"/>
          <w:b/>
          <w:spacing w:val="0"/>
          <w:sz w:val="22"/>
          <w:szCs w:val="24"/>
          <w:rtl/>
        </w:rPr>
        <w:t xml:space="preserve"> </w:t>
      </w:r>
      <w:r w:rsidRPr="00DB6205">
        <w:rPr>
          <w:rFonts w:cs="Miriam" w:hint="eastAsia"/>
          <w:b/>
          <w:spacing w:val="0"/>
          <w:sz w:val="22"/>
          <w:szCs w:val="24"/>
          <w:rtl/>
        </w:rPr>
        <w:t>בקר</w:t>
      </w:r>
      <w:r w:rsidRPr="00DB6205">
        <w:rPr>
          <w:rFonts w:cs="Miriam"/>
          <w:b/>
          <w:spacing w:val="0"/>
          <w:sz w:val="22"/>
          <w:szCs w:val="24"/>
          <w:rtl/>
        </w:rPr>
        <w:t xml:space="preserve"> </w:t>
      </w:r>
      <w:r w:rsidRPr="00DB6205">
        <w:rPr>
          <w:rFonts w:cs="Miriam" w:hint="eastAsia"/>
          <w:b/>
          <w:spacing w:val="0"/>
          <w:sz w:val="22"/>
          <w:szCs w:val="24"/>
          <w:rtl/>
        </w:rPr>
        <w:t>בע</w:t>
      </w:r>
      <w:r w:rsidRPr="00DB6205">
        <w:rPr>
          <w:rFonts w:cs="Miriam"/>
          <w:b/>
          <w:spacing w:val="0"/>
          <w:sz w:val="22"/>
          <w:szCs w:val="24"/>
          <w:rtl/>
        </w:rPr>
        <w:t>"</w:t>
      </w:r>
      <w:r w:rsidRPr="00DB6205">
        <w:rPr>
          <w:rFonts w:cs="Miriam" w:hint="eastAsia"/>
          <w:b/>
          <w:spacing w:val="0"/>
          <w:sz w:val="22"/>
          <w:szCs w:val="24"/>
          <w:rtl/>
        </w:rPr>
        <w:t>מ</w:t>
      </w:r>
      <w:r w:rsidRPr="00DB6205">
        <w:rPr>
          <w:rFonts w:cs="Miriam"/>
          <w:b/>
          <w:spacing w:val="0"/>
          <w:sz w:val="22"/>
          <w:szCs w:val="24"/>
          <w:rtl/>
        </w:rPr>
        <w:t xml:space="preserve"> </w:t>
      </w:r>
      <w:r w:rsidRPr="00DB6205">
        <w:rPr>
          <w:rFonts w:cs="Miriam" w:hint="eastAsia"/>
          <w:b/>
          <w:spacing w:val="0"/>
          <w:sz w:val="22"/>
          <w:szCs w:val="24"/>
          <w:rtl/>
        </w:rPr>
        <w:t>נ</w:t>
      </w:r>
      <w:r w:rsidRPr="00DB6205">
        <w:rPr>
          <w:rFonts w:cs="Miriam"/>
          <w:b/>
          <w:spacing w:val="0"/>
          <w:sz w:val="22"/>
          <w:szCs w:val="24"/>
          <w:rtl/>
        </w:rPr>
        <w:t xml:space="preserve">' </w:t>
      </w:r>
      <w:r w:rsidRPr="00DB6205">
        <w:rPr>
          <w:rFonts w:cs="Miriam" w:hint="eastAsia"/>
          <w:b/>
          <w:spacing w:val="0"/>
          <w:sz w:val="22"/>
          <w:szCs w:val="24"/>
          <w:rtl/>
        </w:rPr>
        <w:t>מדינת</w:t>
      </w:r>
      <w:r w:rsidRPr="00DB6205">
        <w:rPr>
          <w:rFonts w:cs="Miriam"/>
          <w:b/>
          <w:spacing w:val="0"/>
          <w:sz w:val="22"/>
          <w:szCs w:val="24"/>
          <w:rtl/>
        </w:rPr>
        <w:t xml:space="preserve"> </w:t>
      </w:r>
      <w:r w:rsidRPr="00DB6205">
        <w:rPr>
          <w:rFonts w:cs="Miriam" w:hint="eastAsia"/>
          <w:b/>
          <w:spacing w:val="0"/>
          <w:sz w:val="22"/>
          <w:szCs w:val="24"/>
          <w:rtl/>
        </w:rPr>
        <w:t>ישראל</w:t>
      </w:r>
      <w:r w:rsidRPr="00DB6205">
        <w:rPr>
          <w:rFonts w:cs="Miriam"/>
          <w:b/>
          <w:spacing w:val="0"/>
          <w:sz w:val="22"/>
          <w:szCs w:val="24"/>
          <w:rtl/>
        </w:rPr>
        <w:t xml:space="preserve">, </w:t>
      </w:r>
      <w:r w:rsidRPr="00DB6205">
        <w:rPr>
          <w:rFonts w:cs="Miriam" w:hint="eastAsia"/>
          <w:b/>
          <w:spacing w:val="0"/>
          <w:sz w:val="22"/>
          <w:szCs w:val="24"/>
          <w:rtl/>
        </w:rPr>
        <w:t>משרד</w:t>
      </w:r>
      <w:r w:rsidRPr="00DB6205">
        <w:rPr>
          <w:rFonts w:cs="Miriam"/>
          <w:b/>
          <w:spacing w:val="0"/>
          <w:sz w:val="22"/>
          <w:szCs w:val="24"/>
          <w:rtl/>
        </w:rPr>
        <w:t xml:space="preserve"> </w:t>
      </w:r>
      <w:r w:rsidRPr="00DB6205">
        <w:rPr>
          <w:rFonts w:cs="Miriam" w:hint="eastAsia"/>
          <w:b/>
          <w:spacing w:val="0"/>
          <w:sz w:val="22"/>
          <w:szCs w:val="24"/>
          <w:rtl/>
        </w:rPr>
        <w:t>החקלאות</w:t>
      </w:r>
      <w:r w:rsidRPr="00DB6205">
        <w:rPr>
          <w:rFonts w:cs="Miriam"/>
          <w:b/>
          <w:spacing w:val="0"/>
          <w:sz w:val="22"/>
          <w:szCs w:val="24"/>
          <w:rtl/>
        </w:rPr>
        <w:t xml:space="preserve"> </w:t>
      </w:r>
      <w:r w:rsidRPr="00DB6205">
        <w:rPr>
          <w:rFonts w:cs="Miriam" w:hint="eastAsia"/>
          <w:b/>
          <w:spacing w:val="0"/>
          <w:sz w:val="22"/>
          <w:szCs w:val="24"/>
          <w:rtl/>
        </w:rPr>
        <w:t>ופיתוח</w:t>
      </w:r>
      <w:r w:rsidRPr="00DB6205">
        <w:rPr>
          <w:rFonts w:cs="Miriam"/>
          <w:b/>
          <w:spacing w:val="0"/>
          <w:sz w:val="22"/>
          <w:szCs w:val="24"/>
          <w:rtl/>
        </w:rPr>
        <w:t xml:space="preserve"> </w:t>
      </w:r>
      <w:r w:rsidRPr="00DB6205">
        <w:rPr>
          <w:rFonts w:cs="Miriam" w:hint="eastAsia"/>
          <w:b/>
          <w:spacing w:val="0"/>
          <w:sz w:val="22"/>
          <w:szCs w:val="24"/>
          <w:rtl/>
        </w:rPr>
        <w:t>הכפר</w:t>
      </w:r>
      <w:r>
        <w:rPr>
          <w:rFonts w:hint="cs"/>
          <w:rtl/>
        </w:rPr>
        <w:t xml:space="preserve">, פסקה 11 (11.3.2018); </w:t>
      </w:r>
      <w:r w:rsidRPr="005B4235">
        <w:rPr>
          <w:rFonts w:hint="eastAsia"/>
          <w:rtl/>
        </w:rPr>
        <w:t>דנ</w:t>
      </w:r>
      <w:r w:rsidRPr="005B4235">
        <w:rPr>
          <w:rtl/>
        </w:rPr>
        <w:t>"</w:t>
      </w:r>
      <w:r w:rsidRPr="005B4235">
        <w:rPr>
          <w:rFonts w:hint="eastAsia"/>
          <w:rtl/>
        </w:rPr>
        <w:t>א</w:t>
      </w:r>
      <w:r w:rsidRPr="005B4235">
        <w:rPr>
          <w:rtl/>
        </w:rPr>
        <w:t xml:space="preserve"> 4960/18 </w:t>
      </w:r>
      <w:r w:rsidRPr="00DB6205">
        <w:rPr>
          <w:rFonts w:cs="Miriam" w:hint="eastAsia"/>
          <w:b/>
          <w:spacing w:val="0"/>
          <w:sz w:val="22"/>
          <w:szCs w:val="24"/>
          <w:rtl/>
        </w:rPr>
        <w:t>זליגמן</w:t>
      </w:r>
      <w:r w:rsidRPr="00DB6205">
        <w:rPr>
          <w:rFonts w:cs="Miriam"/>
          <w:b/>
          <w:spacing w:val="0"/>
          <w:sz w:val="22"/>
          <w:szCs w:val="24"/>
          <w:rtl/>
        </w:rPr>
        <w:t xml:space="preserve"> </w:t>
      </w:r>
      <w:r w:rsidRPr="00DB6205">
        <w:rPr>
          <w:rFonts w:cs="Miriam" w:hint="eastAsia"/>
          <w:b/>
          <w:spacing w:val="0"/>
          <w:sz w:val="22"/>
          <w:szCs w:val="24"/>
          <w:rtl/>
        </w:rPr>
        <w:t>נ</w:t>
      </w:r>
      <w:r w:rsidRPr="00DB6205">
        <w:rPr>
          <w:rFonts w:cs="Miriam"/>
          <w:b/>
          <w:spacing w:val="0"/>
          <w:sz w:val="22"/>
          <w:szCs w:val="24"/>
          <w:rtl/>
        </w:rPr>
        <w:t xml:space="preserve">' </w:t>
      </w:r>
      <w:r w:rsidRPr="00DB6205">
        <w:rPr>
          <w:rFonts w:cs="Miriam" w:hint="eastAsia"/>
          <w:b/>
          <w:spacing w:val="0"/>
          <w:sz w:val="22"/>
          <w:szCs w:val="24"/>
          <w:rtl/>
        </w:rPr>
        <w:t>הפניקס</w:t>
      </w:r>
      <w:r w:rsidRPr="00DB6205">
        <w:rPr>
          <w:rFonts w:cs="Miriam"/>
          <w:b/>
          <w:spacing w:val="0"/>
          <w:sz w:val="22"/>
          <w:szCs w:val="24"/>
          <w:rtl/>
        </w:rPr>
        <w:t xml:space="preserve"> </w:t>
      </w:r>
      <w:r w:rsidRPr="00DB6205">
        <w:rPr>
          <w:rFonts w:cs="Miriam" w:hint="eastAsia"/>
          <w:b/>
          <w:spacing w:val="0"/>
          <w:sz w:val="22"/>
          <w:szCs w:val="24"/>
          <w:rtl/>
        </w:rPr>
        <w:t>חברה</w:t>
      </w:r>
      <w:r w:rsidRPr="00DB6205">
        <w:rPr>
          <w:rFonts w:cs="Miriam"/>
          <w:b/>
          <w:spacing w:val="0"/>
          <w:sz w:val="22"/>
          <w:szCs w:val="24"/>
          <w:rtl/>
        </w:rPr>
        <w:t xml:space="preserve"> </w:t>
      </w:r>
      <w:r w:rsidRPr="00DB6205">
        <w:rPr>
          <w:rFonts w:cs="Miriam" w:hint="eastAsia"/>
          <w:b/>
          <w:spacing w:val="0"/>
          <w:sz w:val="22"/>
          <w:szCs w:val="24"/>
          <w:rtl/>
        </w:rPr>
        <w:t>לביטוח</w:t>
      </w:r>
      <w:r w:rsidRPr="00DB6205">
        <w:rPr>
          <w:rFonts w:cs="Miriam"/>
          <w:b/>
          <w:spacing w:val="0"/>
          <w:sz w:val="22"/>
          <w:szCs w:val="24"/>
          <w:rtl/>
        </w:rPr>
        <w:t xml:space="preserve"> </w:t>
      </w:r>
      <w:r w:rsidRPr="00DB6205">
        <w:rPr>
          <w:rFonts w:cs="Miriam" w:hint="eastAsia"/>
          <w:b/>
          <w:spacing w:val="0"/>
          <w:sz w:val="22"/>
          <w:szCs w:val="24"/>
          <w:rtl/>
        </w:rPr>
        <w:t>בע</w:t>
      </w:r>
      <w:r w:rsidRPr="00DB6205">
        <w:rPr>
          <w:rFonts w:cs="Miriam"/>
          <w:b/>
          <w:spacing w:val="0"/>
          <w:sz w:val="22"/>
          <w:szCs w:val="24"/>
          <w:rtl/>
        </w:rPr>
        <w:t>"</w:t>
      </w:r>
      <w:r w:rsidRPr="00DB6205">
        <w:rPr>
          <w:rFonts w:cs="Miriam" w:hint="eastAsia"/>
          <w:b/>
          <w:spacing w:val="0"/>
          <w:sz w:val="22"/>
          <w:szCs w:val="24"/>
          <w:rtl/>
        </w:rPr>
        <w:t>מ</w:t>
      </w:r>
      <w:r w:rsidRPr="00DB6205">
        <w:rPr>
          <w:rFonts w:hint="cs"/>
          <w:rtl/>
        </w:rPr>
        <w:t xml:space="preserve">, </w:t>
      </w:r>
      <w:r w:rsidRPr="00DB6205">
        <w:rPr>
          <w:rFonts w:hint="eastAsia"/>
          <w:rtl/>
        </w:rPr>
        <w:t>פסקה</w:t>
      </w:r>
      <w:r w:rsidRPr="00DB6205">
        <w:rPr>
          <w:rtl/>
        </w:rPr>
        <w:t xml:space="preserve"> 19</w:t>
      </w:r>
      <w:r w:rsidRPr="00DB6205">
        <w:rPr>
          <w:rFonts w:hint="cs"/>
          <w:rtl/>
        </w:rPr>
        <w:t xml:space="preserve"> לחוות</w:t>
      </w:r>
      <w:r>
        <w:rPr>
          <w:rFonts w:hint="cs"/>
          <w:rtl/>
        </w:rPr>
        <w:t xml:space="preserve"> הדעת של חברתי, השופטת </w:t>
      </w:r>
      <w:r w:rsidRPr="00DB6205">
        <w:rPr>
          <w:rFonts w:ascii="Century" w:hAnsi="Century" w:cs="Miriam" w:hint="cs"/>
          <w:b/>
          <w:spacing w:val="0"/>
          <w:sz w:val="22"/>
          <w:szCs w:val="24"/>
          <w:rtl/>
        </w:rPr>
        <w:t xml:space="preserve">י' וילנר </w:t>
      </w:r>
      <w:r>
        <w:rPr>
          <w:rFonts w:hint="cs"/>
          <w:rtl/>
        </w:rPr>
        <w:t xml:space="preserve">(4.7.2021) והאסמכתאות שם). כך או אחרת, בעניין דנן, גם לעמדתי אין להעניק משקל רב לפרקטיקה שהנהיגו המשיבים, שכן גם לשיטתם-שלהם, מדובר בעמדה שהתגבשה רק בשנת 2016, לנוכח ריבוי בקשות מצד אלמנות זכאי שבות, ולא בפרקטיקה עתיקת יומין. עם זאת, ברובד ראשוני יותר, סבורני, כי יש ליתן משקל לקיומם של מסלולים </w:t>
      </w:r>
      <w:r w:rsidRPr="007943B4">
        <w:rPr>
          <w:rFonts w:ascii="Century" w:hAnsi="Century" w:cs="Miriam" w:hint="cs"/>
          <w:b/>
          <w:spacing w:val="0"/>
          <w:sz w:val="22"/>
          <w:szCs w:val="24"/>
          <w:rtl/>
        </w:rPr>
        <w:t>חקוקים</w:t>
      </w:r>
      <w:r w:rsidRPr="007943B4">
        <w:rPr>
          <w:rFonts w:hint="cs"/>
          <w:rtl/>
        </w:rPr>
        <w:t xml:space="preserve"> </w:t>
      </w:r>
      <w:r>
        <w:rPr>
          <w:rFonts w:hint="cs"/>
          <w:rtl/>
        </w:rPr>
        <w:t xml:space="preserve">נוספים </w:t>
      </w:r>
      <w:r>
        <w:rPr>
          <w:rtl/>
        </w:rPr>
        <w:t>–</w:t>
      </w:r>
      <w:r>
        <w:rPr>
          <w:rFonts w:hint="cs"/>
          <w:rtl/>
        </w:rPr>
        <w:t xml:space="preserve"> המעוגנים בחוק האזרחות ובחוק הכניסה לישראל </w:t>
      </w:r>
      <w:r>
        <w:rPr>
          <w:rtl/>
        </w:rPr>
        <w:t>–</w:t>
      </w:r>
      <w:r>
        <w:rPr>
          <w:rFonts w:hint="cs"/>
          <w:rtl/>
        </w:rPr>
        <w:t xml:space="preserve"> שמכוחם ניתן לקבל היתרי ישיבה בישראל, במקרים הראויים לכך; לעובדה זו יש משמעות במלאכת הפרשנות, שכן על זו להיעשות בשים לב למכלול החקיקה, ובפרט למסלולים השונים שהותוו בה (לגישה שכזו בסוגיה שבה עסקינן, ראו: עניין </w:t>
      </w:r>
      <w:r w:rsidRPr="00DB6205">
        <w:rPr>
          <w:rFonts w:ascii="Century" w:hAnsi="Century" w:cs="Miriam" w:hint="cs"/>
          <w:b/>
          <w:spacing w:val="0"/>
          <w:sz w:val="22"/>
          <w:szCs w:val="24"/>
          <w:rtl/>
        </w:rPr>
        <w:t>גורודצקי</w:t>
      </w:r>
      <w:r>
        <w:rPr>
          <w:rFonts w:hint="cs"/>
          <w:rtl/>
        </w:rPr>
        <w:t xml:space="preserve">, </w:t>
      </w:r>
      <w:r w:rsidRPr="00DB6205">
        <w:rPr>
          <w:rFonts w:hint="eastAsia"/>
          <w:rtl/>
        </w:rPr>
        <w:t>פסקה</w:t>
      </w:r>
      <w:r w:rsidRPr="00DB6205">
        <w:rPr>
          <w:rtl/>
        </w:rPr>
        <w:t xml:space="preserve"> 39; </w:t>
      </w:r>
      <w:r w:rsidRPr="00DB6205">
        <w:rPr>
          <w:rFonts w:hint="eastAsia"/>
          <w:rtl/>
        </w:rPr>
        <w:t>עניין</w:t>
      </w:r>
      <w:r w:rsidRPr="00DB6205">
        <w:rPr>
          <w:rtl/>
        </w:rPr>
        <w:t xml:space="preserve"> </w:t>
      </w:r>
      <w:r w:rsidRPr="00DB6205">
        <w:rPr>
          <w:rFonts w:ascii="Century" w:hAnsi="Century" w:cs="Miriam" w:hint="eastAsia"/>
          <w:b/>
          <w:spacing w:val="0"/>
          <w:sz w:val="22"/>
          <w:szCs w:val="24"/>
          <w:rtl/>
        </w:rPr>
        <w:t>סטמקה</w:t>
      </w:r>
      <w:r w:rsidRPr="00DB6205">
        <w:rPr>
          <w:rtl/>
        </w:rPr>
        <w:t xml:space="preserve">, </w:t>
      </w:r>
      <w:r w:rsidRPr="00DB6205">
        <w:rPr>
          <w:rFonts w:hint="eastAsia"/>
          <w:rtl/>
        </w:rPr>
        <w:t>עמוד</w:t>
      </w:r>
      <w:r w:rsidRPr="00DB6205">
        <w:rPr>
          <w:rtl/>
        </w:rPr>
        <w:t xml:space="preserve"> 758</w:t>
      </w:r>
      <w:r>
        <w:rPr>
          <w:rFonts w:hint="cs"/>
          <w:rtl/>
        </w:rPr>
        <w:t xml:space="preserve">; </w:t>
      </w:r>
      <w:r w:rsidRPr="00DB6205">
        <w:rPr>
          <w:rFonts w:ascii="Century" w:hAnsi="Century" w:cs="Miriam" w:hint="eastAsia"/>
          <w:b/>
          <w:spacing w:val="0"/>
          <w:sz w:val="22"/>
          <w:szCs w:val="24"/>
          <w:rtl/>
        </w:rPr>
        <w:t>קורינאלדי</w:t>
      </w:r>
      <w:r w:rsidRPr="00DB6205">
        <w:rPr>
          <w:rtl/>
        </w:rPr>
        <w:t xml:space="preserve">, </w:t>
      </w:r>
      <w:r w:rsidRPr="00DB6205">
        <w:rPr>
          <w:rFonts w:hint="eastAsia"/>
          <w:rtl/>
        </w:rPr>
        <w:t>עמודים</w:t>
      </w:r>
      <w:r>
        <w:rPr>
          <w:rtl/>
        </w:rPr>
        <w:t xml:space="preserve"> 97, 183-182</w:t>
      </w:r>
      <w:r>
        <w:rPr>
          <w:rFonts w:hint="cs"/>
          <w:rtl/>
        </w:rPr>
        <w:t xml:space="preserve">). בהינתן מסלולים חקוקים אלה, </w:t>
      </w:r>
      <w:r w:rsidRPr="00DB6205">
        <w:rPr>
          <w:rFonts w:hint="cs"/>
          <w:rtl/>
        </w:rPr>
        <w:t xml:space="preserve">הפרשנות המוצעת על-ידִי אינה חוסמת את אלמנות זכאי השבות </w:t>
      </w:r>
      <w:r>
        <w:rPr>
          <w:rFonts w:hint="cs"/>
          <w:rtl/>
        </w:rPr>
        <w:t>מ</w:t>
      </w:r>
      <w:r w:rsidRPr="00DB6205">
        <w:rPr>
          <w:rFonts w:hint="cs"/>
          <w:rtl/>
        </w:rPr>
        <w:t>קבל</w:t>
      </w:r>
      <w:r>
        <w:rPr>
          <w:rFonts w:hint="cs"/>
          <w:rtl/>
        </w:rPr>
        <w:t>ת</w:t>
      </w:r>
      <w:r w:rsidRPr="00DB6205">
        <w:rPr>
          <w:rFonts w:hint="cs"/>
          <w:rtl/>
        </w:rPr>
        <w:t xml:space="preserve"> מעמד בישראל</w:t>
      </w:r>
      <w:r>
        <w:rPr>
          <w:rFonts w:hint="cs"/>
          <w:rtl/>
        </w:rPr>
        <w:t xml:space="preserve"> </w:t>
      </w:r>
      <w:r>
        <w:rPr>
          <w:rtl/>
        </w:rPr>
        <w:t>–</w:t>
      </w:r>
      <w:r w:rsidRPr="00DB6205">
        <w:rPr>
          <w:rFonts w:hint="cs"/>
          <w:rtl/>
        </w:rPr>
        <w:t xml:space="preserve"> גם אם זכאות לשבות אין כאן, פתרונות חלופיים ישנם; לא אלמן ישראל.</w:t>
      </w:r>
      <w:r>
        <w:rPr>
          <w:rFonts w:hint="cs"/>
          <w:rtl/>
        </w:rPr>
        <w:t xml:space="preserve">  </w:t>
      </w:r>
    </w:p>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43739E">
        <w:rPr>
          <w:rFonts w:ascii="Century" w:hAnsi="Century" w:cs="Miriam" w:hint="cs"/>
          <w:b/>
          <w:spacing w:val="0"/>
          <w:szCs w:val="24"/>
          <w:rtl/>
        </w:rPr>
        <w:t>סוף דבר</w:t>
      </w:r>
    </w:p>
    <w:p w:rsidR="00216C97" w:rsidRPr="0043739E" w:rsidRDefault="00216C97" w:rsidP="00872589">
      <w:pPr>
        <w:pStyle w:val="Ruller41"/>
        <w:rPr>
          <w:rFonts w:ascii="Century" w:hAnsi="Century" w:cs="Miriam"/>
          <w:b/>
          <w:spacing w:val="0"/>
          <w:szCs w:val="24"/>
          <w:rtl/>
        </w:rPr>
      </w:pPr>
    </w:p>
    <w:p w:rsidR="00872589" w:rsidRDefault="00872589" w:rsidP="00872589">
      <w:pPr>
        <w:pStyle w:val="Ruller4"/>
        <w:textAlignment w:val="baseline"/>
      </w:pPr>
      <w:r>
        <w:rPr>
          <w:rFonts w:hint="cs"/>
          <w:rtl/>
        </w:rPr>
        <w:t xml:space="preserve">עמדתי היא שניתן היה לעצור כבר בשלב הלשון. לגבי דידי, בחינת לשון החוק מביאה לדחיית פרשנות המשיבים, ולהעדפת פרשנות המבקשים. זאת, שכן לטעמי סעיף 4א(ב), המתייחס מפורשות לסוגיית מותו של 'היהודי', יוצר הסדר שלילי, בכל הנוגע למותו של זכאי השבות; אין בידי לקבל את ההסברים החלופיים שהוּצעוּ למשמעות סעיף זה. מעבר לכך, גם בחינת תכליותיו של חוק השבות ושל סעיף 4א </w:t>
      </w:r>
      <w:r>
        <w:rPr>
          <w:rtl/>
        </w:rPr>
        <w:t>–</w:t>
      </w:r>
      <w:r>
        <w:rPr>
          <w:rFonts w:hint="cs"/>
          <w:rtl/>
        </w:rPr>
        <w:t xml:space="preserve"> אין בה, לטעמי, כדי להוליך למסקנה אחרת. תכליתם המרכזית של החוק ושל הסעיף </w:t>
      </w:r>
      <w:r>
        <w:rPr>
          <w:rtl/>
        </w:rPr>
        <w:t>–</w:t>
      </w:r>
      <w:r>
        <w:rPr>
          <w:rFonts w:hint="cs"/>
          <w:rtl/>
        </w:rPr>
        <w:t xml:space="preserve"> עידוד עליית יהודים ארצה, ומתן פתרון לאלה מהם שנישאו בנישואי תערובת </w:t>
      </w:r>
      <w:r>
        <w:rPr>
          <w:rtl/>
        </w:rPr>
        <w:t>–</w:t>
      </w:r>
      <w:r>
        <w:rPr>
          <w:rFonts w:hint="cs"/>
          <w:rtl/>
        </w:rPr>
        <w:t xml:space="preserve"> אינה מתקיימת, ככלל, </w:t>
      </w:r>
      <w:r>
        <w:rPr>
          <w:rFonts w:hint="cs"/>
          <w:rtl/>
        </w:rPr>
        <w:lastRenderedPageBreak/>
        <w:t xml:space="preserve">באלמנתו של זכאי שבות </w:t>
      </w:r>
      <w:r w:rsidRPr="007E37FB">
        <w:rPr>
          <w:rFonts w:hint="cs"/>
          <w:rtl/>
        </w:rPr>
        <w:t>המבקש</w:t>
      </w:r>
      <w:r>
        <w:rPr>
          <w:rFonts w:hint="cs"/>
          <w:rtl/>
        </w:rPr>
        <w:t xml:space="preserve">ת לעלות ארצה; גם תכליותיו הנוספות של הסעיף מתמלאות באלמנה במידה פחותה, אם בכלל. </w:t>
      </w:r>
    </w:p>
    <w:p w:rsidR="00872589" w:rsidRDefault="00872589" w:rsidP="00872589">
      <w:pPr>
        <w:pStyle w:val="Ruller4"/>
        <w:numPr>
          <w:ilvl w:val="0"/>
          <w:numId w:val="0"/>
        </w:numPr>
      </w:pPr>
    </w:p>
    <w:p w:rsidR="00E1330B" w:rsidRPr="0024615A" w:rsidRDefault="00872589" w:rsidP="00872589">
      <w:pPr>
        <w:pStyle w:val="Ruller41"/>
      </w:pPr>
      <w:r>
        <w:rPr>
          <w:rtl/>
        </w:rPr>
        <w:tab/>
      </w:r>
      <w:r>
        <w:rPr>
          <w:rFonts w:hint="cs"/>
          <w:rtl/>
        </w:rPr>
        <w:t xml:space="preserve">אשר על כן, לוּ </w:t>
      </w:r>
      <w:r w:rsidRPr="00984DF6">
        <w:rPr>
          <w:rFonts w:hint="cs"/>
          <w:rtl/>
        </w:rPr>
        <w:t>תישמע דעתי, נורה על קבלת העתירה לדיון נוסף</w:t>
      </w:r>
      <w:r>
        <w:rPr>
          <w:rFonts w:hint="cs"/>
          <w:rtl/>
        </w:rPr>
        <w:t xml:space="preserve">, ונקבע כי המונח </w:t>
      </w:r>
      <w:r w:rsidRPr="00431BFE">
        <w:rPr>
          <w:rFonts w:ascii="Century" w:hAnsi="Century" w:cs="Miriam" w:hint="cs"/>
          <w:b/>
          <w:spacing w:val="0"/>
          <w:szCs w:val="24"/>
          <w:rtl/>
        </w:rPr>
        <w:t>"בן זוג"</w:t>
      </w:r>
      <w:r w:rsidRPr="00431BFE">
        <w:rPr>
          <w:rFonts w:hint="cs"/>
          <w:rtl/>
        </w:rPr>
        <w:t xml:space="preserve"> </w:t>
      </w:r>
      <w:r>
        <w:rPr>
          <w:rFonts w:hint="cs"/>
          <w:rtl/>
        </w:rPr>
        <w:t>שבסעיף 4א(א) לחוק השבות, אינו כולל את אלמן או אלמנת זכאי השבות.</w:t>
      </w:r>
    </w:p>
    <w:p w:rsidR="00E1330B" w:rsidRPr="00E1330B" w:rsidRDefault="00E1330B" w:rsidP="00AE6D65">
      <w:pPr>
        <w:pStyle w:val="Ruller41"/>
      </w:pPr>
    </w:p>
    <w:p w:rsidR="00872589" w:rsidRDefault="00872589" w:rsidP="00872589">
      <w:pPr>
        <w:pStyle w:val="Ruller41"/>
        <w:rPr>
          <w:rtl/>
        </w:rPr>
      </w:pPr>
    </w:p>
    <w:tbl>
      <w:tblPr>
        <w:bidiVisual/>
        <w:tblW w:w="8363" w:type="dxa"/>
        <w:tblLook w:val="01E0" w:firstRow="1" w:lastRow="1" w:firstColumn="1" w:lastColumn="1" w:noHBand="0" w:noVBand="0"/>
      </w:tblPr>
      <w:tblGrid>
        <w:gridCol w:w="2783"/>
        <w:gridCol w:w="2797"/>
        <w:gridCol w:w="2783"/>
      </w:tblGrid>
      <w:tr w:rsidR="00872589" w:rsidRPr="00267280" w:rsidTr="00F97246">
        <w:tc>
          <w:tcPr>
            <w:tcW w:w="2783" w:type="dxa"/>
            <w:shd w:val="clear" w:color="auto" w:fill="auto"/>
          </w:tcPr>
          <w:p w:rsidR="00872589" w:rsidRPr="00267280" w:rsidRDefault="00872589" w:rsidP="00F97246">
            <w:pPr>
              <w:pStyle w:val="Ruller41"/>
              <w:jc w:val="center"/>
              <w:rPr>
                <w:rtl/>
              </w:rPr>
            </w:pPr>
          </w:p>
        </w:tc>
        <w:tc>
          <w:tcPr>
            <w:tcW w:w="2797" w:type="dxa"/>
            <w:shd w:val="clear" w:color="auto" w:fill="auto"/>
          </w:tcPr>
          <w:p w:rsidR="00872589" w:rsidRPr="00267280" w:rsidRDefault="00872589" w:rsidP="00F97246">
            <w:pPr>
              <w:pStyle w:val="Ruller41"/>
              <w:jc w:val="center"/>
              <w:rPr>
                <w:rtl/>
              </w:rPr>
            </w:pPr>
          </w:p>
        </w:tc>
        <w:tc>
          <w:tcPr>
            <w:tcW w:w="2783" w:type="dxa"/>
            <w:shd w:val="clear" w:color="auto" w:fill="auto"/>
          </w:tcPr>
          <w:p w:rsidR="00872589" w:rsidRPr="00267280" w:rsidRDefault="00872589" w:rsidP="00F97246">
            <w:pPr>
              <w:pStyle w:val="Ruller41"/>
              <w:jc w:val="right"/>
              <w:rPr>
                <w:rtl/>
              </w:rPr>
            </w:pPr>
            <w:r>
              <w:rPr>
                <w:rFonts w:hint="cs"/>
                <w:rtl/>
              </w:rPr>
              <w:t>ש ו פ ט</w:t>
            </w:r>
          </w:p>
        </w:tc>
      </w:tr>
    </w:tbl>
    <w:p w:rsidR="00872589" w:rsidRDefault="00872589" w:rsidP="00872589">
      <w:pPr>
        <w:pStyle w:val="Ruller41"/>
        <w:rPr>
          <w:rtl/>
        </w:rPr>
      </w:pPr>
    </w:p>
    <w:p w:rsidR="00872589" w:rsidRDefault="00872589" w:rsidP="00872589">
      <w:pPr>
        <w:pStyle w:val="Ruller41"/>
        <w:rPr>
          <w:rFonts w:ascii="Century" w:hAnsi="Century" w:cs="Miriam"/>
          <w:b/>
          <w:spacing w:val="0"/>
          <w:szCs w:val="24"/>
          <w:rtl/>
        </w:rPr>
      </w:pPr>
      <w:r w:rsidRPr="00D57E3F">
        <w:rPr>
          <w:rFonts w:ascii="Century" w:hAnsi="Century" w:cs="Miriam" w:hint="cs"/>
          <w:b/>
          <w:spacing w:val="0"/>
          <w:szCs w:val="24"/>
          <w:u w:val="single"/>
          <w:rtl/>
        </w:rPr>
        <w:t>השופט</w:t>
      </w:r>
      <w:r>
        <w:rPr>
          <w:rFonts w:ascii="Century" w:hAnsi="Century" w:cs="Miriam" w:hint="cs"/>
          <w:b/>
          <w:spacing w:val="0"/>
          <w:szCs w:val="24"/>
          <w:u w:val="single"/>
          <w:rtl/>
        </w:rPr>
        <w:t>ת</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(בדימ') ע</w:t>
      </w:r>
      <w:r w:rsidRPr="00D57E3F">
        <w:rPr>
          <w:rFonts w:ascii="Century" w:hAnsi="Century" w:cs="Miriam" w:hint="cs"/>
          <w:b/>
          <w:spacing w:val="0"/>
          <w:szCs w:val="24"/>
          <w:u w:val="single"/>
          <w:rtl/>
        </w:rPr>
        <w:t xml:space="preserve">' </w:t>
      </w:r>
      <w:r>
        <w:rPr>
          <w:rFonts w:ascii="Century" w:hAnsi="Century" w:cs="Miriam" w:hint="cs"/>
          <w:b/>
          <w:spacing w:val="0"/>
          <w:szCs w:val="24"/>
          <w:u w:val="single"/>
          <w:rtl/>
        </w:rPr>
        <w:t>ברון</w:t>
      </w:r>
      <w:r>
        <w:rPr>
          <w:rFonts w:ascii="Century" w:hAnsi="Century" w:cs="Miriam" w:hint="cs"/>
          <w:b/>
          <w:spacing w:val="0"/>
          <w:szCs w:val="24"/>
          <w:rtl/>
        </w:rPr>
        <w:t>:</w:t>
      </w:r>
    </w:p>
    <w:p w:rsidR="00872589" w:rsidRPr="00872589" w:rsidRDefault="00872589" w:rsidP="00872589">
      <w:pPr>
        <w:pStyle w:val="Ruller41"/>
        <w:rPr>
          <w:rFonts w:ascii="Century" w:hAnsi="Century" w:cs="Miriam"/>
          <w:b/>
          <w:spacing w:val="0"/>
          <w:szCs w:val="24"/>
          <w:rtl/>
        </w:rPr>
      </w:pPr>
    </w:p>
    <w:p w:rsidR="00872589" w:rsidRPr="005F340E" w:rsidRDefault="00872589" w:rsidP="00872589">
      <w:pPr>
        <w:pStyle w:val="Ruller41"/>
        <w:rPr>
          <w:rFonts w:ascii="Century" w:hAnsi="Century"/>
          <w:rtl/>
        </w:rPr>
      </w:pPr>
      <w:r>
        <w:rPr>
          <w:rFonts w:hint="cs"/>
          <w:rtl/>
        </w:rPr>
        <w:t>1.</w:t>
      </w:r>
      <w:r>
        <w:rPr>
          <w:rFonts w:hint="cs"/>
          <w:rtl/>
        </w:rPr>
        <w:tab/>
      </w:r>
      <w:r w:rsidRPr="00E967B7">
        <w:rPr>
          <w:rFonts w:hint="cs"/>
          <w:rtl/>
        </w:rPr>
        <w:t xml:space="preserve">במחלוקת שנפלה בין חבריי </w:t>
      </w:r>
      <w:r>
        <w:rPr>
          <w:rFonts w:hint="cs"/>
          <w:rtl/>
        </w:rPr>
        <w:t>ממלא מקום הנשיא</w:t>
      </w:r>
      <w:r w:rsidRPr="005F340E">
        <w:rPr>
          <w:rFonts w:ascii="Century" w:hAnsi="Century" w:hint="cs"/>
          <w:rtl/>
        </w:rPr>
        <w:t xml:space="preserve"> </w:t>
      </w:r>
      <w:r w:rsidRPr="005F340E">
        <w:rPr>
          <w:rFonts w:ascii="Century" w:hAnsi="Century" w:cs="Miriam" w:hint="cs"/>
          <w:b/>
          <w:spacing w:val="0"/>
          <w:szCs w:val="24"/>
          <w:rtl/>
        </w:rPr>
        <w:t>עוזי פוגלמן</w:t>
      </w:r>
      <w:r w:rsidRPr="005F340E">
        <w:rPr>
          <w:rFonts w:ascii="Century" w:hAnsi="Century" w:hint="cs"/>
          <w:rtl/>
        </w:rPr>
        <w:t xml:space="preserve"> והשופט </w:t>
      </w:r>
      <w:r w:rsidRPr="005F340E">
        <w:rPr>
          <w:rFonts w:ascii="Century" w:hAnsi="Century" w:cs="Miriam" w:hint="cs"/>
          <w:b/>
          <w:spacing w:val="0"/>
          <w:szCs w:val="24"/>
          <w:rtl/>
        </w:rPr>
        <w:t>נעם סולברג</w:t>
      </w:r>
      <w:r w:rsidRPr="005F340E">
        <w:rPr>
          <w:rFonts w:ascii="Century" w:hAnsi="Century" w:hint="cs"/>
          <w:rtl/>
        </w:rPr>
        <w:t xml:space="preserve">, דעתי כדעתו של </w:t>
      </w:r>
      <w:r>
        <w:rPr>
          <w:rFonts w:ascii="Century" w:hAnsi="Century" w:hint="cs"/>
          <w:rtl/>
        </w:rPr>
        <w:t>ממלא מקום הנשיא</w:t>
      </w:r>
      <w:r w:rsidRPr="005F340E">
        <w:rPr>
          <w:rFonts w:ascii="Century" w:hAnsi="Century" w:hint="cs"/>
          <w:rtl/>
        </w:rPr>
        <w:t xml:space="preserve"> </w:t>
      </w:r>
      <w:r w:rsidRPr="005F340E">
        <w:rPr>
          <w:rFonts w:ascii="Century" w:hAnsi="Century" w:cs="Miriam" w:hint="cs"/>
          <w:b/>
          <w:spacing w:val="0"/>
          <w:szCs w:val="24"/>
          <w:rtl/>
        </w:rPr>
        <w:t>פוגלמן</w:t>
      </w:r>
      <w:r w:rsidRPr="005F340E">
        <w:rPr>
          <w:rFonts w:ascii="Century" w:hAnsi="Century" w:hint="cs"/>
          <w:rtl/>
        </w:rPr>
        <w:t xml:space="preserve"> ו</w:t>
      </w:r>
      <w:r>
        <w:rPr>
          <w:rFonts w:ascii="Century" w:hAnsi="Century" w:hint="cs"/>
          <w:rtl/>
        </w:rPr>
        <w:t>אני מצטרפת לתוצאה שאליה הגיע ול</w:t>
      </w:r>
      <w:r w:rsidRPr="005F340E">
        <w:rPr>
          <w:rFonts w:ascii="Century" w:hAnsi="Century" w:hint="cs"/>
          <w:rtl/>
        </w:rPr>
        <w:t xml:space="preserve">נימוקיו. עמדתו הפרשנית של </w:t>
      </w:r>
      <w:r>
        <w:rPr>
          <w:rFonts w:ascii="Century" w:hAnsi="Century" w:hint="cs"/>
          <w:rtl/>
        </w:rPr>
        <w:t>ממלא מקום הנשיא</w:t>
      </w:r>
      <w:r w:rsidRPr="005F340E">
        <w:rPr>
          <w:rFonts w:ascii="Century" w:hAnsi="Century" w:hint="cs"/>
          <w:rtl/>
        </w:rPr>
        <w:t xml:space="preserve"> ביחס לסעיף 4א(א) לחוק השבות, התש"י-1950 (להלן: </w:t>
      </w:r>
      <w:r w:rsidRPr="005F340E">
        <w:rPr>
          <w:rFonts w:ascii="Century" w:hAnsi="Century" w:cs="Miriam" w:hint="cs"/>
          <w:b/>
          <w:spacing w:val="0"/>
          <w:szCs w:val="24"/>
          <w:rtl/>
        </w:rPr>
        <w:t>חוק השבות</w:t>
      </w:r>
      <w:r>
        <w:rPr>
          <w:rFonts w:ascii="Century" w:hAnsi="Century" w:hint="cs"/>
          <w:rtl/>
        </w:rPr>
        <w:t xml:space="preserve"> או </w:t>
      </w:r>
      <w:r w:rsidRPr="00F33CCA">
        <w:rPr>
          <w:rFonts w:ascii="Century" w:hAnsi="Century" w:cs="Miriam" w:hint="cs"/>
          <w:b/>
          <w:spacing w:val="0"/>
          <w:szCs w:val="24"/>
          <w:rtl/>
        </w:rPr>
        <w:t>החוק</w:t>
      </w:r>
      <w:r w:rsidRPr="005F340E">
        <w:rPr>
          <w:rFonts w:ascii="Century" w:hAnsi="Century" w:hint="cs"/>
          <w:rtl/>
        </w:rPr>
        <w:t xml:space="preserve">) תואמת את עמדתי כפי שהבעתי אותה בפסק הדין מיום 29.8.2021 שניתן בבג"ץ 1775/19 (להלן: </w:t>
      </w:r>
      <w:r w:rsidRPr="005F340E">
        <w:rPr>
          <w:rFonts w:ascii="Century" w:hAnsi="Century" w:cs="Miriam" w:hint="cs"/>
          <w:b/>
          <w:spacing w:val="0"/>
          <w:szCs w:val="24"/>
          <w:rtl/>
        </w:rPr>
        <w:t>פסק הדין</w:t>
      </w:r>
      <w:r>
        <w:rPr>
          <w:rFonts w:ascii="Century" w:hAnsi="Century" w:hint="cs"/>
          <w:rtl/>
        </w:rPr>
        <w:t xml:space="preserve"> </w:t>
      </w:r>
      <w:r>
        <w:rPr>
          <w:rFonts w:ascii="Century" w:hAnsi="Century" w:cs="Miriam" w:hint="cs"/>
          <w:b/>
          <w:spacing w:val="0"/>
          <w:szCs w:val="24"/>
          <w:rtl/>
        </w:rPr>
        <w:t>נושא הדיון הנוסף</w:t>
      </w:r>
      <w:r w:rsidRPr="005F340E">
        <w:rPr>
          <w:rFonts w:ascii="Century" w:hAnsi="Century" w:hint="cs"/>
          <w:rtl/>
        </w:rPr>
        <w:t>)</w:t>
      </w:r>
      <w:r>
        <w:rPr>
          <w:rFonts w:ascii="Century" w:hAnsi="Century" w:hint="cs"/>
          <w:rtl/>
        </w:rPr>
        <w:t>, ונותרתי בעמדה זו</w:t>
      </w:r>
      <w:r w:rsidRPr="005F340E">
        <w:rPr>
          <w:rFonts w:ascii="Century" w:hAnsi="Century" w:hint="cs"/>
          <w:rtl/>
        </w:rPr>
        <w:t xml:space="preserve"> ג</w:t>
      </w:r>
      <w:r>
        <w:rPr>
          <w:rFonts w:ascii="Century" w:hAnsi="Century" w:hint="cs"/>
          <w:rtl/>
        </w:rPr>
        <w:t xml:space="preserve">ם לאחר הדיון הנוסף שערכנו בפסק </w:t>
      </w:r>
      <w:r w:rsidRPr="005F340E">
        <w:rPr>
          <w:rFonts w:ascii="Century" w:hAnsi="Century" w:hint="cs"/>
          <w:rtl/>
        </w:rPr>
        <w:t>דין</w:t>
      </w:r>
      <w:r>
        <w:rPr>
          <w:rFonts w:ascii="Century" w:hAnsi="Century" w:hint="cs"/>
          <w:rtl/>
        </w:rPr>
        <w:t xml:space="preserve"> זה</w:t>
      </w:r>
      <w:r w:rsidRPr="005F340E">
        <w:rPr>
          <w:rFonts w:ascii="Century" w:hAnsi="Century" w:hint="cs"/>
          <w:rtl/>
        </w:rPr>
        <w:t xml:space="preserve">. </w:t>
      </w:r>
      <w:r>
        <w:rPr>
          <w:rFonts w:ascii="Century" w:hAnsi="Century" w:hint="cs"/>
          <w:rtl/>
        </w:rPr>
        <w:t>חבריי שטחו יריעה רחבה בנוגע לפרשנותו של חוק השבות בכלל ושל סעיף 4א(א) בפרט, ולא אכביר מילים אלא כדי הדרוש לבאר את גישתי</w:t>
      </w:r>
      <w:r w:rsidRPr="005F340E">
        <w:rPr>
          <w:rFonts w:ascii="Century" w:hAnsi="Century" w:hint="cs"/>
          <w:rtl/>
        </w:rPr>
        <w:t xml:space="preserve">. </w:t>
      </w:r>
    </w:p>
    <w:p w:rsidR="00872589" w:rsidRPr="005F340E" w:rsidRDefault="00872589" w:rsidP="00872589">
      <w:pPr>
        <w:pStyle w:val="Ruller41"/>
        <w:rPr>
          <w:rFonts w:ascii="Century" w:hAnsi="Century"/>
          <w:rtl/>
        </w:rPr>
      </w:pPr>
    </w:p>
    <w:p w:rsidR="00872589" w:rsidRDefault="00872589" w:rsidP="00872589">
      <w:pPr>
        <w:pStyle w:val="Ruller41"/>
        <w:rPr>
          <w:rFonts w:ascii="Century" w:hAnsi="Century"/>
          <w:rtl/>
        </w:rPr>
      </w:pPr>
      <w:r w:rsidRPr="005F340E">
        <w:rPr>
          <w:rFonts w:ascii="Century" w:hAnsi="Century" w:hint="cs"/>
          <w:rtl/>
        </w:rPr>
        <w:t>2.</w:t>
      </w:r>
      <w:r w:rsidRPr="005F340E">
        <w:rPr>
          <w:rFonts w:ascii="Century" w:hAnsi="Century" w:hint="cs"/>
          <w:rtl/>
        </w:rPr>
        <w:tab/>
      </w:r>
      <w:r>
        <w:rPr>
          <w:rFonts w:ascii="Century" w:hAnsi="Century" w:hint="cs"/>
          <w:rtl/>
        </w:rPr>
        <w:t xml:space="preserve">סעיף 1 לחוק השבות </w:t>
      </w:r>
      <w:r w:rsidRPr="005F340E">
        <w:rPr>
          <w:rFonts w:ascii="Century" w:hAnsi="Century" w:hint="cs"/>
          <w:rtl/>
        </w:rPr>
        <w:t xml:space="preserve">קובע </w:t>
      </w:r>
      <w:r>
        <w:rPr>
          <w:rFonts w:ascii="Century" w:hAnsi="Century" w:hint="cs"/>
          <w:rtl/>
        </w:rPr>
        <w:t>עקרון יסוד</w:t>
      </w:r>
      <w:r w:rsidRPr="005F340E">
        <w:rPr>
          <w:rFonts w:ascii="Century" w:hAnsi="Century" w:hint="cs"/>
          <w:rtl/>
        </w:rPr>
        <w:t xml:space="preserve"> שלפיו "</w:t>
      </w:r>
      <w:r w:rsidRPr="005F340E">
        <w:rPr>
          <w:rFonts w:ascii="Century" w:hAnsi="Century" w:cs="Miriam" w:hint="eastAsia"/>
          <w:b/>
          <w:spacing w:val="0"/>
          <w:szCs w:val="24"/>
          <w:rtl/>
        </w:rPr>
        <w:t>כל</w:t>
      </w:r>
      <w:r w:rsidRPr="005F340E">
        <w:rPr>
          <w:rFonts w:ascii="Century" w:hAnsi="Century" w:cs="Miriam"/>
          <w:b/>
          <w:spacing w:val="0"/>
          <w:szCs w:val="24"/>
          <w:rtl/>
        </w:rPr>
        <w:t xml:space="preserve"> </w:t>
      </w:r>
      <w:r w:rsidRPr="005F340E">
        <w:rPr>
          <w:rFonts w:ascii="Century" w:hAnsi="Century" w:cs="Miriam" w:hint="eastAsia"/>
          <w:b/>
          <w:spacing w:val="0"/>
          <w:szCs w:val="24"/>
          <w:rtl/>
        </w:rPr>
        <w:t>יהודי</w:t>
      </w:r>
      <w:r w:rsidRPr="005F340E">
        <w:rPr>
          <w:rFonts w:ascii="Century" w:hAnsi="Century" w:cs="Miriam"/>
          <w:b/>
          <w:spacing w:val="0"/>
          <w:szCs w:val="24"/>
          <w:rtl/>
        </w:rPr>
        <w:t xml:space="preserve"> </w:t>
      </w:r>
      <w:r w:rsidRPr="005F340E">
        <w:rPr>
          <w:rFonts w:ascii="Century" w:hAnsi="Century" w:cs="Miriam" w:hint="eastAsia"/>
          <w:b/>
          <w:spacing w:val="0"/>
          <w:szCs w:val="24"/>
          <w:rtl/>
        </w:rPr>
        <w:t>זכאי</w:t>
      </w:r>
      <w:r w:rsidRPr="005F340E">
        <w:rPr>
          <w:rFonts w:ascii="Century" w:hAnsi="Century" w:cs="Miriam"/>
          <w:b/>
          <w:spacing w:val="0"/>
          <w:szCs w:val="24"/>
          <w:rtl/>
        </w:rPr>
        <w:t xml:space="preserve"> </w:t>
      </w:r>
      <w:r w:rsidRPr="005F340E">
        <w:rPr>
          <w:rFonts w:ascii="Century" w:hAnsi="Century" w:cs="Miriam" w:hint="eastAsia"/>
          <w:b/>
          <w:spacing w:val="0"/>
          <w:szCs w:val="24"/>
          <w:rtl/>
        </w:rPr>
        <w:t>לעלות</w:t>
      </w:r>
      <w:r w:rsidRPr="005F340E">
        <w:rPr>
          <w:rFonts w:ascii="Century" w:hAnsi="Century" w:cs="Miriam"/>
          <w:b/>
          <w:spacing w:val="0"/>
          <w:szCs w:val="24"/>
          <w:rtl/>
        </w:rPr>
        <w:t xml:space="preserve"> </w:t>
      </w:r>
      <w:r w:rsidRPr="005F340E">
        <w:rPr>
          <w:rFonts w:ascii="Century" w:hAnsi="Century" w:cs="Miriam" w:hint="eastAsia"/>
          <w:b/>
          <w:spacing w:val="0"/>
          <w:szCs w:val="24"/>
          <w:rtl/>
        </w:rPr>
        <w:t>ארצה</w:t>
      </w:r>
      <w:r w:rsidRPr="005F340E">
        <w:rPr>
          <w:rFonts w:ascii="Century" w:hAnsi="Century" w:hint="cs"/>
          <w:rtl/>
        </w:rPr>
        <w:t>"</w:t>
      </w:r>
      <w:r w:rsidRPr="005F340E">
        <w:rPr>
          <w:rFonts w:ascii="Century" w:hAnsi="Century"/>
          <w:rtl/>
        </w:rPr>
        <w:t>.</w:t>
      </w:r>
      <w:r w:rsidRPr="005F340E">
        <w:rPr>
          <w:rFonts w:ascii="Century" w:hAnsi="Century" w:hint="cs"/>
          <w:rtl/>
        </w:rPr>
        <w:t xml:space="preserve"> </w:t>
      </w:r>
      <w:r>
        <w:rPr>
          <w:rFonts w:ascii="Century" w:hAnsi="Century" w:hint="cs"/>
          <w:rtl/>
        </w:rPr>
        <w:t xml:space="preserve">עקרון זה מבטא את הקשר הבל-יינתק בין כל יהודי ויהודייה באשר הם ובין ארץ ישראל, בבחינת "ושבו בנים לגבולם". </w:t>
      </w:r>
    </w:p>
    <w:p w:rsidR="00872589" w:rsidRDefault="00872589" w:rsidP="00872589">
      <w:pPr>
        <w:pStyle w:val="Ruller41"/>
        <w:rPr>
          <w:rFonts w:ascii="Century" w:hAnsi="Century"/>
          <w:rtl/>
        </w:rPr>
      </w:pPr>
    </w:p>
    <w:p w:rsidR="00872589" w:rsidRPr="005F340E" w:rsidRDefault="00872589" w:rsidP="00872589">
      <w:pPr>
        <w:pStyle w:val="Ruller41"/>
        <w:rPr>
          <w:rFonts w:ascii="Century" w:hAnsi="Century"/>
          <w:rtl/>
        </w:rPr>
      </w:pPr>
      <w:r>
        <w:rPr>
          <w:rFonts w:ascii="Century" w:hAnsi="Century"/>
          <w:rtl/>
        </w:rPr>
        <w:tab/>
      </w:r>
      <w:r>
        <w:rPr>
          <w:rFonts w:ascii="Century" w:hAnsi="Century" w:hint="cs"/>
          <w:rtl/>
        </w:rPr>
        <w:t xml:space="preserve">יש לציין כי בעת חקיקתו של חוק השבות המחוקק לא נדרש לשאלה מיהו יהודי. רק במסגרת תיקון מספר 2 משנת 1970 הוספה לחוק הגדרה </w:t>
      </w:r>
      <w:r w:rsidRPr="006F35E7">
        <w:rPr>
          <w:rFonts w:ascii="Century" w:hAnsi="Century" w:hint="cs"/>
          <w:rtl/>
        </w:rPr>
        <w:t>הלכתית</w:t>
      </w:r>
      <w:r>
        <w:rPr>
          <w:rFonts w:ascii="Century" w:hAnsi="Century" w:hint="cs"/>
          <w:rtl/>
        </w:rPr>
        <w:t xml:space="preserve"> בעיקרה, שלפיה</w:t>
      </w:r>
      <w:r w:rsidRPr="002067FA">
        <w:rPr>
          <w:rFonts w:ascii="Century" w:hAnsi="Century"/>
          <w:rtl/>
        </w:rPr>
        <w:t xml:space="preserve"> "</w:t>
      </w:r>
      <w:r w:rsidRPr="002067FA">
        <w:rPr>
          <w:rFonts w:ascii="Century" w:hAnsi="Century" w:cs="Miriam" w:hint="eastAsia"/>
          <w:b/>
          <w:spacing w:val="0"/>
          <w:szCs w:val="24"/>
          <w:rtl/>
        </w:rPr>
        <w:t>יהודי</w:t>
      </w:r>
      <w:r>
        <w:rPr>
          <w:rFonts w:ascii="Century" w:hAnsi="Century"/>
          <w:rtl/>
        </w:rPr>
        <w:t>"</w:t>
      </w:r>
      <w:r w:rsidRPr="002067FA">
        <w:rPr>
          <w:rFonts w:ascii="Century" w:hAnsi="Century"/>
          <w:rtl/>
        </w:rPr>
        <w:t xml:space="preserve"> </w:t>
      </w:r>
      <w:r>
        <w:rPr>
          <w:rFonts w:ascii="Century" w:hAnsi="Century" w:hint="cs"/>
          <w:rtl/>
        </w:rPr>
        <w:t>הוא "</w:t>
      </w:r>
      <w:r w:rsidRPr="002067FA">
        <w:rPr>
          <w:rFonts w:ascii="Century" w:hAnsi="Century" w:cs="Miriam" w:hint="eastAsia"/>
          <w:b/>
          <w:spacing w:val="0"/>
          <w:szCs w:val="24"/>
          <w:rtl/>
        </w:rPr>
        <w:t>מי</w:t>
      </w:r>
      <w:r w:rsidRPr="002067FA">
        <w:rPr>
          <w:rFonts w:ascii="Century" w:hAnsi="Century" w:cs="Miriam"/>
          <w:b/>
          <w:spacing w:val="0"/>
          <w:szCs w:val="24"/>
          <w:rtl/>
        </w:rPr>
        <w:t xml:space="preserve"> </w:t>
      </w:r>
      <w:r w:rsidRPr="002067FA">
        <w:rPr>
          <w:rFonts w:ascii="Century" w:hAnsi="Century" w:cs="Miriam" w:hint="eastAsia"/>
          <w:b/>
          <w:spacing w:val="0"/>
          <w:szCs w:val="24"/>
          <w:rtl/>
        </w:rPr>
        <w:t>שנולד</w:t>
      </w:r>
      <w:r w:rsidRPr="002067FA">
        <w:rPr>
          <w:rFonts w:ascii="Century" w:hAnsi="Century" w:cs="Miriam"/>
          <w:b/>
          <w:spacing w:val="0"/>
          <w:szCs w:val="24"/>
          <w:rtl/>
        </w:rPr>
        <w:t xml:space="preserve"> </w:t>
      </w:r>
      <w:r w:rsidRPr="002067FA">
        <w:rPr>
          <w:rFonts w:ascii="Century" w:hAnsi="Century" w:cs="Miriam" w:hint="eastAsia"/>
          <w:b/>
          <w:spacing w:val="0"/>
          <w:szCs w:val="24"/>
          <w:rtl/>
        </w:rPr>
        <w:t>לאם</w:t>
      </w:r>
      <w:r w:rsidRPr="002067FA">
        <w:rPr>
          <w:rFonts w:ascii="Century" w:hAnsi="Century" w:cs="Miriam"/>
          <w:b/>
          <w:spacing w:val="0"/>
          <w:szCs w:val="24"/>
          <w:rtl/>
        </w:rPr>
        <w:t xml:space="preserve"> </w:t>
      </w:r>
      <w:r w:rsidRPr="002067FA">
        <w:rPr>
          <w:rFonts w:ascii="Century" w:hAnsi="Century" w:cs="Miriam" w:hint="eastAsia"/>
          <w:b/>
          <w:spacing w:val="0"/>
          <w:szCs w:val="24"/>
          <w:rtl/>
        </w:rPr>
        <w:t>יהודיה</w:t>
      </w:r>
      <w:r w:rsidRPr="002067FA">
        <w:rPr>
          <w:rFonts w:ascii="Century" w:hAnsi="Century" w:cs="Miriam"/>
          <w:b/>
          <w:spacing w:val="0"/>
          <w:szCs w:val="24"/>
          <w:rtl/>
        </w:rPr>
        <w:t xml:space="preserve"> </w:t>
      </w:r>
      <w:r w:rsidRPr="002067FA">
        <w:rPr>
          <w:rFonts w:ascii="Century" w:hAnsi="Century" w:cs="Miriam" w:hint="eastAsia"/>
          <w:b/>
          <w:spacing w:val="0"/>
          <w:szCs w:val="24"/>
          <w:rtl/>
        </w:rPr>
        <w:t>או</w:t>
      </w:r>
      <w:r w:rsidRPr="002067FA">
        <w:rPr>
          <w:rFonts w:ascii="Century" w:hAnsi="Century" w:cs="Miriam"/>
          <w:b/>
          <w:spacing w:val="0"/>
          <w:szCs w:val="24"/>
          <w:rtl/>
        </w:rPr>
        <w:t xml:space="preserve"> </w:t>
      </w:r>
      <w:r w:rsidRPr="002067FA">
        <w:rPr>
          <w:rFonts w:ascii="Century" w:hAnsi="Century" w:cs="Miriam" w:hint="eastAsia"/>
          <w:b/>
          <w:spacing w:val="0"/>
          <w:szCs w:val="24"/>
          <w:rtl/>
        </w:rPr>
        <w:t>שנתגייר</w:t>
      </w:r>
      <w:r w:rsidRPr="002067FA">
        <w:rPr>
          <w:rFonts w:ascii="Century" w:hAnsi="Century" w:cs="Miriam"/>
          <w:b/>
          <w:spacing w:val="0"/>
          <w:szCs w:val="24"/>
          <w:rtl/>
        </w:rPr>
        <w:t xml:space="preserve">, </w:t>
      </w:r>
      <w:r w:rsidRPr="002067FA">
        <w:rPr>
          <w:rFonts w:ascii="Century" w:hAnsi="Century" w:cs="Miriam" w:hint="eastAsia"/>
          <w:b/>
          <w:spacing w:val="0"/>
          <w:szCs w:val="24"/>
          <w:rtl/>
        </w:rPr>
        <w:t>והוא</w:t>
      </w:r>
      <w:r w:rsidRPr="002067FA">
        <w:rPr>
          <w:rFonts w:ascii="Century" w:hAnsi="Century" w:cs="Miriam"/>
          <w:b/>
          <w:spacing w:val="0"/>
          <w:szCs w:val="24"/>
          <w:rtl/>
        </w:rPr>
        <w:t xml:space="preserve"> </w:t>
      </w:r>
      <w:r w:rsidRPr="002067FA">
        <w:rPr>
          <w:rFonts w:ascii="Century" w:hAnsi="Century" w:cs="Miriam" w:hint="eastAsia"/>
          <w:b/>
          <w:spacing w:val="0"/>
          <w:szCs w:val="24"/>
          <w:rtl/>
        </w:rPr>
        <w:t>אינו</w:t>
      </w:r>
      <w:r w:rsidRPr="002067FA">
        <w:rPr>
          <w:rFonts w:ascii="Century" w:hAnsi="Century" w:cs="Miriam"/>
          <w:b/>
          <w:spacing w:val="0"/>
          <w:szCs w:val="24"/>
          <w:rtl/>
        </w:rPr>
        <w:t xml:space="preserve"> </w:t>
      </w:r>
      <w:r w:rsidRPr="002067FA">
        <w:rPr>
          <w:rFonts w:ascii="Century" w:hAnsi="Century" w:cs="Miriam" w:hint="eastAsia"/>
          <w:b/>
          <w:spacing w:val="0"/>
          <w:szCs w:val="24"/>
          <w:rtl/>
        </w:rPr>
        <w:t>בן</w:t>
      </w:r>
      <w:r w:rsidRPr="002067FA">
        <w:rPr>
          <w:rFonts w:ascii="Century" w:hAnsi="Century" w:cs="Miriam"/>
          <w:b/>
          <w:spacing w:val="0"/>
          <w:szCs w:val="24"/>
          <w:rtl/>
        </w:rPr>
        <w:t xml:space="preserve"> </w:t>
      </w:r>
      <w:r w:rsidRPr="002067FA">
        <w:rPr>
          <w:rFonts w:ascii="Century" w:hAnsi="Century" w:cs="Miriam" w:hint="eastAsia"/>
          <w:b/>
          <w:spacing w:val="0"/>
          <w:szCs w:val="24"/>
          <w:rtl/>
        </w:rPr>
        <w:t>דת</w:t>
      </w:r>
      <w:r w:rsidRPr="002067FA">
        <w:rPr>
          <w:rFonts w:ascii="Century" w:hAnsi="Century" w:cs="Miriam"/>
          <w:b/>
          <w:spacing w:val="0"/>
          <w:szCs w:val="24"/>
          <w:rtl/>
        </w:rPr>
        <w:t xml:space="preserve"> </w:t>
      </w:r>
      <w:r w:rsidRPr="002067FA">
        <w:rPr>
          <w:rFonts w:ascii="Century" w:hAnsi="Century" w:cs="Miriam" w:hint="eastAsia"/>
          <w:b/>
          <w:spacing w:val="0"/>
          <w:szCs w:val="24"/>
          <w:rtl/>
        </w:rPr>
        <w:t>אחרת</w:t>
      </w:r>
      <w:r>
        <w:rPr>
          <w:rFonts w:ascii="Century" w:hAnsi="Century" w:hint="cs"/>
          <w:rtl/>
        </w:rPr>
        <w:t xml:space="preserve">" (סעיף 4ב לחוק השבות; להלן: </w:t>
      </w:r>
      <w:r w:rsidRPr="007F5849">
        <w:rPr>
          <w:rFonts w:ascii="Century" w:hAnsi="Century" w:cs="Miriam" w:hint="cs"/>
          <w:b/>
          <w:spacing w:val="0"/>
          <w:szCs w:val="24"/>
          <w:rtl/>
        </w:rPr>
        <w:t>ההגדרה ההלכתית</w:t>
      </w:r>
      <w:r>
        <w:rPr>
          <w:rFonts w:ascii="Century" w:hAnsi="Century" w:hint="cs"/>
          <w:rtl/>
        </w:rPr>
        <w:t>)</w:t>
      </w:r>
      <w:r w:rsidRPr="002067FA">
        <w:rPr>
          <w:rFonts w:ascii="Century" w:hAnsi="Century"/>
          <w:rtl/>
        </w:rPr>
        <w:t>.</w:t>
      </w:r>
      <w:r>
        <w:rPr>
          <w:rFonts w:ascii="Century" w:hAnsi="Century" w:hint="cs"/>
          <w:rtl/>
        </w:rPr>
        <w:t xml:space="preserve"> אולם בד בבד, במסגרת אותו תיקון לחוק, הבהיר המחוקק כי זכות השבות נתונה אף לבני משפחה של יהודי </w:t>
      </w:r>
      <w:r w:rsidRPr="00E967B7">
        <w:rPr>
          <w:rFonts w:ascii="Century" w:hAnsi="Century" w:cs="Miriam" w:hint="cs"/>
          <w:b/>
          <w:spacing w:val="0"/>
          <w:szCs w:val="24"/>
          <w:rtl/>
        </w:rPr>
        <w:t>שאינם</w:t>
      </w:r>
      <w:r w:rsidRPr="00E967B7">
        <w:rPr>
          <w:rFonts w:ascii="Century" w:hAnsi="Century" w:hint="cs"/>
          <w:rtl/>
        </w:rPr>
        <w:t xml:space="preserve"> </w:t>
      </w:r>
      <w:r>
        <w:rPr>
          <w:rFonts w:ascii="Century" w:hAnsi="Century" w:hint="cs"/>
          <w:rtl/>
        </w:rPr>
        <w:t xml:space="preserve">עונים על ההגדרה ההלכתית: </w:t>
      </w:r>
    </w:p>
    <w:p w:rsidR="00872589" w:rsidRDefault="00872589" w:rsidP="00872589">
      <w:pPr>
        <w:pStyle w:val="Ruller41"/>
        <w:spacing w:line="240" w:lineRule="auto"/>
        <w:rPr>
          <w:rtl/>
        </w:rPr>
      </w:pPr>
    </w:p>
    <w:p w:rsidR="00872589" w:rsidRPr="007F5849" w:rsidRDefault="00872589" w:rsidP="00872589">
      <w:pPr>
        <w:pStyle w:val="Ruller5"/>
        <w:rPr>
          <w:rFonts w:ascii="Century" w:hAnsi="Century"/>
          <w:rtl/>
        </w:rPr>
      </w:pPr>
      <w:r w:rsidRPr="0047144E">
        <w:rPr>
          <w:rFonts w:ascii="Century" w:hAnsi="Century" w:cs="Miriam" w:hint="eastAsia"/>
          <w:b/>
          <w:spacing w:val="0"/>
          <w:szCs w:val="24"/>
          <w:rtl/>
        </w:rPr>
        <w:t>הזכויות</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לפי</w:t>
      </w:r>
      <w:r w:rsidRPr="0047144E">
        <w:rPr>
          <w:rFonts w:ascii="Century" w:hAnsi="Century" w:cs="Miriam"/>
          <w:b/>
          <w:spacing w:val="0"/>
          <w:szCs w:val="24"/>
          <w:rtl/>
        </w:rPr>
        <w:t xml:space="preserve"> </w:t>
      </w:r>
      <w:r w:rsidRPr="0047144E">
        <w:rPr>
          <w:rFonts w:ascii="Century" w:hAnsi="Century" w:cs="Miriam" w:hint="eastAsia"/>
          <w:b/>
          <w:spacing w:val="0"/>
          <w:szCs w:val="24"/>
          <w:rtl/>
        </w:rPr>
        <w:t>חוק</w:t>
      </w:r>
      <w:r w:rsidRPr="0047144E">
        <w:rPr>
          <w:rFonts w:ascii="Century" w:hAnsi="Century" w:cs="Miriam"/>
          <w:b/>
          <w:spacing w:val="0"/>
          <w:szCs w:val="24"/>
          <w:rtl/>
        </w:rPr>
        <w:t xml:space="preserve"> </w:t>
      </w:r>
      <w:r w:rsidRPr="0047144E">
        <w:rPr>
          <w:rFonts w:ascii="Century" w:hAnsi="Century" w:cs="Miriam" w:hint="eastAsia"/>
          <w:b/>
          <w:spacing w:val="0"/>
          <w:szCs w:val="24"/>
          <w:rtl/>
        </w:rPr>
        <w:t>זה</w:t>
      </w:r>
      <w:r w:rsidRPr="0047144E">
        <w:rPr>
          <w:rFonts w:ascii="Century" w:hAnsi="Century" w:cs="Miriam"/>
          <w:b/>
          <w:spacing w:val="0"/>
          <w:szCs w:val="24"/>
          <w:rtl/>
        </w:rPr>
        <w:t xml:space="preserve"> </w:t>
      </w:r>
      <w:r w:rsidRPr="0047144E">
        <w:rPr>
          <w:rFonts w:ascii="Century" w:hAnsi="Century" w:cs="Miriam" w:hint="eastAsia"/>
          <w:b/>
          <w:spacing w:val="0"/>
          <w:szCs w:val="24"/>
          <w:rtl/>
        </w:rPr>
        <w:t>והזכויות</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עולה</w:t>
      </w:r>
      <w:r w:rsidRPr="0047144E">
        <w:rPr>
          <w:rFonts w:ascii="Century" w:hAnsi="Century" w:cs="Miriam"/>
          <w:b/>
          <w:spacing w:val="0"/>
          <w:szCs w:val="24"/>
          <w:rtl/>
        </w:rPr>
        <w:t xml:space="preserve"> </w:t>
      </w:r>
      <w:r w:rsidRPr="0047144E">
        <w:rPr>
          <w:rFonts w:ascii="Century" w:hAnsi="Century" w:cs="Miriam" w:hint="eastAsia"/>
          <w:b/>
          <w:spacing w:val="0"/>
          <w:szCs w:val="24"/>
          <w:rtl/>
        </w:rPr>
        <w:t>לפי</w:t>
      </w:r>
      <w:r w:rsidRPr="0047144E">
        <w:rPr>
          <w:rFonts w:ascii="Century" w:hAnsi="Century" w:cs="Miriam"/>
          <w:b/>
          <w:spacing w:val="0"/>
          <w:szCs w:val="24"/>
          <w:rtl/>
        </w:rPr>
        <w:t xml:space="preserve"> </w:t>
      </w:r>
      <w:r w:rsidRPr="0047144E">
        <w:rPr>
          <w:rFonts w:ascii="Century" w:hAnsi="Century" w:cs="Miriam" w:hint="eastAsia"/>
          <w:b/>
          <w:spacing w:val="0"/>
          <w:szCs w:val="24"/>
          <w:rtl/>
        </w:rPr>
        <w:t>חוק</w:t>
      </w:r>
      <w:r w:rsidRPr="0047144E">
        <w:rPr>
          <w:rFonts w:ascii="Century" w:hAnsi="Century" w:cs="Miriam"/>
          <w:b/>
          <w:spacing w:val="0"/>
          <w:szCs w:val="24"/>
          <w:rtl/>
        </w:rPr>
        <w:t xml:space="preserve"> </w:t>
      </w:r>
      <w:r w:rsidRPr="0047144E">
        <w:rPr>
          <w:rFonts w:ascii="Century" w:hAnsi="Century" w:cs="Miriam" w:hint="eastAsia"/>
          <w:b/>
          <w:spacing w:val="0"/>
          <w:szCs w:val="24"/>
          <w:rtl/>
        </w:rPr>
        <w:t>האזרחות</w:t>
      </w:r>
      <w:r w:rsidRPr="0047144E">
        <w:rPr>
          <w:rFonts w:ascii="Century" w:hAnsi="Century" w:cs="Miriam"/>
          <w:b/>
          <w:spacing w:val="0"/>
          <w:szCs w:val="24"/>
          <w:rtl/>
        </w:rPr>
        <w:t xml:space="preserve">, </w:t>
      </w:r>
      <w:r w:rsidRPr="0047144E">
        <w:rPr>
          <w:rFonts w:ascii="Century" w:hAnsi="Century" w:cs="Miriam" w:hint="eastAsia"/>
          <w:b/>
          <w:spacing w:val="0"/>
          <w:szCs w:val="24"/>
          <w:rtl/>
        </w:rPr>
        <w:t>תשי</w:t>
      </w:r>
      <w:r w:rsidRPr="0047144E">
        <w:rPr>
          <w:rFonts w:ascii="Century" w:hAnsi="Century" w:cs="Miriam"/>
          <w:b/>
          <w:spacing w:val="0"/>
          <w:szCs w:val="24"/>
          <w:rtl/>
        </w:rPr>
        <w:t>"</w:t>
      </w:r>
      <w:r w:rsidRPr="0047144E">
        <w:rPr>
          <w:rFonts w:ascii="Century" w:hAnsi="Century" w:cs="Miriam" w:hint="eastAsia"/>
          <w:b/>
          <w:spacing w:val="0"/>
          <w:szCs w:val="24"/>
          <w:rtl/>
        </w:rPr>
        <w:t>ב</w:t>
      </w:r>
      <w:r w:rsidRPr="0047144E">
        <w:rPr>
          <w:rFonts w:ascii="Century" w:hAnsi="Century" w:cs="Miriam"/>
          <w:b/>
          <w:spacing w:val="0"/>
          <w:szCs w:val="24"/>
          <w:rtl/>
        </w:rPr>
        <w:t xml:space="preserve">-1952, </w:t>
      </w:r>
      <w:r w:rsidRPr="0047144E">
        <w:rPr>
          <w:rFonts w:ascii="Century" w:hAnsi="Century" w:cs="Miriam" w:hint="eastAsia"/>
          <w:b/>
          <w:spacing w:val="0"/>
          <w:szCs w:val="24"/>
          <w:rtl/>
        </w:rPr>
        <w:t>וכן</w:t>
      </w:r>
      <w:r w:rsidRPr="0047144E">
        <w:rPr>
          <w:rFonts w:ascii="Century" w:hAnsi="Century" w:cs="Miriam"/>
          <w:b/>
          <w:spacing w:val="0"/>
          <w:szCs w:val="24"/>
          <w:rtl/>
        </w:rPr>
        <w:t xml:space="preserve"> </w:t>
      </w:r>
      <w:r w:rsidRPr="0047144E">
        <w:rPr>
          <w:rFonts w:ascii="Century" w:hAnsi="Century" w:cs="Miriam" w:hint="eastAsia"/>
          <w:b/>
          <w:spacing w:val="0"/>
          <w:szCs w:val="24"/>
          <w:rtl/>
        </w:rPr>
        <w:t>הזכויות</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עולה</w:t>
      </w:r>
      <w:r w:rsidRPr="0047144E">
        <w:rPr>
          <w:rFonts w:ascii="Century" w:hAnsi="Century" w:cs="Miriam"/>
          <w:b/>
          <w:spacing w:val="0"/>
          <w:szCs w:val="24"/>
          <w:rtl/>
        </w:rPr>
        <w:t xml:space="preserve"> </w:t>
      </w:r>
      <w:r w:rsidRPr="0047144E">
        <w:rPr>
          <w:rFonts w:ascii="Century" w:hAnsi="Century" w:cs="Miriam" w:hint="eastAsia"/>
          <w:b/>
          <w:spacing w:val="0"/>
          <w:szCs w:val="24"/>
          <w:rtl/>
        </w:rPr>
        <w:t>לפי</w:t>
      </w:r>
      <w:r w:rsidRPr="0047144E">
        <w:rPr>
          <w:rFonts w:ascii="Century" w:hAnsi="Century" w:cs="Miriam"/>
          <w:b/>
          <w:spacing w:val="0"/>
          <w:szCs w:val="24"/>
          <w:rtl/>
        </w:rPr>
        <w:t xml:space="preserve"> </w:t>
      </w:r>
      <w:r w:rsidRPr="0047144E">
        <w:rPr>
          <w:rFonts w:ascii="Century" w:hAnsi="Century" w:cs="Miriam" w:hint="eastAsia"/>
          <w:b/>
          <w:spacing w:val="0"/>
          <w:szCs w:val="24"/>
          <w:rtl/>
        </w:rPr>
        <w:t>כל</w:t>
      </w:r>
      <w:r w:rsidRPr="0047144E">
        <w:rPr>
          <w:rFonts w:ascii="Century" w:hAnsi="Century" w:cs="Miriam"/>
          <w:b/>
          <w:spacing w:val="0"/>
          <w:szCs w:val="24"/>
          <w:rtl/>
        </w:rPr>
        <w:t xml:space="preserve"> </w:t>
      </w:r>
      <w:r w:rsidRPr="0047144E">
        <w:rPr>
          <w:rFonts w:ascii="Century" w:hAnsi="Century" w:cs="Miriam" w:hint="eastAsia"/>
          <w:b/>
          <w:spacing w:val="0"/>
          <w:szCs w:val="24"/>
          <w:rtl/>
        </w:rPr>
        <w:t>חיקוק</w:t>
      </w:r>
      <w:r w:rsidRPr="0047144E">
        <w:rPr>
          <w:rFonts w:ascii="Century" w:hAnsi="Century" w:cs="Miriam"/>
          <w:b/>
          <w:spacing w:val="0"/>
          <w:szCs w:val="24"/>
          <w:rtl/>
        </w:rPr>
        <w:t xml:space="preserve"> </w:t>
      </w:r>
      <w:r w:rsidRPr="0047144E">
        <w:rPr>
          <w:rFonts w:ascii="Century" w:hAnsi="Century" w:cs="Miriam" w:hint="eastAsia"/>
          <w:b/>
          <w:spacing w:val="0"/>
          <w:szCs w:val="24"/>
          <w:rtl/>
        </w:rPr>
        <w:t>אחר</w:t>
      </w:r>
      <w:r w:rsidRPr="0047144E">
        <w:rPr>
          <w:rFonts w:ascii="Century" w:hAnsi="Century" w:cs="Miriam"/>
          <w:b/>
          <w:spacing w:val="0"/>
          <w:szCs w:val="24"/>
          <w:rtl/>
        </w:rPr>
        <w:t xml:space="preserve">, </w:t>
      </w:r>
      <w:r w:rsidRPr="0047144E">
        <w:rPr>
          <w:rFonts w:ascii="Century" w:hAnsi="Century" w:cs="Miriam" w:hint="eastAsia"/>
          <w:b/>
          <w:spacing w:val="0"/>
          <w:szCs w:val="24"/>
          <w:rtl/>
        </w:rPr>
        <w:t>מוקנות</w:t>
      </w:r>
      <w:r w:rsidRPr="0047144E">
        <w:rPr>
          <w:rFonts w:ascii="Century" w:hAnsi="Century" w:cs="Miriam"/>
          <w:b/>
          <w:spacing w:val="0"/>
          <w:szCs w:val="24"/>
          <w:rtl/>
        </w:rPr>
        <w:t xml:space="preserve"> </w:t>
      </w:r>
      <w:r w:rsidRPr="0047144E">
        <w:rPr>
          <w:rFonts w:ascii="Century" w:hAnsi="Century" w:cs="Miriam" w:hint="eastAsia"/>
          <w:b/>
          <w:spacing w:val="0"/>
          <w:szCs w:val="24"/>
          <w:rtl/>
        </w:rPr>
        <w:t>גם</w:t>
      </w:r>
      <w:r w:rsidRPr="0047144E">
        <w:rPr>
          <w:rFonts w:ascii="Century" w:hAnsi="Century" w:cs="Miriam"/>
          <w:b/>
          <w:spacing w:val="0"/>
          <w:szCs w:val="24"/>
          <w:rtl/>
        </w:rPr>
        <w:t xml:space="preserve"> </w:t>
      </w:r>
      <w:r w:rsidRPr="0047144E">
        <w:rPr>
          <w:rFonts w:ascii="Century" w:hAnsi="Century" w:cs="Miriam" w:hint="eastAsia"/>
          <w:b/>
          <w:spacing w:val="0"/>
          <w:szCs w:val="24"/>
          <w:rtl/>
        </w:rPr>
        <w:t>לילד</w:t>
      </w:r>
      <w:r w:rsidRPr="0047144E">
        <w:rPr>
          <w:rFonts w:ascii="Century" w:hAnsi="Century" w:cs="Miriam"/>
          <w:b/>
          <w:spacing w:val="0"/>
          <w:szCs w:val="24"/>
          <w:rtl/>
        </w:rPr>
        <w:t xml:space="preserve"> </w:t>
      </w:r>
      <w:r w:rsidRPr="0047144E">
        <w:rPr>
          <w:rFonts w:ascii="Century" w:hAnsi="Century" w:cs="Miriam" w:hint="eastAsia"/>
          <w:b/>
          <w:spacing w:val="0"/>
          <w:szCs w:val="24"/>
          <w:rtl/>
        </w:rPr>
        <w:t>ולנכד</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לבן</w:t>
      </w:r>
      <w:r w:rsidRPr="0047144E">
        <w:rPr>
          <w:rFonts w:ascii="Century" w:hAnsi="Century" w:cs="Miriam"/>
          <w:b/>
          <w:spacing w:val="0"/>
          <w:szCs w:val="24"/>
          <w:rtl/>
        </w:rPr>
        <w:t xml:space="preserve"> </w:t>
      </w:r>
      <w:r w:rsidRPr="0047144E">
        <w:rPr>
          <w:rFonts w:ascii="Century" w:hAnsi="Century" w:cs="Miriam" w:hint="eastAsia"/>
          <w:b/>
          <w:spacing w:val="0"/>
          <w:szCs w:val="24"/>
          <w:rtl/>
        </w:rPr>
        <w:t>זוג</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ולבן</w:t>
      </w:r>
      <w:r w:rsidRPr="0047144E">
        <w:rPr>
          <w:rFonts w:ascii="Century" w:hAnsi="Century" w:cs="Miriam"/>
          <w:b/>
          <w:spacing w:val="0"/>
          <w:szCs w:val="24"/>
          <w:rtl/>
        </w:rPr>
        <w:t xml:space="preserve"> </w:t>
      </w:r>
      <w:r w:rsidRPr="0047144E">
        <w:rPr>
          <w:rFonts w:ascii="Century" w:hAnsi="Century" w:cs="Miriam" w:hint="eastAsia"/>
          <w:b/>
          <w:spacing w:val="0"/>
          <w:szCs w:val="24"/>
          <w:rtl/>
        </w:rPr>
        <w:t>זוג</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ילד</w:t>
      </w:r>
      <w:r w:rsidRPr="0047144E">
        <w:rPr>
          <w:rFonts w:ascii="Century" w:hAnsi="Century" w:cs="Miriam"/>
          <w:b/>
          <w:spacing w:val="0"/>
          <w:szCs w:val="24"/>
          <w:rtl/>
        </w:rPr>
        <w:t xml:space="preserve"> </w:t>
      </w:r>
      <w:r w:rsidRPr="0047144E">
        <w:rPr>
          <w:rFonts w:ascii="Century" w:hAnsi="Century" w:cs="Miriam" w:hint="eastAsia"/>
          <w:b/>
          <w:spacing w:val="0"/>
          <w:szCs w:val="24"/>
          <w:rtl/>
        </w:rPr>
        <w:t>ושל</w:t>
      </w:r>
      <w:r w:rsidRPr="0047144E">
        <w:rPr>
          <w:rFonts w:ascii="Century" w:hAnsi="Century" w:cs="Miriam"/>
          <w:b/>
          <w:spacing w:val="0"/>
          <w:szCs w:val="24"/>
          <w:rtl/>
        </w:rPr>
        <w:t xml:space="preserve"> </w:t>
      </w:r>
      <w:r w:rsidRPr="0047144E">
        <w:rPr>
          <w:rFonts w:ascii="Century" w:hAnsi="Century" w:cs="Miriam" w:hint="eastAsia"/>
          <w:b/>
          <w:spacing w:val="0"/>
          <w:szCs w:val="24"/>
          <w:rtl/>
        </w:rPr>
        <w:t>נכד</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להוציא</w:t>
      </w:r>
      <w:r w:rsidRPr="0047144E">
        <w:rPr>
          <w:rFonts w:ascii="Century" w:hAnsi="Century" w:cs="Miriam"/>
          <w:b/>
          <w:spacing w:val="0"/>
          <w:szCs w:val="24"/>
          <w:rtl/>
        </w:rPr>
        <w:t xml:space="preserve"> </w:t>
      </w:r>
      <w:r w:rsidRPr="0047144E">
        <w:rPr>
          <w:rFonts w:ascii="Century" w:hAnsi="Century" w:cs="Miriam" w:hint="eastAsia"/>
          <w:b/>
          <w:spacing w:val="0"/>
          <w:szCs w:val="24"/>
          <w:rtl/>
        </w:rPr>
        <w:t>אדם</w:t>
      </w:r>
      <w:r w:rsidRPr="0047144E">
        <w:rPr>
          <w:rFonts w:ascii="Century" w:hAnsi="Century" w:cs="Miriam"/>
          <w:b/>
          <w:spacing w:val="0"/>
          <w:szCs w:val="24"/>
          <w:rtl/>
        </w:rPr>
        <w:t xml:space="preserve"> </w:t>
      </w:r>
      <w:r w:rsidRPr="0047144E">
        <w:rPr>
          <w:rFonts w:ascii="Century" w:hAnsi="Century" w:cs="Miriam" w:hint="eastAsia"/>
          <w:b/>
          <w:spacing w:val="0"/>
          <w:szCs w:val="24"/>
          <w:rtl/>
        </w:rPr>
        <w:t>שהיה</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sidRPr="0047144E">
        <w:rPr>
          <w:rFonts w:ascii="Century" w:hAnsi="Century" w:cs="Miriam"/>
          <w:b/>
          <w:spacing w:val="0"/>
          <w:szCs w:val="24"/>
          <w:rtl/>
        </w:rPr>
        <w:t xml:space="preserve"> </w:t>
      </w:r>
      <w:r w:rsidRPr="0047144E">
        <w:rPr>
          <w:rFonts w:ascii="Century" w:hAnsi="Century" w:cs="Miriam" w:hint="eastAsia"/>
          <w:b/>
          <w:spacing w:val="0"/>
          <w:szCs w:val="24"/>
          <w:rtl/>
        </w:rPr>
        <w:t>והמיר</w:t>
      </w:r>
      <w:r w:rsidRPr="0047144E">
        <w:rPr>
          <w:rFonts w:ascii="Century" w:hAnsi="Century" w:cs="Miriam"/>
          <w:b/>
          <w:spacing w:val="0"/>
          <w:szCs w:val="24"/>
          <w:rtl/>
        </w:rPr>
        <w:t xml:space="preserve"> </w:t>
      </w:r>
      <w:r w:rsidRPr="0047144E">
        <w:rPr>
          <w:rFonts w:ascii="Century" w:hAnsi="Century" w:cs="Miriam" w:hint="eastAsia"/>
          <w:b/>
          <w:spacing w:val="0"/>
          <w:szCs w:val="24"/>
          <w:rtl/>
        </w:rPr>
        <w:t>דתו</w:t>
      </w:r>
      <w:r w:rsidRPr="0047144E">
        <w:rPr>
          <w:rFonts w:ascii="Century" w:hAnsi="Century" w:cs="Miriam"/>
          <w:b/>
          <w:spacing w:val="0"/>
          <w:szCs w:val="24"/>
          <w:rtl/>
        </w:rPr>
        <w:t xml:space="preserve"> </w:t>
      </w:r>
      <w:r w:rsidRPr="0047144E">
        <w:rPr>
          <w:rFonts w:ascii="Century" w:hAnsi="Century" w:cs="Miriam" w:hint="eastAsia"/>
          <w:b/>
          <w:spacing w:val="0"/>
          <w:szCs w:val="24"/>
          <w:rtl/>
        </w:rPr>
        <w:t>מרצון</w:t>
      </w:r>
      <w:r w:rsidRPr="0047144E">
        <w:rPr>
          <w:rFonts w:ascii="Century" w:hAnsi="Century" w:cs="Miriam"/>
          <w:b/>
          <w:spacing w:val="0"/>
          <w:szCs w:val="24"/>
          <w:rtl/>
        </w:rPr>
        <w:t>.</w:t>
      </w:r>
      <w:r>
        <w:rPr>
          <w:rFonts w:ascii="Century" w:hAnsi="Century" w:cs="Miriam" w:hint="cs"/>
          <w:b/>
          <w:spacing w:val="0"/>
          <w:szCs w:val="24"/>
          <w:rtl/>
        </w:rPr>
        <w:t xml:space="preserve"> (</w:t>
      </w:r>
      <w:r w:rsidRPr="005F340E">
        <w:rPr>
          <w:rFonts w:ascii="Century" w:hAnsi="Century" w:hint="cs"/>
          <w:rtl/>
        </w:rPr>
        <w:t>סעיף 4א(א) לחוק השבות</w:t>
      </w:r>
      <w:r>
        <w:rPr>
          <w:rFonts w:ascii="Century" w:hAnsi="Century" w:hint="cs"/>
          <w:rtl/>
        </w:rPr>
        <w:t>).</w:t>
      </w:r>
    </w:p>
    <w:p w:rsidR="00872589" w:rsidRPr="005F340E" w:rsidRDefault="00872589" w:rsidP="00872589">
      <w:pPr>
        <w:pStyle w:val="Ruller41"/>
        <w:rPr>
          <w:rFonts w:ascii="Century" w:hAnsi="Century"/>
          <w:rtl/>
        </w:rPr>
      </w:pPr>
      <w:r w:rsidRPr="005F340E">
        <w:rPr>
          <w:rFonts w:ascii="Century" w:hAnsi="Century"/>
          <w:rtl/>
        </w:rPr>
        <w:lastRenderedPageBreak/>
        <w:tab/>
      </w: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בהתאם להוראה זו, זכות השבות נתונה לבן זוג של "יהודי"; לילדו; לנכדו; לבן הזוג של הילד; ולבן הזוג של הנכד (יחדיו יכונו להלן: </w:t>
      </w:r>
      <w:r w:rsidRPr="00782272">
        <w:rPr>
          <w:rFonts w:ascii="Century" w:hAnsi="Century" w:cs="Miriam" w:hint="cs"/>
          <w:b/>
          <w:spacing w:val="0"/>
          <w:szCs w:val="24"/>
          <w:rtl/>
        </w:rPr>
        <w:t>זכאי השבות</w:t>
      </w:r>
      <w:r>
        <w:rPr>
          <w:rFonts w:ascii="Century" w:hAnsi="Century" w:hint="cs"/>
          <w:rtl/>
        </w:rPr>
        <w:t xml:space="preserve">). בהמשך לכך, המחוקק הוסיף והבהיר בסעיף 4א(ב) לחוק כי זכות השבות הנתונה לזכאי השבות היא זכות </w:t>
      </w:r>
      <w:r w:rsidRPr="00E967B7">
        <w:rPr>
          <w:rFonts w:ascii="Century" w:hAnsi="Century" w:cs="Miriam" w:hint="cs"/>
          <w:b/>
          <w:spacing w:val="0"/>
          <w:szCs w:val="24"/>
          <w:rtl/>
        </w:rPr>
        <w:t>עצמאית</w:t>
      </w:r>
      <w:r>
        <w:rPr>
          <w:rFonts w:ascii="Century" w:hAnsi="Century" w:hint="cs"/>
          <w:rtl/>
        </w:rPr>
        <w:t>, שאינה תלויה בשאלה אם ה"יהודי" בן משפחתם מימש את זכות השבות הנתונה לו אם לאו: "</w:t>
      </w:r>
      <w:r w:rsidRPr="00E967B7">
        <w:rPr>
          <w:rFonts w:ascii="Century" w:hAnsi="Century" w:cs="Miriam" w:hint="eastAsia"/>
          <w:b/>
          <w:spacing w:val="0"/>
          <w:szCs w:val="24"/>
          <w:rtl/>
        </w:rPr>
        <w:t>אין</w:t>
      </w:r>
      <w:r w:rsidRPr="00E967B7">
        <w:rPr>
          <w:rFonts w:ascii="Century" w:hAnsi="Century" w:cs="Miriam"/>
          <w:b/>
          <w:spacing w:val="0"/>
          <w:szCs w:val="24"/>
          <w:rtl/>
        </w:rPr>
        <w:t xml:space="preserve"> </w:t>
      </w:r>
      <w:r w:rsidRPr="00E967B7">
        <w:rPr>
          <w:rFonts w:ascii="Century" w:hAnsi="Century" w:cs="Miriam" w:hint="eastAsia"/>
          <w:b/>
          <w:spacing w:val="0"/>
          <w:szCs w:val="24"/>
          <w:rtl/>
        </w:rPr>
        <w:t>נפקא</w:t>
      </w:r>
      <w:r w:rsidRPr="00E967B7">
        <w:rPr>
          <w:rFonts w:ascii="Century" w:hAnsi="Century" w:cs="Miriam"/>
          <w:b/>
          <w:spacing w:val="0"/>
          <w:szCs w:val="24"/>
          <w:rtl/>
        </w:rPr>
        <w:t xml:space="preserve"> </w:t>
      </w:r>
      <w:r w:rsidRPr="00E967B7">
        <w:rPr>
          <w:rFonts w:ascii="Century" w:hAnsi="Century" w:cs="Miriam" w:hint="eastAsia"/>
          <w:b/>
          <w:spacing w:val="0"/>
          <w:szCs w:val="24"/>
          <w:rtl/>
        </w:rPr>
        <w:t>מינה</w:t>
      </w:r>
      <w:r w:rsidRPr="00E967B7">
        <w:rPr>
          <w:rFonts w:ascii="Century" w:hAnsi="Century" w:cs="Miriam"/>
          <w:b/>
          <w:spacing w:val="0"/>
          <w:szCs w:val="24"/>
          <w:rtl/>
        </w:rPr>
        <w:t xml:space="preserve"> </w:t>
      </w:r>
      <w:r w:rsidRPr="00E967B7">
        <w:rPr>
          <w:rFonts w:ascii="Century" w:hAnsi="Century" w:cs="Miriam" w:hint="eastAsia"/>
          <w:b/>
          <w:spacing w:val="0"/>
          <w:szCs w:val="24"/>
          <w:rtl/>
        </w:rPr>
        <w:t>אם</w:t>
      </w:r>
      <w:r w:rsidRPr="00E967B7">
        <w:rPr>
          <w:rFonts w:ascii="Century" w:hAnsi="Century" w:cs="Miriam"/>
          <w:b/>
          <w:spacing w:val="0"/>
          <w:szCs w:val="24"/>
          <w:rtl/>
        </w:rPr>
        <w:t xml:space="preserve"> </w:t>
      </w:r>
      <w:r w:rsidRPr="00E967B7">
        <w:rPr>
          <w:rFonts w:ascii="Century" w:hAnsi="Century" w:cs="Miriam" w:hint="eastAsia"/>
          <w:b/>
          <w:spacing w:val="0"/>
          <w:szCs w:val="24"/>
          <w:rtl/>
        </w:rPr>
        <w:t>יהודי</w:t>
      </w:r>
      <w:r w:rsidRPr="00E967B7">
        <w:rPr>
          <w:rFonts w:ascii="Century" w:hAnsi="Century" w:cs="Miriam"/>
          <w:b/>
          <w:spacing w:val="0"/>
          <w:szCs w:val="24"/>
          <w:rtl/>
        </w:rPr>
        <w:t xml:space="preserve"> </w:t>
      </w:r>
      <w:r w:rsidRPr="00E967B7">
        <w:rPr>
          <w:rFonts w:ascii="Century" w:hAnsi="Century" w:cs="Miriam" w:hint="eastAsia"/>
          <w:b/>
          <w:spacing w:val="0"/>
          <w:szCs w:val="24"/>
          <w:rtl/>
        </w:rPr>
        <w:t>שמכוחו</w:t>
      </w:r>
      <w:r w:rsidRPr="00E967B7">
        <w:rPr>
          <w:rFonts w:ascii="Century" w:hAnsi="Century" w:cs="Miriam"/>
          <w:b/>
          <w:spacing w:val="0"/>
          <w:szCs w:val="24"/>
          <w:rtl/>
        </w:rPr>
        <w:t xml:space="preserve"> </w:t>
      </w:r>
      <w:r w:rsidRPr="00E967B7">
        <w:rPr>
          <w:rFonts w:ascii="Century" w:hAnsi="Century" w:cs="Miriam" w:hint="eastAsia"/>
          <w:b/>
          <w:spacing w:val="0"/>
          <w:szCs w:val="24"/>
          <w:rtl/>
        </w:rPr>
        <w:t>נתבעת</w:t>
      </w:r>
      <w:r w:rsidRPr="00E967B7">
        <w:rPr>
          <w:rFonts w:ascii="Century" w:hAnsi="Century" w:cs="Miriam"/>
          <w:b/>
          <w:spacing w:val="0"/>
          <w:szCs w:val="24"/>
          <w:rtl/>
        </w:rPr>
        <w:t xml:space="preserve"> </w:t>
      </w:r>
      <w:r w:rsidRPr="00E967B7">
        <w:rPr>
          <w:rFonts w:ascii="Century" w:hAnsi="Century" w:cs="Miriam" w:hint="eastAsia"/>
          <w:b/>
          <w:spacing w:val="0"/>
          <w:szCs w:val="24"/>
          <w:rtl/>
        </w:rPr>
        <w:t>זכות</w:t>
      </w:r>
      <w:r w:rsidRPr="00E967B7">
        <w:rPr>
          <w:rFonts w:ascii="Century" w:hAnsi="Century" w:cs="Miriam"/>
          <w:b/>
          <w:spacing w:val="0"/>
          <w:szCs w:val="24"/>
          <w:rtl/>
        </w:rPr>
        <w:t xml:space="preserve"> </w:t>
      </w:r>
      <w:r w:rsidRPr="00E967B7">
        <w:rPr>
          <w:rFonts w:ascii="Century" w:hAnsi="Century" w:cs="Miriam" w:hint="eastAsia"/>
          <w:b/>
          <w:spacing w:val="0"/>
          <w:szCs w:val="24"/>
          <w:rtl/>
        </w:rPr>
        <w:t>לפי</w:t>
      </w:r>
      <w:r w:rsidRPr="00E967B7">
        <w:rPr>
          <w:rFonts w:ascii="Century" w:hAnsi="Century" w:cs="Miriam"/>
          <w:b/>
          <w:spacing w:val="0"/>
          <w:szCs w:val="24"/>
          <w:rtl/>
        </w:rPr>
        <w:t xml:space="preserve"> </w:t>
      </w:r>
      <w:r w:rsidRPr="00E967B7">
        <w:rPr>
          <w:rFonts w:ascii="Century" w:hAnsi="Century" w:cs="Miriam" w:hint="eastAsia"/>
          <w:b/>
          <w:spacing w:val="0"/>
          <w:szCs w:val="24"/>
          <w:rtl/>
        </w:rPr>
        <w:t>סעיף</w:t>
      </w:r>
      <w:r w:rsidRPr="00E967B7">
        <w:rPr>
          <w:rFonts w:ascii="Century" w:hAnsi="Century" w:cs="Miriam"/>
          <w:b/>
          <w:spacing w:val="0"/>
          <w:szCs w:val="24"/>
          <w:rtl/>
        </w:rPr>
        <w:t xml:space="preserve"> </w:t>
      </w:r>
      <w:r w:rsidRPr="00E967B7">
        <w:rPr>
          <w:rFonts w:ascii="Century" w:hAnsi="Century" w:cs="Miriam" w:hint="eastAsia"/>
          <w:b/>
          <w:spacing w:val="0"/>
          <w:szCs w:val="24"/>
          <w:rtl/>
        </w:rPr>
        <w:t>קטן</w:t>
      </w:r>
      <w:r w:rsidRPr="00E967B7">
        <w:rPr>
          <w:rFonts w:ascii="Century" w:hAnsi="Century" w:cs="Miriam"/>
          <w:b/>
          <w:spacing w:val="0"/>
          <w:szCs w:val="24"/>
          <w:rtl/>
        </w:rPr>
        <w:t xml:space="preserve"> (</w:t>
      </w:r>
      <w:r w:rsidRPr="00E967B7">
        <w:rPr>
          <w:rFonts w:ascii="Century" w:hAnsi="Century" w:cs="Miriam" w:hint="eastAsia"/>
          <w:b/>
          <w:spacing w:val="0"/>
          <w:szCs w:val="24"/>
          <w:rtl/>
        </w:rPr>
        <w:t>א</w:t>
      </w:r>
      <w:r w:rsidRPr="00E967B7">
        <w:rPr>
          <w:rFonts w:ascii="Century" w:hAnsi="Century" w:cs="Miriam"/>
          <w:b/>
          <w:spacing w:val="0"/>
          <w:szCs w:val="24"/>
          <w:rtl/>
        </w:rPr>
        <w:t xml:space="preserve">) </w:t>
      </w:r>
      <w:r w:rsidRPr="00E967B7">
        <w:rPr>
          <w:rFonts w:ascii="Century" w:hAnsi="Century" w:cs="Miriam" w:hint="eastAsia"/>
          <w:b/>
          <w:spacing w:val="0"/>
          <w:szCs w:val="24"/>
          <w:rtl/>
        </w:rPr>
        <w:t>עודו</w:t>
      </w:r>
      <w:r w:rsidRPr="00E967B7">
        <w:rPr>
          <w:rFonts w:ascii="Century" w:hAnsi="Century" w:cs="Miriam"/>
          <w:b/>
          <w:spacing w:val="0"/>
          <w:szCs w:val="24"/>
          <w:rtl/>
        </w:rPr>
        <w:t xml:space="preserve"> </w:t>
      </w:r>
      <w:r w:rsidRPr="00E967B7">
        <w:rPr>
          <w:rFonts w:ascii="Century" w:hAnsi="Century" w:cs="Miriam" w:hint="eastAsia"/>
          <w:b/>
          <w:spacing w:val="0"/>
          <w:szCs w:val="24"/>
          <w:rtl/>
        </w:rPr>
        <w:t>בחיים</w:t>
      </w:r>
      <w:r w:rsidRPr="00E967B7">
        <w:rPr>
          <w:rFonts w:ascii="Century" w:hAnsi="Century" w:cs="Miriam"/>
          <w:b/>
          <w:spacing w:val="0"/>
          <w:szCs w:val="24"/>
          <w:rtl/>
        </w:rPr>
        <w:t xml:space="preserve"> </w:t>
      </w:r>
      <w:r w:rsidRPr="00E967B7">
        <w:rPr>
          <w:rFonts w:ascii="Century" w:hAnsi="Century" w:cs="Miriam" w:hint="eastAsia"/>
          <w:b/>
          <w:spacing w:val="0"/>
          <w:szCs w:val="24"/>
          <w:rtl/>
        </w:rPr>
        <w:t>או</w:t>
      </w:r>
      <w:r w:rsidRPr="00E967B7">
        <w:rPr>
          <w:rFonts w:ascii="Century" w:hAnsi="Century" w:cs="Miriam"/>
          <w:b/>
          <w:spacing w:val="0"/>
          <w:szCs w:val="24"/>
          <w:rtl/>
        </w:rPr>
        <w:t xml:space="preserve"> </w:t>
      </w:r>
      <w:r w:rsidRPr="00E967B7">
        <w:rPr>
          <w:rFonts w:ascii="Century" w:hAnsi="Century" w:cs="Miriam" w:hint="eastAsia"/>
          <w:b/>
          <w:spacing w:val="0"/>
          <w:szCs w:val="24"/>
          <w:rtl/>
        </w:rPr>
        <w:t>לאו</w:t>
      </w:r>
      <w:r w:rsidRPr="00E967B7">
        <w:rPr>
          <w:rFonts w:ascii="Century" w:hAnsi="Century" w:cs="Miriam"/>
          <w:b/>
          <w:spacing w:val="0"/>
          <w:szCs w:val="24"/>
          <w:rtl/>
        </w:rPr>
        <w:t xml:space="preserve"> </w:t>
      </w:r>
      <w:r w:rsidRPr="00E967B7">
        <w:rPr>
          <w:rFonts w:ascii="Century" w:hAnsi="Century" w:cs="Miriam" w:hint="eastAsia"/>
          <w:b/>
          <w:spacing w:val="0"/>
          <w:szCs w:val="24"/>
          <w:rtl/>
        </w:rPr>
        <w:t>ואם</w:t>
      </w:r>
      <w:r w:rsidRPr="00E967B7">
        <w:rPr>
          <w:rFonts w:ascii="Century" w:hAnsi="Century" w:cs="Miriam"/>
          <w:b/>
          <w:spacing w:val="0"/>
          <w:szCs w:val="24"/>
          <w:rtl/>
        </w:rPr>
        <w:t xml:space="preserve"> </w:t>
      </w:r>
      <w:r w:rsidRPr="00E967B7">
        <w:rPr>
          <w:rFonts w:ascii="Century" w:hAnsi="Century" w:cs="Miriam" w:hint="eastAsia"/>
          <w:b/>
          <w:spacing w:val="0"/>
          <w:szCs w:val="24"/>
          <w:rtl/>
        </w:rPr>
        <w:t>עלה</w:t>
      </w:r>
      <w:r w:rsidRPr="00E967B7">
        <w:rPr>
          <w:rFonts w:ascii="Century" w:hAnsi="Century" w:cs="Miriam"/>
          <w:b/>
          <w:spacing w:val="0"/>
          <w:szCs w:val="24"/>
          <w:rtl/>
        </w:rPr>
        <w:t xml:space="preserve"> </w:t>
      </w:r>
      <w:r w:rsidRPr="00E967B7">
        <w:rPr>
          <w:rFonts w:ascii="Century" w:hAnsi="Century" w:cs="Miriam" w:hint="eastAsia"/>
          <w:b/>
          <w:spacing w:val="0"/>
          <w:szCs w:val="24"/>
          <w:rtl/>
        </w:rPr>
        <w:t>ארצה</w:t>
      </w:r>
      <w:r w:rsidRPr="00E967B7">
        <w:rPr>
          <w:rFonts w:ascii="Century" w:hAnsi="Century" w:cs="Miriam"/>
          <w:b/>
          <w:spacing w:val="0"/>
          <w:szCs w:val="24"/>
          <w:rtl/>
        </w:rPr>
        <w:t xml:space="preserve"> </w:t>
      </w:r>
      <w:r w:rsidRPr="00E967B7">
        <w:rPr>
          <w:rFonts w:ascii="Century" w:hAnsi="Century" w:cs="Miriam" w:hint="eastAsia"/>
          <w:b/>
          <w:spacing w:val="0"/>
          <w:szCs w:val="24"/>
          <w:rtl/>
        </w:rPr>
        <w:t>או</w:t>
      </w:r>
      <w:r w:rsidRPr="00E967B7">
        <w:rPr>
          <w:rFonts w:ascii="Century" w:hAnsi="Century" w:cs="Miriam"/>
          <w:b/>
          <w:spacing w:val="0"/>
          <w:szCs w:val="24"/>
          <w:rtl/>
        </w:rPr>
        <w:t xml:space="preserve"> </w:t>
      </w:r>
      <w:r w:rsidRPr="00E967B7">
        <w:rPr>
          <w:rFonts w:ascii="Century" w:hAnsi="Century" w:cs="Miriam" w:hint="eastAsia"/>
          <w:b/>
          <w:spacing w:val="0"/>
          <w:szCs w:val="24"/>
          <w:rtl/>
        </w:rPr>
        <w:t>לאו</w:t>
      </w:r>
      <w:r>
        <w:rPr>
          <w:rFonts w:ascii="Century" w:hAnsi="Century" w:hint="cs"/>
          <w:rtl/>
        </w:rPr>
        <w:t>"</w:t>
      </w:r>
      <w:r w:rsidRPr="00E967B7">
        <w:rPr>
          <w:rFonts w:ascii="Century" w:hAnsi="Century"/>
          <w:rtl/>
        </w:rPr>
        <w:t>.</w:t>
      </w:r>
    </w:p>
    <w:p w:rsidR="00872589" w:rsidRPr="00E967B7" w:rsidRDefault="00872589" w:rsidP="00872589">
      <w:pPr>
        <w:pStyle w:val="Ruller41"/>
        <w:rPr>
          <w:rFonts w:ascii="Century" w:hAnsi="Century"/>
          <w:rtl/>
        </w:rPr>
      </w:pPr>
    </w:p>
    <w:p w:rsidR="00872589" w:rsidRPr="002E1175" w:rsidRDefault="00872589" w:rsidP="00872589">
      <w:pPr>
        <w:pStyle w:val="Ruller41"/>
        <w:rPr>
          <w:rtl/>
        </w:rPr>
      </w:pPr>
      <w:r>
        <w:rPr>
          <w:rFonts w:ascii="Century" w:hAnsi="Century" w:hint="cs"/>
          <w:rtl/>
        </w:rPr>
        <w:t>3.</w:t>
      </w:r>
      <w:r>
        <w:rPr>
          <w:rFonts w:ascii="Century" w:hAnsi="Century" w:hint="cs"/>
          <w:rtl/>
        </w:rPr>
        <w:tab/>
        <w:t>הענקת זכות השבות לבני משפחה לא יהודים של מי שהוא יהודי, נועדה בראש ובראשונה להקל על משפחות מעורבות לעלות לישראל בשלמותן, "</w:t>
      </w:r>
      <w:r w:rsidRPr="007F4B94">
        <w:rPr>
          <w:rFonts w:ascii="Century" w:hAnsi="Century" w:cs="Miriam" w:hint="cs"/>
          <w:b/>
          <w:spacing w:val="0"/>
          <w:szCs w:val="24"/>
          <w:rtl/>
        </w:rPr>
        <w:t>בתקווה שכל בני המשפחה יצטרפו לעם היהודי</w:t>
      </w:r>
      <w:r>
        <w:rPr>
          <w:rFonts w:ascii="Century" w:hAnsi="Century" w:hint="cs"/>
          <w:rtl/>
        </w:rPr>
        <w:t xml:space="preserve">" (המשנה לנשיא </w:t>
      </w:r>
      <w:r>
        <w:rPr>
          <w:rFonts w:ascii="Century" w:hAnsi="Century" w:cs="Miriam" w:hint="cs"/>
          <w:b/>
          <w:spacing w:val="0"/>
          <w:szCs w:val="24"/>
          <w:rtl/>
        </w:rPr>
        <w:t xml:space="preserve">מ' </w:t>
      </w:r>
      <w:r w:rsidRPr="00665772">
        <w:rPr>
          <w:rFonts w:ascii="Century" w:hAnsi="Century" w:cs="Miriam" w:hint="cs"/>
          <w:b/>
          <w:spacing w:val="0"/>
          <w:szCs w:val="24"/>
          <w:rtl/>
        </w:rPr>
        <w:t>אלון</w:t>
      </w:r>
      <w:r w:rsidRPr="00665772">
        <w:rPr>
          <w:rFonts w:ascii="Century" w:hAnsi="Century" w:hint="cs"/>
          <w:rtl/>
        </w:rPr>
        <w:t xml:space="preserve"> </w:t>
      </w:r>
      <w:r>
        <w:rPr>
          <w:rFonts w:ascii="Century" w:hAnsi="Century" w:hint="cs"/>
          <w:rtl/>
        </w:rPr>
        <w:t>ב-</w:t>
      </w:r>
      <w:hyperlink r:id="rId8" w:history="1">
        <w:r w:rsidRPr="00C74E7C">
          <w:rPr>
            <w:rtl/>
          </w:rPr>
          <w:t xml:space="preserve">בג"ץ 265/87 </w:t>
        </w:r>
        <w:r w:rsidRPr="00C74E7C">
          <w:rPr>
            <w:rFonts w:cs="Miriam"/>
            <w:b/>
            <w:spacing w:val="0"/>
            <w:szCs w:val="24"/>
            <w:rtl/>
          </w:rPr>
          <w:t>ברספורד נ' משרד הפנים</w:t>
        </w:r>
        <w:r w:rsidRPr="00C74E7C">
          <w:rPr>
            <w:rtl/>
          </w:rPr>
          <w:t>, פ"ד מג</w:t>
        </w:r>
      </w:hyperlink>
      <w:r w:rsidRPr="00C74E7C">
        <w:rPr>
          <w:rFonts w:hint="cs"/>
          <w:rtl/>
        </w:rPr>
        <w:t>(</w:t>
      </w:r>
      <w:r>
        <w:rPr>
          <w:rFonts w:hint="cs"/>
          <w:rtl/>
        </w:rPr>
        <w:t xml:space="preserve">4) 793, 835 (1989), להלן: </w:t>
      </w:r>
      <w:r w:rsidRPr="00BD7474">
        <w:rPr>
          <w:rFonts w:ascii="Century" w:hAnsi="Century" w:cs="Miriam" w:hint="cs"/>
          <w:b/>
          <w:spacing w:val="0"/>
          <w:szCs w:val="24"/>
          <w:rtl/>
        </w:rPr>
        <w:t>עניין ברספורד</w:t>
      </w:r>
      <w:r>
        <w:rPr>
          <w:rFonts w:hint="cs"/>
          <w:rtl/>
        </w:rPr>
        <w:t xml:space="preserve">; כן ראו: </w:t>
      </w:r>
      <w:r>
        <w:rPr>
          <w:rFonts w:ascii="Century" w:hAnsi="Century" w:hint="cs"/>
          <w:rtl/>
        </w:rPr>
        <w:t xml:space="preserve">בג"ץ 3648/97 </w:t>
      </w:r>
      <w:r w:rsidRPr="00FD79CB">
        <w:rPr>
          <w:rFonts w:ascii="Century" w:hAnsi="Century" w:cs="Miriam" w:hint="cs"/>
          <w:b/>
          <w:spacing w:val="0"/>
          <w:szCs w:val="24"/>
          <w:rtl/>
        </w:rPr>
        <w:t>סטמקה נ' שר הפנים</w:t>
      </w:r>
      <w:r>
        <w:rPr>
          <w:rFonts w:ascii="Century" w:hAnsi="Century" w:hint="cs"/>
          <w:rtl/>
        </w:rPr>
        <w:t xml:space="preserve">, פ"ד נג(2) 728, 756-755 (1999), להלן: </w:t>
      </w:r>
      <w:r w:rsidRPr="00B150CA">
        <w:rPr>
          <w:rFonts w:ascii="Century" w:hAnsi="Century" w:cs="Miriam" w:hint="cs"/>
          <w:b/>
          <w:spacing w:val="0"/>
          <w:szCs w:val="24"/>
          <w:rtl/>
        </w:rPr>
        <w:t>עניין סטמקה</w:t>
      </w:r>
      <w:r>
        <w:rPr>
          <w:rFonts w:hint="cs"/>
          <w:rtl/>
        </w:rPr>
        <w:t>). כידוע, מטרה זו משרתת את תכליתו המרכזית של חוק השבות, היא עליית יהודים לישראל. אולם חשוב להצביע על כך שבהתאם לעיקרון הקבוע ב</w:t>
      </w:r>
      <w:hyperlink r:id="rId9" w:history="1">
        <w:r w:rsidRPr="008C3FCC">
          <w:rPr>
            <w:rStyle w:val="Hyperlink"/>
            <w:rFonts w:hint="eastAsia"/>
            <w:color w:val="auto"/>
            <w:u w:val="none"/>
            <w:rtl/>
          </w:rPr>
          <w:t>סעיף</w:t>
        </w:r>
        <w:r w:rsidRPr="008C3FCC">
          <w:rPr>
            <w:rStyle w:val="Hyperlink"/>
            <w:color w:val="auto"/>
            <w:u w:val="none"/>
            <w:rtl/>
          </w:rPr>
          <w:t xml:space="preserve"> 4א(ב)</w:t>
        </w:r>
      </w:hyperlink>
      <w:r>
        <w:rPr>
          <w:rFonts w:hint="cs"/>
          <w:rtl/>
        </w:rPr>
        <w:t xml:space="preserve"> לחוק, כמבואר לעיל, זכותם של </w:t>
      </w:r>
      <w:r w:rsidRPr="008C3FCC">
        <w:rPr>
          <w:rFonts w:hint="cs"/>
          <w:rtl/>
        </w:rPr>
        <w:t xml:space="preserve">בני </w:t>
      </w:r>
      <w:r>
        <w:rPr>
          <w:rFonts w:hint="cs"/>
          <w:rtl/>
        </w:rPr>
        <w:t xml:space="preserve">המשפחה הלא יהודים </w:t>
      </w:r>
      <w:r w:rsidRPr="008C3FCC">
        <w:rPr>
          <w:rFonts w:hint="cs"/>
          <w:rtl/>
        </w:rPr>
        <w:t xml:space="preserve">לעלות לישראל </w:t>
      </w:r>
      <w:r>
        <w:rPr>
          <w:rFonts w:hint="cs"/>
          <w:rtl/>
        </w:rPr>
        <w:t>היא זכות עצמאית המתקיימת גם כאשר</w:t>
      </w:r>
      <w:r w:rsidRPr="008C3FCC">
        <w:rPr>
          <w:rFonts w:hint="cs"/>
          <w:rtl/>
        </w:rPr>
        <w:t xml:space="preserve"> </w:t>
      </w:r>
      <w:r>
        <w:rPr>
          <w:rFonts w:hint="cs"/>
          <w:rtl/>
        </w:rPr>
        <w:t xml:space="preserve">אינם נלווים ליהודי; כך שמימוש זכות העלייה שלהם לא בהכרח יוביל לעליית </w:t>
      </w:r>
      <w:r>
        <w:rPr>
          <w:rFonts w:ascii="Century" w:hAnsi="Century" w:cs="Miriam" w:hint="cs"/>
          <w:b/>
          <w:spacing w:val="0"/>
          <w:szCs w:val="24"/>
          <w:rtl/>
        </w:rPr>
        <w:t>יהודי</w:t>
      </w:r>
      <w:r>
        <w:rPr>
          <w:rFonts w:hint="cs"/>
          <w:rtl/>
        </w:rPr>
        <w:t xml:space="preserve"> ארצה. </w:t>
      </w:r>
      <w:r>
        <w:rPr>
          <w:rFonts w:ascii="Century" w:hAnsi="Century" w:hint="cs"/>
          <w:rtl/>
        </w:rPr>
        <w:t>על הרקע הזה כבר הובהר בפסיקה כי: "</w:t>
      </w:r>
      <w:r w:rsidRPr="009345D4">
        <w:rPr>
          <w:rFonts w:ascii="Century" w:hAnsi="Century" w:cs="Miriam" w:hint="eastAsia"/>
          <w:b/>
          <w:spacing w:val="0"/>
          <w:szCs w:val="24"/>
          <w:rtl/>
        </w:rPr>
        <w:t>סעיף</w:t>
      </w:r>
      <w:r w:rsidRPr="009345D4">
        <w:rPr>
          <w:rFonts w:ascii="Century" w:hAnsi="Century" w:cs="Miriam"/>
          <w:b/>
          <w:spacing w:val="0"/>
          <w:szCs w:val="24"/>
          <w:rtl/>
        </w:rPr>
        <w:t xml:space="preserve"> 4</w:t>
      </w:r>
      <w:r w:rsidRPr="009345D4">
        <w:rPr>
          <w:rFonts w:ascii="Century" w:hAnsi="Century" w:cs="Miriam" w:hint="eastAsia"/>
          <w:b/>
          <w:spacing w:val="0"/>
          <w:szCs w:val="24"/>
          <w:rtl/>
        </w:rPr>
        <w:t>א</w:t>
      </w:r>
      <w:r w:rsidRPr="009345D4">
        <w:rPr>
          <w:rFonts w:ascii="Century" w:hAnsi="Century" w:cs="Miriam"/>
          <w:b/>
          <w:spacing w:val="0"/>
          <w:szCs w:val="24"/>
          <w:rtl/>
        </w:rPr>
        <w:t xml:space="preserve"> </w:t>
      </w:r>
      <w:r w:rsidRPr="009345D4">
        <w:rPr>
          <w:rFonts w:ascii="Century" w:hAnsi="Century" w:cs="Miriam" w:hint="eastAsia"/>
          <w:b/>
          <w:spacing w:val="0"/>
          <w:szCs w:val="24"/>
          <w:rtl/>
        </w:rPr>
        <w:t>מייחס</w:t>
      </w:r>
      <w:r w:rsidRPr="009345D4">
        <w:rPr>
          <w:rFonts w:ascii="Century" w:hAnsi="Century" w:cs="Miriam"/>
          <w:b/>
          <w:spacing w:val="0"/>
          <w:szCs w:val="24"/>
          <w:rtl/>
        </w:rPr>
        <w:t xml:space="preserve"> </w:t>
      </w:r>
      <w:r w:rsidRPr="009345D4">
        <w:rPr>
          <w:rFonts w:ascii="Century" w:hAnsi="Century" w:cs="Miriam" w:hint="eastAsia"/>
          <w:b/>
          <w:spacing w:val="0"/>
          <w:szCs w:val="24"/>
          <w:rtl/>
        </w:rPr>
        <w:t>חשיבות</w:t>
      </w:r>
      <w:r w:rsidRPr="009345D4">
        <w:rPr>
          <w:rFonts w:ascii="Century" w:hAnsi="Century" w:cs="Miriam"/>
          <w:b/>
          <w:spacing w:val="0"/>
          <w:szCs w:val="24"/>
          <w:rtl/>
        </w:rPr>
        <w:t xml:space="preserve"> </w:t>
      </w:r>
      <w:r w:rsidRPr="009345D4">
        <w:rPr>
          <w:rFonts w:ascii="Century" w:hAnsi="Century" w:cs="Miriam" w:hint="eastAsia"/>
          <w:b/>
          <w:spacing w:val="0"/>
          <w:szCs w:val="24"/>
          <w:rtl/>
        </w:rPr>
        <w:t>גם</w:t>
      </w:r>
      <w:r w:rsidRPr="009345D4">
        <w:rPr>
          <w:rFonts w:ascii="Century" w:hAnsi="Century" w:cs="Miriam"/>
          <w:b/>
          <w:spacing w:val="0"/>
          <w:szCs w:val="24"/>
          <w:rtl/>
        </w:rPr>
        <w:t xml:space="preserve"> </w:t>
      </w:r>
      <w:r w:rsidRPr="009345D4">
        <w:rPr>
          <w:rFonts w:ascii="Century" w:hAnsi="Century" w:cs="Miriam" w:hint="eastAsia"/>
          <w:b/>
          <w:spacing w:val="0"/>
          <w:szCs w:val="24"/>
          <w:rtl/>
        </w:rPr>
        <w:t>לקשר</w:t>
      </w:r>
      <w:r w:rsidRPr="009345D4">
        <w:rPr>
          <w:rFonts w:ascii="Century" w:hAnsi="Century" w:cs="Miriam"/>
          <w:b/>
          <w:spacing w:val="0"/>
          <w:szCs w:val="24"/>
          <w:rtl/>
        </w:rPr>
        <w:t xml:space="preserve"> </w:t>
      </w:r>
      <w:r w:rsidRPr="009345D4">
        <w:rPr>
          <w:rFonts w:ascii="Century" w:hAnsi="Century" w:cs="Miriam" w:hint="eastAsia"/>
          <w:b/>
          <w:spacing w:val="0"/>
          <w:szCs w:val="24"/>
          <w:rtl/>
        </w:rPr>
        <w:t>שקשרו</w:t>
      </w:r>
      <w:r w:rsidRPr="009345D4">
        <w:rPr>
          <w:rFonts w:ascii="Century" w:hAnsi="Century" w:cs="Miriam"/>
          <w:b/>
          <w:spacing w:val="0"/>
          <w:szCs w:val="24"/>
          <w:rtl/>
        </w:rPr>
        <w:t xml:space="preserve"> </w:t>
      </w:r>
      <w:r w:rsidRPr="009345D4">
        <w:rPr>
          <w:rFonts w:ascii="Century" w:hAnsi="Century" w:cs="Miriam" w:hint="eastAsia"/>
          <w:b/>
          <w:spacing w:val="0"/>
          <w:szCs w:val="24"/>
          <w:rtl/>
        </w:rPr>
        <w:t>אותם</w:t>
      </w:r>
      <w:r w:rsidRPr="009345D4">
        <w:rPr>
          <w:rFonts w:ascii="Century" w:hAnsi="Century" w:cs="Miriam"/>
          <w:b/>
          <w:spacing w:val="0"/>
          <w:szCs w:val="24"/>
          <w:rtl/>
        </w:rPr>
        <w:t xml:space="preserve"> </w:t>
      </w:r>
      <w:r w:rsidRPr="009345D4">
        <w:rPr>
          <w:rFonts w:ascii="Century" w:hAnsi="Century" w:cs="Miriam" w:hint="eastAsia"/>
          <w:b/>
          <w:spacing w:val="0"/>
          <w:szCs w:val="24"/>
          <w:rtl/>
        </w:rPr>
        <w:t>בני</w:t>
      </w:r>
      <w:r w:rsidRPr="009345D4">
        <w:rPr>
          <w:rFonts w:ascii="Century" w:hAnsi="Century" w:cs="Miriam"/>
          <w:b/>
          <w:spacing w:val="0"/>
          <w:szCs w:val="24"/>
          <w:rtl/>
        </w:rPr>
        <w:t xml:space="preserve"> </w:t>
      </w:r>
      <w:r w:rsidRPr="009345D4">
        <w:rPr>
          <w:rFonts w:ascii="Century" w:hAnsi="Century" w:cs="Miriam" w:hint="eastAsia"/>
          <w:b/>
          <w:spacing w:val="0"/>
          <w:szCs w:val="24"/>
          <w:rtl/>
        </w:rPr>
        <w:t>משפחה</w:t>
      </w:r>
      <w:r w:rsidRPr="009345D4">
        <w:rPr>
          <w:rFonts w:ascii="Century" w:hAnsi="Century" w:cs="Miriam"/>
          <w:b/>
          <w:spacing w:val="0"/>
          <w:szCs w:val="24"/>
          <w:rtl/>
        </w:rPr>
        <w:t xml:space="preserve"> </w:t>
      </w:r>
      <w:r w:rsidRPr="009345D4">
        <w:rPr>
          <w:rFonts w:ascii="Century" w:hAnsi="Century" w:cs="Miriam" w:hint="eastAsia"/>
          <w:b/>
          <w:spacing w:val="0"/>
          <w:szCs w:val="24"/>
          <w:rtl/>
        </w:rPr>
        <w:t>עם</w:t>
      </w:r>
      <w:r w:rsidRPr="009345D4">
        <w:rPr>
          <w:rFonts w:ascii="Century" w:hAnsi="Century" w:cs="Miriam"/>
          <w:b/>
          <w:spacing w:val="0"/>
          <w:szCs w:val="24"/>
          <w:rtl/>
        </w:rPr>
        <w:t xml:space="preserve"> </w:t>
      </w:r>
      <w:r w:rsidRPr="009345D4">
        <w:rPr>
          <w:rFonts w:ascii="Century" w:hAnsi="Century" w:cs="Miriam" w:hint="eastAsia"/>
          <w:b/>
          <w:spacing w:val="0"/>
          <w:szCs w:val="24"/>
          <w:u w:val="single"/>
          <w:rtl/>
        </w:rPr>
        <w:t>העם</w:t>
      </w:r>
      <w:r w:rsidRPr="009345D4">
        <w:rPr>
          <w:rFonts w:ascii="Century" w:hAnsi="Century" w:cs="Miriam"/>
          <w:b/>
          <w:spacing w:val="0"/>
          <w:szCs w:val="24"/>
          <w:u w:val="single"/>
          <w:rtl/>
        </w:rPr>
        <w:t xml:space="preserve"> </w:t>
      </w:r>
      <w:r w:rsidRPr="009345D4">
        <w:rPr>
          <w:rFonts w:ascii="Century" w:hAnsi="Century" w:cs="Miriam" w:hint="eastAsia"/>
          <w:b/>
          <w:spacing w:val="0"/>
          <w:szCs w:val="24"/>
          <w:u w:val="single"/>
          <w:rtl/>
        </w:rPr>
        <w:t>היהודי</w:t>
      </w:r>
      <w:r w:rsidRPr="009345D4">
        <w:rPr>
          <w:rFonts w:ascii="Century" w:hAnsi="Century" w:cs="Miriam"/>
          <w:b/>
          <w:spacing w:val="0"/>
          <w:szCs w:val="24"/>
          <w:rtl/>
        </w:rPr>
        <w:t xml:space="preserve"> – </w:t>
      </w:r>
      <w:r w:rsidRPr="009345D4">
        <w:rPr>
          <w:rFonts w:ascii="Century" w:hAnsi="Century" w:cs="Miriam" w:hint="eastAsia"/>
          <w:b/>
          <w:spacing w:val="0"/>
          <w:szCs w:val="24"/>
          <w:rtl/>
        </w:rPr>
        <w:t>לא</w:t>
      </w:r>
      <w:r w:rsidRPr="009345D4">
        <w:rPr>
          <w:rFonts w:ascii="Century" w:hAnsi="Century" w:cs="Miriam"/>
          <w:b/>
          <w:spacing w:val="0"/>
          <w:szCs w:val="24"/>
          <w:rtl/>
        </w:rPr>
        <w:t xml:space="preserve"> </w:t>
      </w:r>
      <w:r w:rsidRPr="009345D4">
        <w:rPr>
          <w:rFonts w:ascii="Century" w:hAnsi="Century" w:cs="Miriam" w:hint="eastAsia"/>
          <w:b/>
          <w:spacing w:val="0"/>
          <w:szCs w:val="24"/>
          <w:rtl/>
        </w:rPr>
        <w:t>אך</w:t>
      </w:r>
      <w:r w:rsidRPr="009345D4">
        <w:rPr>
          <w:rFonts w:ascii="Century" w:hAnsi="Century" w:cs="Miriam"/>
          <w:b/>
          <w:spacing w:val="0"/>
          <w:szCs w:val="24"/>
          <w:rtl/>
        </w:rPr>
        <w:t xml:space="preserve"> </w:t>
      </w:r>
      <w:r w:rsidRPr="009345D4">
        <w:rPr>
          <w:rFonts w:ascii="Century" w:hAnsi="Century" w:cs="Miriam" w:hint="eastAsia"/>
          <w:b/>
          <w:spacing w:val="0"/>
          <w:szCs w:val="24"/>
          <w:rtl/>
        </w:rPr>
        <w:t>עם</w:t>
      </w:r>
      <w:r w:rsidRPr="009345D4">
        <w:rPr>
          <w:rFonts w:ascii="Century" w:hAnsi="Century" w:cs="Miriam"/>
          <w:b/>
          <w:spacing w:val="0"/>
          <w:szCs w:val="24"/>
          <w:rtl/>
        </w:rPr>
        <w:t xml:space="preserve"> </w:t>
      </w:r>
      <w:r w:rsidRPr="009345D4">
        <w:rPr>
          <w:rFonts w:ascii="Century" w:hAnsi="Century" w:cs="Miriam" w:hint="eastAsia"/>
          <w:b/>
          <w:spacing w:val="0"/>
          <w:szCs w:val="24"/>
          <w:u w:val="single"/>
          <w:rtl/>
        </w:rPr>
        <w:t>אותו</w:t>
      </w:r>
      <w:r w:rsidRPr="009345D4">
        <w:rPr>
          <w:rFonts w:ascii="Century" w:hAnsi="Century" w:cs="Miriam"/>
          <w:b/>
          <w:spacing w:val="0"/>
          <w:szCs w:val="24"/>
          <w:u w:val="single"/>
          <w:rtl/>
        </w:rPr>
        <w:t xml:space="preserve"> </w:t>
      </w:r>
      <w:r w:rsidRPr="009345D4">
        <w:rPr>
          <w:rFonts w:ascii="Century" w:hAnsi="Century" w:cs="Miriam" w:hint="eastAsia"/>
          <w:b/>
          <w:spacing w:val="0"/>
          <w:szCs w:val="24"/>
          <w:u w:val="single"/>
          <w:rtl/>
        </w:rPr>
        <w:t>יהודי</w:t>
      </w:r>
      <w:r w:rsidRPr="009345D4">
        <w:rPr>
          <w:rFonts w:ascii="Century" w:hAnsi="Century" w:cs="Miriam"/>
          <w:b/>
          <w:spacing w:val="0"/>
          <w:szCs w:val="24"/>
          <w:rtl/>
        </w:rPr>
        <w:t xml:space="preserve"> </w:t>
      </w:r>
      <w:r w:rsidRPr="009345D4">
        <w:rPr>
          <w:rFonts w:ascii="Century" w:hAnsi="Century" w:cs="Miriam" w:hint="eastAsia"/>
          <w:b/>
          <w:spacing w:val="0"/>
          <w:szCs w:val="24"/>
          <w:rtl/>
        </w:rPr>
        <w:t>המבקש</w:t>
      </w:r>
      <w:r w:rsidRPr="009345D4">
        <w:rPr>
          <w:rFonts w:ascii="Century" w:hAnsi="Century" w:cs="Miriam"/>
          <w:b/>
          <w:spacing w:val="0"/>
          <w:szCs w:val="24"/>
          <w:rtl/>
        </w:rPr>
        <w:t xml:space="preserve"> </w:t>
      </w:r>
      <w:r w:rsidRPr="009345D4">
        <w:rPr>
          <w:rFonts w:ascii="Century" w:hAnsi="Century" w:cs="Miriam" w:hint="eastAsia"/>
          <w:b/>
          <w:spacing w:val="0"/>
          <w:szCs w:val="24"/>
          <w:rtl/>
        </w:rPr>
        <w:t>לעלות</w:t>
      </w:r>
      <w:r w:rsidRPr="009345D4">
        <w:rPr>
          <w:rFonts w:ascii="Century" w:hAnsi="Century" w:cs="Miriam"/>
          <w:b/>
          <w:spacing w:val="0"/>
          <w:szCs w:val="24"/>
          <w:rtl/>
        </w:rPr>
        <w:t xml:space="preserve">. </w:t>
      </w:r>
      <w:r w:rsidRPr="009345D4">
        <w:rPr>
          <w:rFonts w:ascii="Century" w:hAnsi="Century" w:cs="Miriam" w:hint="eastAsia"/>
          <w:b/>
          <w:spacing w:val="0"/>
          <w:szCs w:val="24"/>
          <w:rtl/>
        </w:rPr>
        <w:t>כך</w:t>
      </w:r>
      <w:r w:rsidRPr="009345D4">
        <w:rPr>
          <w:rFonts w:ascii="Century" w:hAnsi="Century" w:cs="Miriam"/>
          <w:b/>
          <w:spacing w:val="0"/>
          <w:szCs w:val="24"/>
          <w:rtl/>
        </w:rPr>
        <w:t xml:space="preserve"> (</w:t>
      </w:r>
      <w:r w:rsidRPr="009345D4">
        <w:rPr>
          <w:rFonts w:ascii="Century" w:hAnsi="Century" w:cs="Miriam" w:hint="eastAsia"/>
          <w:b/>
          <w:spacing w:val="0"/>
          <w:szCs w:val="24"/>
          <w:rtl/>
        </w:rPr>
        <w:t>למשל</w:t>
      </w:r>
      <w:r w:rsidRPr="009345D4">
        <w:rPr>
          <w:rFonts w:ascii="Century" w:hAnsi="Century" w:cs="Miriam"/>
          <w:b/>
          <w:spacing w:val="0"/>
          <w:szCs w:val="24"/>
          <w:rtl/>
        </w:rPr>
        <w:t xml:space="preserve">) </w:t>
      </w:r>
      <w:r w:rsidRPr="009345D4">
        <w:rPr>
          <w:rFonts w:ascii="Century" w:hAnsi="Century" w:cs="Miriam" w:hint="eastAsia"/>
          <w:b/>
          <w:spacing w:val="0"/>
          <w:szCs w:val="24"/>
          <w:rtl/>
        </w:rPr>
        <w:t>יש</w:t>
      </w:r>
      <w:r w:rsidRPr="009345D4">
        <w:rPr>
          <w:rFonts w:ascii="Century" w:hAnsi="Century" w:cs="Miriam"/>
          <w:b/>
          <w:spacing w:val="0"/>
          <w:szCs w:val="24"/>
          <w:rtl/>
        </w:rPr>
        <w:t xml:space="preserve"> </w:t>
      </w:r>
      <w:r w:rsidRPr="009345D4">
        <w:rPr>
          <w:rFonts w:ascii="Century" w:hAnsi="Century" w:cs="Miriam" w:hint="eastAsia"/>
          <w:b/>
          <w:spacing w:val="0"/>
          <w:szCs w:val="24"/>
          <w:rtl/>
        </w:rPr>
        <w:t>להבין</w:t>
      </w:r>
      <w:r w:rsidRPr="009345D4">
        <w:rPr>
          <w:rFonts w:ascii="Century" w:hAnsi="Century" w:cs="Miriam"/>
          <w:b/>
          <w:spacing w:val="0"/>
          <w:szCs w:val="24"/>
          <w:rtl/>
        </w:rPr>
        <w:t xml:space="preserve"> </w:t>
      </w:r>
      <w:r w:rsidRPr="009345D4">
        <w:rPr>
          <w:rFonts w:ascii="Century" w:hAnsi="Century" w:cs="Miriam" w:hint="eastAsia"/>
          <w:b/>
          <w:spacing w:val="0"/>
          <w:szCs w:val="24"/>
          <w:rtl/>
        </w:rPr>
        <w:t>ולפרש</w:t>
      </w:r>
      <w:r w:rsidRPr="009345D4">
        <w:rPr>
          <w:rFonts w:ascii="Century" w:hAnsi="Century" w:cs="Miriam"/>
          <w:b/>
          <w:spacing w:val="0"/>
          <w:szCs w:val="24"/>
          <w:rtl/>
        </w:rPr>
        <w:t xml:space="preserve"> </w:t>
      </w:r>
      <w:r w:rsidRPr="009345D4">
        <w:rPr>
          <w:rFonts w:ascii="Century" w:hAnsi="Century" w:cs="Miriam" w:hint="eastAsia"/>
          <w:b/>
          <w:spacing w:val="0"/>
          <w:szCs w:val="24"/>
          <w:rtl/>
        </w:rPr>
        <w:t>את</w:t>
      </w:r>
      <w:r w:rsidRPr="009345D4">
        <w:rPr>
          <w:rFonts w:ascii="Century" w:hAnsi="Century" w:cs="Miriam"/>
          <w:b/>
          <w:spacing w:val="0"/>
          <w:szCs w:val="24"/>
          <w:rtl/>
        </w:rPr>
        <w:t xml:space="preserve"> </w:t>
      </w:r>
      <w:r w:rsidRPr="009345D4">
        <w:rPr>
          <w:rFonts w:ascii="Century" w:hAnsi="Century" w:cs="Miriam" w:hint="eastAsia"/>
          <w:b/>
          <w:spacing w:val="0"/>
          <w:szCs w:val="24"/>
          <w:rtl/>
        </w:rPr>
        <w:t>הוראת</w:t>
      </w:r>
      <w:r w:rsidRPr="009345D4">
        <w:rPr>
          <w:rFonts w:ascii="Century" w:hAnsi="Century" w:cs="Miriam"/>
          <w:b/>
          <w:spacing w:val="0"/>
          <w:szCs w:val="24"/>
          <w:rtl/>
        </w:rPr>
        <w:t xml:space="preserve"> </w:t>
      </w:r>
      <w:r w:rsidRPr="009345D4">
        <w:rPr>
          <w:rFonts w:ascii="Century" w:hAnsi="Century" w:cs="Miriam" w:hint="eastAsia"/>
          <w:b/>
          <w:spacing w:val="0"/>
          <w:szCs w:val="24"/>
          <w:rtl/>
        </w:rPr>
        <w:t>סעיף</w:t>
      </w:r>
      <w:r w:rsidRPr="009345D4">
        <w:rPr>
          <w:rFonts w:ascii="Century" w:hAnsi="Century" w:cs="Miriam"/>
          <w:b/>
          <w:spacing w:val="0"/>
          <w:szCs w:val="24"/>
          <w:rtl/>
        </w:rPr>
        <w:t xml:space="preserve"> 4</w:t>
      </w:r>
      <w:r w:rsidRPr="009345D4">
        <w:rPr>
          <w:rFonts w:ascii="Century" w:hAnsi="Century" w:cs="Miriam" w:hint="eastAsia"/>
          <w:b/>
          <w:spacing w:val="0"/>
          <w:szCs w:val="24"/>
          <w:rtl/>
        </w:rPr>
        <w:t>א</w:t>
      </w:r>
      <w:r w:rsidRPr="009345D4">
        <w:rPr>
          <w:rFonts w:ascii="Century" w:hAnsi="Century" w:cs="Miriam"/>
          <w:b/>
          <w:spacing w:val="0"/>
          <w:szCs w:val="24"/>
          <w:rtl/>
        </w:rPr>
        <w:t>(</w:t>
      </w:r>
      <w:r w:rsidRPr="009345D4">
        <w:rPr>
          <w:rFonts w:ascii="Century" w:hAnsi="Century" w:cs="Miriam" w:hint="eastAsia"/>
          <w:b/>
          <w:spacing w:val="0"/>
          <w:szCs w:val="24"/>
          <w:rtl/>
        </w:rPr>
        <w:t>ב</w:t>
      </w:r>
      <w:r w:rsidRPr="009345D4">
        <w:rPr>
          <w:rFonts w:ascii="Century" w:hAnsi="Century" w:cs="Miriam"/>
          <w:b/>
          <w:spacing w:val="0"/>
          <w:szCs w:val="24"/>
          <w:rtl/>
        </w:rPr>
        <w:t xml:space="preserve">) </w:t>
      </w:r>
      <w:r w:rsidRPr="009345D4">
        <w:rPr>
          <w:rFonts w:ascii="Century" w:hAnsi="Century" w:cs="Miriam" w:hint="eastAsia"/>
          <w:b/>
          <w:spacing w:val="0"/>
          <w:szCs w:val="24"/>
          <w:rtl/>
        </w:rPr>
        <w:t>לחוק</w:t>
      </w:r>
      <w:r w:rsidRPr="009345D4">
        <w:rPr>
          <w:rFonts w:ascii="Century" w:hAnsi="Century" w:cs="Miriam"/>
          <w:b/>
          <w:spacing w:val="0"/>
          <w:szCs w:val="24"/>
          <w:rtl/>
        </w:rPr>
        <w:t xml:space="preserve"> </w:t>
      </w:r>
      <w:r w:rsidRPr="009345D4">
        <w:rPr>
          <w:rFonts w:ascii="Century" w:hAnsi="Century" w:cs="Miriam" w:hint="eastAsia"/>
          <w:b/>
          <w:spacing w:val="0"/>
          <w:szCs w:val="24"/>
          <w:rtl/>
        </w:rPr>
        <w:t>השבות</w:t>
      </w:r>
      <w:r w:rsidRPr="009345D4">
        <w:rPr>
          <w:rFonts w:ascii="Century" w:hAnsi="Century" w:cs="Miriam"/>
          <w:b/>
          <w:spacing w:val="0"/>
          <w:szCs w:val="24"/>
          <w:rtl/>
        </w:rPr>
        <w:t xml:space="preserve">, </w:t>
      </w:r>
      <w:r w:rsidRPr="009345D4">
        <w:rPr>
          <w:rFonts w:ascii="Century" w:hAnsi="Century" w:cs="Miriam" w:hint="eastAsia"/>
          <w:b/>
          <w:spacing w:val="0"/>
          <w:szCs w:val="24"/>
          <w:rtl/>
        </w:rPr>
        <w:t>ולפיה</w:t>
      </w:r>
      <w:r w:rsidRPr="009345D4">
        <w:rPr>
          <w:rFonts w:ascii="Century" w:hAnsi="Century" w:cs="Miriam"/>
          <w:b/>
          <w:spacing w:val="0"/>
          <w:szCs w:val="24"/>
          <w:rtl/>
        </w:rPr>
        <w:t xml:space="preserve"> </w:t>
      </w:r>
      <w:r w:rsidRPr="009345D4">
        <w:rPr>
          <w:rFonts w:ascii="Century" w:hAnsi="Century" w:cs="Miriam" w:hint="cs"/>
          <w:b/>
          <w:spacing w:val="0"/>
          <w:szCs w:val="24"/>
          <w:rtl/>
        </w:rPr>
        <w:t>'</w:t>
      </w:r>
      <w:r w:rsidRPr="009345D4">
        <w:rPr>
          <w:rFonts w:ascii="Century" w:hAnsi="Century" w:cs="Miriam" w:hint="eastAsia"/>
          <w:b/>
          <w:spacing w:val="0"/>
          <w:szCs w:val="24"/>
          <w:rtl/>
        </w:rPr>
        <w:t>אין</w:t>
      </w:r>
      <w:r w:rsidRPr="009345D4">
        <w:rPr>
          <w:rFonts w:ascii="Century" w:hAnsi="Century" w:cs="Miriam"/>
          <w:b/>
          <w:spacing w:val="0"/>
          <w:szCs w:val="24"/>
          <w:rtl/>
        </w:rPr>
        <w:t xml:space="preserve"> </w:t>
      </w:r>
      <w:r w:rsidRPr="009345D4">
        <w:rPr>
          <w:rFonts w:ascii="Century" w:hAnsi="Century" w:cs="Miriam" w:hint="eastAsia"/>
          <w:b/>
          <w:spacing w:val="0"/>
          <w:szCs w:val="24"/>
          <w:rtl/>
        </w:rPr>
        <w:t>נפקא</w:t>
      </w:r>
      <w:r w:rsidRPr="009345D4">
        <w:rPr>
          <w:rFonts w:ascii="Century" w:hAnsi="Century" w:cs="Miriam"/>
          <w:b/>
          <w:spacing w:val="0"/>
          <w:szCs w:val="24"/>
          <w:rtl/>
        </w:rPr>
        <w:t xml:space="preserve"> </w:t>
      </w:r>
      <w:r w:rsidRPr="009345D4">
        <w:rPr>
          <w:rFonts w:ascii="Century" w:hAnsi="Century" w:cs="Miriam" w:hint="eastAsia"/>
          <w:b/>
          <w:spacing w:val="0"/>
          <w:szCs w:val="24"/>
          <w:rtl/>
        </w:rPr>
        <w:t>מינה</w:t>
      </w:r>
      <w:r w:rsidRPr="009345D4">
        <w:rPr>
          <w:rFonts w:ascii="Century" w:hAnsi="Century" w:cs="Miriam"/>
          <w:b/>
          <w:spacing w:val="0"/>
          <w:szCs w:val="24"/>
          <w:rtl/>
        </w:rPr>
        <w:t xml:space="preserve"> </w:t>
      </w:r>
      <w:r w:rsidRPr="009345D4">
        <w:rPr>
          <w:rFonts w:ascii="Century" w:hAnsi="Century" w:cs="Miriam" w:hint="eastAsia"/>
          <w:b/>
          <w:spacing w:val="0"/>
          <w:szCs w:val="24"/>
          <w:rtl/>
        </w:rPr>
        <w:t>אם</w:t>
      </w:r>
      <w:r w:rsidRPr="009345D4">
        <w:rPr>
          <w:rFonts w:ascii="Century" w:hAnsi="Century" w:cs="Miriam"/>
          <w:b/>
          <w:spacing w:val="0"/>
          <w:szCs w:val="24"/>
          <w:rtl/>
        </w:rPr>
        <w:t xml:space="preserve"> </w:t>
      </w:r>
      <w:r w:rsidRPr="009345D4">
        <w:rPr>
          <w:rFonts w:ascii="Century" w:hAnsi="Century" w:cs="Miriam" w:hint="eastAsia"/>
          <w:b/>
          <w:spacing w:val="0"/>
          <w:szCs w:val="24"/>
          <w:rtl/>
        </w:rPr>
        <w:t>יהודי</w:t>
      </w:r>
      <w:r w:rsidRPr="009345D4">
        <w:rPr>
          <w:rFonts w:ascii="Century" w:hAnsi="Century" w:cs="Miriam"/>
          <w:b/>
          <w:spacing w:val="0"/>
          <w:szCs w:val="24"/>
          <w:rtl/>
        </w:rPr>
        <w:t xml:space="preserve"> </w:t>
      </w:r>
      <w:r w:rsidRPr="009345D4">
        <w:rPr>
          <w:rFonts w:ascii="Century" w:hAnsi="Century" w:cs="Miriam" w:hint="eastAsia"/>
          <w:b/>
          <w:spacing w:val="0"/>
          <w:szCs w:val="24"/>
          <w:rtl/>
        </w:rPr>
        <w:t>שמכוחו</w:t>
      </w:r>
      <w:r w:rsidRPr="009345D4">
        <w:rPr>
          <w:rFonts w:ascii="Century" w:hAnsi="Century" w:cs="Miriam"/>
          <w:b/>
          <w:spacing w:val="0"/>
          <w:szCs w:val="24"/>
          <w:rtl/>
        </w:rPr>
        <w:t xml:space="preserve"> </w:t>
      </w:r>
      <w:r w:rsidRPr="009345D4">
        <w:rPr>
          <w:rFonts w:ascii="Century" w:hAnsi="Century" w:cs="Miriam" w:hint="eastAsia"/>
          <w:b/>
          <w:spacing w:val="0"/>
          <w:szCs w:val="24"/>
          <w:rtl/>
        </w:rPr>
        <w:t>נתבעת</w:t>
      </w:r>
      <w:r w:rsidRPr="009345D4">
        <w:rPr>
          <w:rFonts w:ascii="Century" w:hAnsi="Century" w:cs="Miriam"/>
          <w:b/>
          <w:spacing w:val="0"/>
          <w:szCs w:val="24"/>
          <w:rtl/>
        </w:rPr>
        <w:t xml:space="preserve"> </w:t>
      </w:r>
      <w:r w:rsidRPr="009345D4">
        <w:rPr>
          <w:rFonts w:ascii="Century" w:hAnsi="Century" w:cs="Miriam" w:hint="eastAsia"/>
          <w:b/>
          <w:spacing w:val="0"/>
          <w:szCs w:val="24"/>
          <w:rtl/>
        </w:rPr>
        <w:t>זכות</w:t>
      </w:r>
      <w:r w:rsidRPr="009345D4">
        <w:rPr>
          <w:rFonts w:ascii="Century" w:hAnsi="Century" w:cs="Miriam"/>
          <w:b/>
          <w:spacing w:val="0"/>
          <w:szCs w:val="24"/>
          <w:rtl/>
        </w:rPr>
        <w:t xml:space="preserve"> </w:t>
      </w:r>
      <w:r w:rsidRPr="009345D4">
        <w:rPr>
          <w:rFonts w:ascii="Century" w:hAnsi="Century" w:cs="Miriam" w:hint="eastAsia"/>
          <w:b/>
          <w:spacing w:val="0"/>
          <w:szCs w:val="24"/>
          <w:rtl/>
        </w:rPr>
        <w:t>לפי</w:t>
      </w:r>
      <w:r w:rsidRPr="009345D4">
        <w:rPr>
          <w:rFonts w:ascii="Century" w:hAnsi="Century" w:cs="Miriam"/>
          <w:b/>
          <w:spacing w:val="0"/>
          <w:szCs w:val="24"/>
          <w:rtl/>
        </w:rPr>
        <w:t xml:space="preserve"> </w:t>
      </w:r>
      <w:r w:rsidRPr="009345D4">
        <w:rPr>
          <w:rFonts w:ascii="Century" w:hAnsi="Century" w:cs="Miriam" w:hint="eastAsia"/>
          <w:b/>
          <w:spacing w:val="0"/>
          <w:szCs w:val="24"/>
          <w:rtl/>
        </w:rPr>
        <w:t>סעיף</w:t>
      </w:r>
      <w:r w:rsidRPr="009345D4">
        <w:rPr>
          <w:rFonts w:ascii="Century" w:hAnsi="Century" w:cs="Miriam"/>
          <w:b/>
          <w:spacing w:val="0"/>
          <w:szCs w:val="24"/>
          <w:rtl/>
        </w:rPr>
        <w:t xml:space="preserve"> </w:t>
      </w:r>
      <w:r w:rsidRPr="009345D4">
        <w:rPr>
          <w:rFonts w:ascii="Century" w:hAnsi="Century" w:cs="Miriam" w:hint="eastAsia"/>
          <w:b/>
          <w:spacing w:val="0"/>
          <w:szCs w:val="24"/>
          <w:rtl/>
        </w:rPr>
        <w:t>קטן</w:t>
      </w:r>
      <w:r w:rsidRPr="009345D4">
        <w:rPr>
          <w:rFonts w:ascii="Century" w:hAnsi="Century" w:cs="Miriam"/>
          <w:b/>
          <w:spacing w:val="0"/>
          <w:szCs w:val="24"/>
          <w:rtl/>
        </w:rPr>
        <w:t xml:space="preserve"> (</w:t>
      </w:r>
      <w:r w:rsidRPr="009345D4">
        <w:rPr>
          <w:rFonts w:ascii="Century" w:hAnsi="Century" w:cs="Miriam" w:hint="eastAsia"/>
          <w:b/>
          <w:spacing w:val="0"/>
          <w:szCs w:val="24"/>
          <w:rtl/>
        </w:rPr>
        <w:t>א</w:t>
      </w:r>
      <w:r w:rsidRPr="009345D4">
        <w:rPr>
          <w:rFonts w:ascii="Century" w:hAnsi="Century" w:cs="Miriam"/>
          <w:b/>
          <w:spacing w:val="0"/>
          <w:szCs w:val="24"/>
          <w:rtl/>
        </w:rPr>
        <w:t xml:space="preserve">) </w:t>
      </w:r>
      <w:r w:rsidRPr="009345D4">
        <w:rPr>
          <w:rFonts w:ascii="Century" w:hAnsi="Century" w:cs="Miriam" w:hint="eastAsia"/>
          <w:b/>
          <w:spacing w:val="0"/>
          <w:szCs w:val="24"/>
          <w:rtl/>
        </w:rPr>
        <w:t>עודו</w:t>
      </w:r>
      <w:r w:rsidRPr="009345D4">
        <w:rPr>
          <w:rFonts w:ascii="Century" w:hAnsi="Century" w:cs="Miriam"/>
          <w:b/>
          <w:spacing w:val="0"/>
          <w:szCs w:val="24"/>
          <w:rtl/>
        </w:rPr>
        <w:t xml:space="preserve"> </w:t>
      </w:r>
      <w:r w:rsidRPr="009345D4">
        <w:rPr>
          <w:rFonts w:ascii="Century" w:hAnsi="Century" w:cs="Miriam" w:hint="eastAsia"/>
          <w:b/>
          <w:spacing w:val="0"/>
          <w:szCs w:val="24"/>
          <w:rtl/>
        </w:rPr>
        <w:t>בחיים</w:t>
      </w:r>
      <w:r w:rsidRPr="009345D4">
        <w:rPr>
          <w:rFonts w:ascii="Century" w:hAnsi="Century" w:cs="Miriam"/>
          <w:b/>
          <w:spacing w:val="0"/>
          <w:szCs w:val="24"/>
          <w:rtl/>
        </w:rPr>
        <w:t xml:space="preserve"> </w:t>
      </w:r>
      <w:r w:rsidRPr="009345D4">
        <w:rPr>
          <w:rFonts w:ascii="Century" w:hAnsi="Century" w:cs="Miriam" w:hint="eastAsia"/>
          <w:b/>
          <w:spacing w:val="0"/>
          <w:szCs w:val="24"/>
          <w:rtl/>
        </w:rPr>
        <w:t>או</w:t>
      </w:r>
      <w:r w:rsidRPr="009345D4">
        <w:rPr>
          <w:rFonts w:ascii="Century" w:hAnsi="Century" w:cs="Miriam"/>
          <w:b/>
          <w:spacing w:val="0"/>
          <w:szCs w:val="24"/>
          <w:rtl/>
        </w:rPr>
        <w:t xml:space="preserve"> </w:t>
      </w:r>
      <w:r w:rsidRPr="009345D4">
        <w:rPr>
          <w:rFonts w:ascii="Century" w:hAnsi="Century" w:cs="Miriam" w:hint="eastAsia"/>
          <w:b/>
          <w:spacing w:val="0"/>
          <w:szCs w:val="24"/>
          <w:rtl/>
        </w:rPr>
        <w:t>לאו</w:t>
      </w:r>
      <w:r w:rsidRPr="009345D4">
        <w:rPr>
          <w:rFonts w:ascii="Century" w:hAnsi="Century" w:cs="Miriam"/>
          <w:b/>
          <w:spacing w:val="0"/>
          <w:szCs w:val="24"/>
          <w:rtl/>
        </w:rPr>
        <w:t xml:space="preserve"> </w:t>
      </w:r>
      <w:r w:rsidRPr="009345D4">
        <w:rPr>
          <w:rFonts w:ascii="Century" w:hAnsi="Century" w:cs="Miriam" w:hint="eastAsia"/>
          <w:b/>
          <w:spacing w:val="0"/>
          <w:szCs w:val="24"/>
          <w:rtl/>
        </w:rPr>
        <w:t>ואם</w:t>
      </w:r>
      <w:r w:rsidRPr="009345D4">
        <w:rPr>
          <w:rFonts w:ascii="Century" w:hAnsi="Century" w:cs="Miriam"/>
          <w:b/>
          <w:spacing w:val="0"/>
          <w:szCs w:val="24"/>
          <w:rtl/>
        </w:rPr>
        <w:t xml:space="preserve"> </w:t>
      </w:r>
      <w:r w:rsidRPr="009345D4">
        <w:rPr>
          <w:rFonts w:ascii="Century" w:hAnsi="Century" w:cs="Miriam" w:hint="eastAsia"/>
          <w:b/>
          <w:spacing w:val="0"/>
          <w:szCs w:val="24"/>
          <w:rtl/>
        </w:rPr>
        <w:t>עלה</w:t>
      </w:r>
      <w:r w:rsidRPr="009345D4">
        <w:rPr>
          <w:rFonts w:ascii="Century" w:hAnsi="Century" w:cs="Miriam"/>
          <w:b/>
          <w:spacing w:val="0"/>
          <w:szCs w:val="24"/>
          <w:rtl/>
        </w:rPr>
        <w:t xml:space="preserve"> </w:t>
      </w:r>
      <w:r w:rsidRPr="009345D4">
        <w:rPr>
          <w:rFonts w:ascii="Century" w:hAnsi="Century" w:cs="Miriam" w:hint="eastAsia"/>
          <w:b/>
          <w:spacing w:val="0"/>
          <w:szCs w:val="24"/>
          <w:rtl/>
        </w:rPr>
        <w:t>ארצה</w:t>
      </w:r>
      <w:r w:rsidRPr="009345D4">
        <w:rPr>
          <w:rFonts w:ascii="Century" w:hAnsi="Century" w:cs="Miriam"/>
          <w:b/>
          <w:spacing w:val="0"/>
          <w:szCs w:val="24"/>
          <w:rtl/>
        </w:rPr>
        <w:t xml:space="preserve"> </w:t>
      </w:r>
      <w:r w:rsidRPr="009345D4">
        <w:rPr>
          <w:rFonts w:ascii="Century" w:hAnsi="Century" w:cs="Miriam" w:hint="eastAsia"/>
          <w:b/>
          <w:spacing w:val="0"/>
          <w:szCs w:val="24"/>
          <w:rtl/>
        </w:rPr>
        <w:t>או</w:t>
      </w:r>
      <w:r w:rsidRPr="009345D4">
        <w:rPr>
          <w:rFonts w:ascii="Century" w:hAnsi="Century" w:cs="Miriam"/>
          <w:b/>
          <w:spacing w:val="0"/>
          <w:szCs w:val="24"/>
          <w:rtl/>
        </w:rPr>
        <w:t xml:space="preserve"> </w:t>
      </w:r>
      <w:r w:rsidRPr="009345D4">
        <w:rPr>
          <w:rFonts w:ascii="Century" w:hAnsi="Century" w:cs="Miriam" w:hint="eastAsia"/>
          <w:b/>
          <w:spacing w:val="0"/>
          <w:szCs w:val="24"/>
          <w:rtl/>
        </w:rPr>
        <w:t>לאו</w:t>
      </w:r>
      <w:r w:rsidRPr="009345D4">
        <w:rPr>
          <w:rFonts w:ascii="Century" w:hAnsi="Century" w:cs="Miriam" w:hint="cs"/>
          <w:b/>
          <w:spacing w:val="0"/>
          <w:szCs w:val="24"/>
          <w:rtl/>
        </w:rPr>
        <w:t>'...</w:t>
      </w:r>
      <w:r>
        <w:rPr>
          <w:rFonts w:ascii="Century" w:hAnsi="Century" w:hint="cs"/>
          <w:rtl/>
        </w:rPr>
        <w:t xml:space="preserve">" (ההדגשה שלי </w:t>
      </w:r>
      <w:r>
        <w:rPr>
          <w:rFonts w:ascii="Century" w:hAnsi="Century"/>
          <w:rtl/>
        </w:rPr>
        <w:t>–</w:t>
      </w:r>
      <w:r>
        <w:rPr>
          <w:rFonts w:ascii="Century" w:hAnsi="Century" w:hint="cs"/>
          <w:rtl/>
        </w:rPr>
        <w:t xml:space="preserve"> ע'ב') (בג"ץ 8030/03 </w:t>
      </w:r>
      <w:r w:rsidRPr="003B5BDE">
        <w:rPr>
          <w:rFonts w:ascii="Century" w:hAnsi="Century" w:cs="Miriam" w:hint="cs"/>
          <w:b/>
          <w:spacing w:val="0"/>
          <w:szCs w:val="24"/>
          <w:rtl/>
        </w:rPr>
        <w:t>סמוילוב נ' משרד הפנים</w:t>
      </w:r>
      <w:r>
        <w:rPr>
          <w:rFonts w:ascii="Century" w:hAnsi="Century" w:hint="cs"/>
          <w:rtl/>
        </w:rPr>
        <w:t xml:space="preserve">, פ"ד נח(6) 115, 120 (2004); להלן: </w:t>
      </w:r>
      <w:r w:rsidRPr="00D32FEF">
        <w:rPr>
          <w:rFonts w:ascii="Century" w:hAnsi="Century" w:cs="Miriam" w:hint="cs"/>
          <w:b/>
          <w:spacing w:val="0"/>
          <w:szCs w:val="24"/>
          <w:rtl/>
        </w:rPr>
        <w:t>עניין סמוילוב</w:t>
      </w:r>
      <w:r>
        <w:rPr>
          <w:rFonts w:ascii="Century" w:hAnsi="Century" w:hint="cs"/>
          <w:rtl/>
        </w:rPr>
        <w:t xml:space="preserve">).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סעיף 4א(א) נועד אם כן לקדם את תכלית העל של חוק השבות, שהיא קיומה של מדינת ישראל כמדינת הלאום של העם היהודי ובתוך כך עידוד עליית יהודים לישראל </w:t>
      </w:r>
      <w:r>
        <w:rPr>
          <w:rFonts w:ascii="Century" w:hAnsi="Century"/>
          <w:rtl/>
        </w:rPr>
        <w:t>–</w:t>
      </w:r>
      <w:r>
        <w:rPr>
          <w:rFonts w:ascii="Century" w:hAnsi="Century" w:hint="cs"/>
          <w:rtl/>
        </w:rPr>
        <w:t xml:space="preserve"> אך בה בעת סעיף זה נושא תכליות משל עצמו. במרכזו ניצב ה</w:t>
      </w:r>
      <w:r w:rsidRPr="00882DCA">
        <w:rPr>
          <w:rFonts w:ascii="Century" w:hAnsi="Century" w:cs="Miriam" w:hint="cs"/>
          <w:b/>
          <w:spacing w:val="0"/>
          <w:szCs w:val="24"/>
          <w:rtl/>
        </w:rPr>
        <w:t>קשר המשפחתי</w:t>
      </w:r>
      <w:r>
        <w:rPr>
          <w:rFonts w:ascii="Century" w:hAnsi="Century" w:cs="Miriam" w:hint="cs"/>
          <w:b/>
          <w:spacing w:val="0"/>
          <w:szCs w:val="24"/>
          <w:rtl/>
        </w:rPr>
        <w:t xml:space="preserve"> </w:t>
      </w:r>
      <w:r>
        <w:rPr>
          <w:rFonts w:ascii="Century" w:hAnsi="Century" w:hint="cs"/>
          <w:rtl/>
        </w:rPr>
        <w:t>שבין היהודי לזכאי השבות,</w:t>
      </w:r>
      <w:r w:rsidRPr="00882DCA">
        <w:rPr>
          <w:rFonts w:ascii="Century" w:hAnsi="Century" w:hint="cs"/>
          <w:rtl/>
        </w:rPr>
        <w:t xml:space="preserve"> </w:t>
      </w:r>
      <w:r>
        <w:rPr>
          <w:rFonts w:ascii="Century" w:hAnsi="Century" w:hint="cs"/>
          <w:rtl/>
        </w:rPr>
        <w:t xml:space="preserve">שכתולדה ממנו קושרים למעשה זכאי השבות את גורלם בגורלו של העם היהודי; </w:t>
      </w:r>
      <w:r>
        <w:rPr>
          <w:rFonts w:hint="cs"/>
          <w:rtl/>
        </w:rPr>
        <w:t>"</w:t>
      </w:r>
      <w:r w:rsidRPr="00311607">
        <w:rPr>
          <w:rFonts w:ascii="Century" w:hAnsi="Century" w:cs="Miriam" w:hint="cs"/>
          <w:b/>
          <w:spacing w:val="0"/>
          <w:szCs w:val="24"/>
          <w:rtl/>
        </w:rPr>
        <w:t xml:space="preserve">זאת, בתקווה שיהפכו להיות חלק מהעם החי בישראל אליו יש להם זיקה רבה, </w:t>
      </w:r>
      <w:r w:rsidRPr="00193219">
        <w:rPr>
          <w:rFonts w:ascii="Century" w:hAnsi="Century" w:cs="Miriam" w:hint="cs"/>
          <w:b/>
          <w:spacing w:val="0"/>
          <w:szCs w:val="24"/>
          <w:rtl/>
        </w:rPr>
        <w:t xml:space="preserve">בין בשל היותם </w:t>
      </w:r>
      <w:r w:rsidRPr="00193219">
        <w:rPr>
          <w:rFonts w:ascii="Century" w:hAnsi="Century" w:cs="Miriam" w:hint="cs"/>
          <w:b/>
          <w:spacing w:val="0"/>
          <w:szCs w:val="24"/>
          <w:u w:val="single"/>
          <w:rtl/>
        </w:rPr>
        <w:t>נשואים ליהודי או יהודיה</w:t>
      </w:r>
      <w:r w:rsidRPr="00193219">
        <w:rPr>
          <w:rFonts w:ascii="Century" w:hAnsi="Century" w:cs="Miriam" w:hint="cs"/>
          <w:b/>
          <w:spacing w:val="0"/>
          <w:szCs w:val="24"/>
          <w:rtl/>
        </w:rPr>
        <w:t xml:space="preserve">, בין בשל היותם </w:t>
      </w:r>
      <w:r w:rsidRPr="00193219">
        <w:rPr>
          <w:rFonts w:ascii="Century" w:hAnsi="Century" w:cs="Miriam" w:hint="cs"/>
          <w:b/>
          <w:spacing w:val="0"/>
          <w:szCs w:val="24"/>
          <w:u w:val="single"/>
          <w:rtl/>
        </w:rPr>
        <w:t>מצאצאיו של יהודי או יהודיה</w:t>
      </w:r>
      <w:r w:rsidRPr="00311607">
        <w:rPr>
          <w:rFonts w:ascii="Century" w:hAnsi="Century" w:cs="Miriam" w:hint="cs"/>
          <w:b/>
          <w:spacing w:val="0"/>
          <w:szCs w:val="24"/>
          <w:rtl/>
        </w:rPr>
        <w:t xml:space="preserve">. לפיכך נאמר על אותם בני משפחה כי </w:t>
      </w:r>
      <w:r>
        <w:rPr>
          <w:rFonts w:ascii="Century" w:hAnsi="Century" w:cs="Miriam" w:hint="cs"/>
          <w:b/>
          <w:spacing w:val="0"/>
          <w:szCs w:val="24"/>
          <w:rtl/>
        </w:rPr>
        <w:t>'</w:t>
      </w:r>
      <w:r w:rsidRPr="00311607">
        <w:rPr>
          <w:rFonts w:ascii="Century" w:hAnsi="Century" w:cs="Miriam" w:hint="cs"/>
          <w:b/>
          <w:spacing w:val="0"/>
          <w:szCs w:val="24"/>
          <w:rtl/>
        </w:rPr>
        <w:t>ר</w:t>
      </w:r>
      <w:r>
        <w:rPr>
          <w:rFonts w:ascii="Century" w:hAnsi="Century" w:cs="Miriam" w:hint="cs"/>
          <w:b/>
          <w:spacing w:val="0"/>
          <w:szCs w:val="24"/>
          <w:rtl/>
        </w:rPr>
        <w:t>ואים אותם, במובנים מסוי</w:t>
      </w:r>
      <w:r w:rsidRPr="00311607">
        <w:rPr>
          <w:rFonts w:ascii="Century" w:hAnsi="Century" w:cs="Miriam" w:hint="cs"/>
          <w:b/>
          <w:spacing w:val="0"/>
          <w:szCs w:val="24"/>
          <w:rtl/>
        </w:rPr>
        <w:t xml:space="preserve">מים, כמי שסיפחו עצמם לעם היהודי, ועל-כן מקנה להם החוק </w:t>
      </w:r>
      <w:r w:rsidRPr="000F41BF">
        <w:rPr>
          <w:rFonts w:ascii="Century" w:hAnsi="Century" w:cs="Miriam" w:hint="cs"/>
          <w:b/>
          <w:spacing w:val="0"/>
          <w:szCs w:val="24"/>
          <w:u w:val="single"/>
          <w:rtl/>
        </w:rPr>
        <w:t>זכויות עצמאיות</w:t>
      </w:r>
      <w:r w:rsidRPr="00311607">
        <w:rPr>
          <w:rFonts w:ascii="Century" w:hAnsi="Century" w:cs="Miriam" w:hint="cs"/>
          <w:b/>
          <w:spacing w:val="0"/>
          <w:szCs w:val="24"/>
          <w:rtl/>
        </w:rPr>
        <w:t xml:space="preserve"> משלהם...' (עניין סטמקה, בעמ' 756)</w:t>
      </w:r>
      <w:r>
        <w:rPr>
          <w:rFonts w:hint="cs"/>
          <w:rtl/>
        </w:rPr>
        <w:t xml:space="preserve">" </w:t>
      </w:r>
      <w:r>
        <w:rPr>
          <w:rFonts w:ascii="Century" w:hAnsi="Century" w:hint="cs"/>
          <w:rtl/>
        </w:rPr>
        <w:t xml:space="preserve">(ההדגשות שלי </w:t>
      </w:r>
      <w:r>
        <w:rPr>
          <w:rFonts w:ascii="Century" w:hAnsi="Century"/>
          <w:rtl/>
        </w:rPr>
        <w:t>–</w:t>
      </w:r>
      <w:r>
        <w:rPr>
          <w:rFonts w:ascii="Century" w:hAnsi="Century" w:hint="cs"/>
          <w:rtl/>
        </w:rPr>
        <w:t xml:space="preserve"> </w:t>
      </w:r>
      <w:r w:rsidRPr="00D73B33">
        <w:rPr>
          <w:rFonts w:ascii="Century" w:hAnsi="Century" w:hint="cs"/>
          <w:rtl/>
        </w:rPr>
        <w:t>ע'ב')</w:t>
      </w:r>
      <w:r w:rsidRPr="00D73B33">
        <w:rPr>
          <w:rFonts w:ascii="Century" w:hAnsi="Century" w:cs="Miriam" w:hint="cs"/>
          <w:b/>
          <w:spacing w:val="0"/>
          <w:szCs w:val="24"/>
          <w:rtl/>
        </w:rPr>
        <w:t xml:space="preserve"> </w:t>
      </w:r>
      <w:r>
        <w:rPr>
          <w:rFonts w:hint="cs"/>
          <w:rtl/>
        </w:rPr>
        <w:t>(</w:t>
      </w:r>
      <w:r>
        <w:rPr>
          <w:rFonts w:ascii="Century" w:hAnsi="Century" w:hint="cs"/>
          <w:rtl/>
        </w:rPr>
        <w:t xml:space="preserve">בג"ץ 6247/04 </w:t>
      </w:r>
      <w:r w:rsidRPr="00311607">
        <w:rPr>
          <w:rFonts w:ascii="Century" w:hAnsi="Century" w:cs="Miriam" w:hint="cs"/>
          <w:b/>
          <w:spacing w:val="0"/>
          <w:szCs w:val="24"/>
          <w:rtl/>
        </w:rPr>
        <w:t>גורודצקי נ' שר הפנים</w:t>
      </w:r>
      <w:r>
        <w:rPr>
          <w:rFonts w:ascii="Century" w:hAnsi="Century" w:hint="cs"/>
          <w:rtl/>
        </w:rPr>
        <w:t xml:space="preserve">, פסקה 29 (23.3.2010); </w:t>
      </w:r>
      <w:r>
        <w:rPr>
          <w:rFonts w:ascii="Century" w:hAnsi="Century" w:hint="cs"/>
          <w:rtl/>
        </w:rPr>
        <w:lastRenderedPageBreak/>
        <w:t xml:space="preserve">להלן: </w:t>
      </w:r>
      <w:r w:rsidRPr="00B93BAE">
        <w:rPr>
          <w:rFonts w:ascii="Century" w:hAnsi="Century" w:cs="Miriam" w:hint="cs"/>
          <w:b/>
          <w:spacing w:val="0"/>
          <w:szCs w:val="24"/>
          <w:rtl/>
        </w:rPr>
        <w:t>עניין גורודצקי</w:t>
      </w:r>
      <w:r>
        <w:rPr>
          <w:rFonts w:ascii="Century" w:hAnsi="Century" w:hint="cs"/>
          <w:rtl/>
        </w:rPr>
        <w:t>). בהמשך לכך, הובהר כי סעיף 4א(א) יונק את חיותו מהזכות לחיי משפחה, הנגזרת מהזכות החוקתית לכבוד האדם:</w:t>
      </w:r>
    </w:p>
    <w:p w:rsidR="00872589" w:rsidRDefault="00872589" w:rsidP="00872589">
      <w:pPr>
        <w:pStyle w:val="Ruller41"/>
        <w:spacing w:line="240" w:lineRule="auto"/>
        <w:rPr>
          <w:rFonts w:ascii="Century" w:hAnsi="Century"/>
          <w:rtl/>
        </w:rPr>
      </w:pPr>
    </w:p>
    <w:p w:rsidR="00872589" w:rsidRDefault="00872589" w:rsidP="00872589">
      <w:pPr>
        <w:pStyle w:val="Ruller5"/>
        <w:rPr>
          <w:rtl/>
        </w:rPr>
      </w:pPr>
      <w:r>
        <w:rPr>
          <w:rFonts w:hint="cs"/>
          <w:rtl/>
        </w:rPr>
        <w:t>"</w:t>
      </w:r>
      <w:r w:rsidRPr="002E0715">
        <w:rPr>
          <w:rFonts w:ascii="Century" w:hAnsi="Century" w:hint="eastAsia"/>
          <w:rtl/>
        </w:rPr>
        <w:t>מטרה</w:t>
      </w:r>
      <w:r w:rsidRPr="002E0715">
        <w:rPr>
          <w:rFonts w:ascii="Century" w:hAnsi="Century"/>
          <w:rtl/>
        </w:rPr>
        <w:t xml:space="preserve"> </w:t>
      </w:r>
      <w:r w:rsidRPr="002E0715">
        <w:rPr>
          <w:rFonts w:ascii="Century" w:hAnsi="Century" w:hint="eastAsia"/>
          <w:rtl/>
        </w:rPr>
        <w:t>נוספת</w:t>
      </w:r>
      <w:r w:rsidRPr="002E0715">
        <w:rPr>
          <w:rFonts w:ascii="Century" w:hAnsi="Century"/>
          <w:rtl/>
        </w:rPr>
        <w:t xml:space="preserve"> </w:t>
      </w:r>
      <w:r w:rsidRPr="002E0715">
        <w:rPr>
          <w:rFonts w:ascii="Century" w:hAnsi="Century" w:hint="eastAsia"/>
          <w:rtl/>
        </w:rPr>
        <w:t>העולה</w:t>
      </w:r>
      <w:r w:rsidRPr="002E0715">
        <w:rPr>
          <w:rFonts w:ascii="Century" w:hAnsi="Century"/>
          <w:rtl/>
        </w:rPr>
        <w:t xml:space="preserve"> </w:t>
      </w:r>
      <w:r w:rsidRPr="002E0715">
        <w:rPr>
          <w:rFonts w:ascii="Century" w:hAnsi="Century" w:hint="eastAsia"/>
          <w:rtl/>
        </w:rPr>
        <w:t>מהוראות</w:t>
      </w:r>
      <w:r w:rsidRPr="002E0715">
        <w:rPr>
          <w:rFonts w:ascii="Century" w:hAnsi="Century"/>
          <w:rtl/>
        </w:rPr>
        <w:t xml:space="preserve"> </w:t>
      </w:r>
      <w:r w:rsidRPr="002E0715">
        <w:rPr>
          <w:rFonts w:ascii="Century" w:hAnsi="Century" w:hint="eastAsia"/>
          <w:rtl/>
        </w:rPr>
        <w:t>החוק</w:t>
      </w:r>
      <w:r w:rsidRPr="002E0715">
        <w:rPr>
          <w:rFonts w:ascii="Century" w:hAnsi="Century"/>
          <w:rtl/>
        </w:rPr>
        <w:t xml:space="preserve"> </w:t>
      </w:r>
      <w:r w:rsidRPr="002E0715">
        <w:rPr>
          <w:rFonts w:ascii="Century" w:hAnsi="Century" w:hint="eastAsia"/>
          <w:rtl/>
        </w:rPr>
        <w:t>עצמו</w:t>
      </w:r>
      <w:r w:rsidRPr="002E0715">
        <w:rPr>
          <w:rFonts w:ascii="Century" w:hAnsi="Century"/>
          <w:rtl/>
        </w:rPr>
        <w:t xml:space="preserve"> </w:t>
      </w:r>
      <w:r w:rsidRPr="002E0715">
        <w:rPr>
          <w:rFonts w:ascii="Century" w:hAnsi="Century" w:hint="eastAsia"/>
          <w:rtl/>
        </w:rPr>
        <w:t>וממערך</w:t>
      </w:r>
      <w:r w:rsidRPr="002E0715">
        <w:rPr>
          <w:rFonts w:ascii="Century" w:hAnsi="Century"/>
          <w:rtl/>
        </w:rPr>
        <w:t xml:space="preserve"> </w:t>
      </w:r>
      <w:r w:rsidRPr="002E0715">
        <w:rPr>
          <w:rFonts w:ascii="Century" w:hAnsi="Century" w:hint="eastAsia"/>
          <w:rtl/>
        </w:rPr>
        <w:t>החקיקה</w:t>
      </w:r>
      <w:r w:rsidRPr="002E0715">
        <w:rPr>
          <w:rFonts w:ascii="Century" w:hAnsi="Century"/>
          <w:rtl/>
        </w:rPr>
        <w:t xml:space="preserve"> </w:t>
      </w:r>
      <w:r w:rsidRPr="002E0715">
        <w:rPr>
          <w:rFonts w:ascii="Century" w:hAnsi="Century" w:hint="eastAsia"/>
          <w:rtl/>
        </w:rPr>
        <w:t>הכללי</w:t>
      </w:r>
      <w:r w:rsidRPr="002E0715">
        <w:rPr>
          <w:rFonts w:ascii="Century" w:hAnsi="Century"/>
          <w:rtl/>
        </w:rPr>
        <w:t xml:space="preserve"> </w:t>
      </w:r>
      <w:r w:rsidRPr="002E0715">
        <w:rPr>
          <w:rFonts w:ascii="Century" w:hAnsi="Century" w:hint="eastAsia"/>
          <w:rtl/>
        </w:rPr>
        <w:t>הינה</w:t>
      </w:r>
      <w:r w:rsidRPr="002E0715">
        <w:rPr>
          <w:rFonts w:ascii="Century" w:hAnsi="Century"/>
          <w:rtl/>
        </w:rPr>
        <w:t xml:space="preserve"> </w:t>
      </w:r>
      <w:r w:rsidRPr="002E0715">
        <w:rPr>
          <w:rFonts w:ascii="Century" w:hAnsi="Century" w:hint="eastAsia"/>
          <w:rtl/>
        </w:rPr>
        <w:t>אחדות</w:t>
      </w:r>
      <w:r w:rsidRPr="002E0715">
        <w:rPr>
          <w:rFonts w:ascii="Century" w:hAnsi="Century"/>
          <w:rtl/>
        </w:rPr>
        <w:t xml:space="preserve"> </w:t>
      </w:r>
      <w:r w:rsidRPr="002E0715">
        <w:rPr>
          <w:rFonts w:ascii="Century" w:hAnsi="Century" w:hint="eastAsia"/>
          <w:rtl/>
        </w:rPr>
        <w:t>המשפחה</w:t>
      </w:r>
      <w:r w:rsidRPr="002E0715">
        <w:rPr>
          <w:rFonts w:ascii="Century" w:hAnsi="Century"/>
          <w:rtl/>
        </w:rPr>
        <w:t xml:space="preserve"> </w:t>
      </w:r>
      <w:r w:rsidRPr="002E0715">
        <w:rPr>
          <w:rFonts w:ascii="Century" w:hAnsi="Century" w:hint="eastAsia"/>
          <w:rtl/>
        </w:rPr>
        <w:t>ומניעת</w:t>
      </w:r>
      <w:r w:rsidRPr="002E0715">
        <w:rPr>
          <w:rFonts w:ascii="Century" w:hAnsi="Century"/>
          <w:rtl/>
        </w:rPr>
        <w:t xml:space="preserve"> </w:t>
      </w:r>
      <w:r w:rsidRPr="002E0715">
        <w:rPr>
          <w:rFonts w:ascii="Century" w:hAnsi="Century" w:hint="eastAsia"/>
          <w:rtl/>
        </w:rPr>
        <w:t>פיצולה</w:t>
      </w:r>
      <w:r w:rsidRPr="002E0715">
        <w:rPr>
          <w:rtl/>
        </w:rPr>
        <w:t xml:space="preserve"> </w:t>
      </w:r>
      <w:r w:rsidRPr="002E0715">
        <w:rPr>
          <w:rFonts w:ascii="Century" w:hAnsi="Century"/>
          <w:rtl/>
        </w:rPr>
        <w:t>(</w:t>
      </w:r>
      <w:r w:rsidRPr="002E0715">
        <w:rPr>
          <w:rFonts w:ascii="Century" w:hAnsi="Century" w:hint="eastAsia"/>
          <w:rtl/>
        </w:rPr>
        <w:t>עניין</w:t>
      </w:r>
      <w:r w:rsidRPr="002E0715">
        <w:rPr>
          <w:rFonts w:ascii="Century" w:hAnsi="Century"/>
          <w:rtl/>
        </w:rPr>
        <w:t xml:space="preserve"> </w:t>
      </w:r>
      <w:r w:rsidRPr="002E0715">
        <w:rPr>
          <w:rFonts w:ascii="Century" w:hAnsi="Century" w:hint="eastAsia"/>
          <w:rtl/>
        </w:rPr>
        <w:t>סטמקה</w:t>
      </w:r>
      <w:r w:rsidRPr="002E0715">
        <w:rPr>
          <w:rFonts w:ascii="Century" w:hAnsi="Century"/>
          <w:rtl/>
        </w:rPr>
        <w:t xml:space="preserve">, </w:t>
      </w:r>
      <w:r w:rsidRPr="002E0715">
        <w:rPr>
          <w:rFonts w:ascii="Century" w:hAnsi="Century" w:hint="eastAsia"/>
          <w:rtl/>
        </w:rPr>
        <w:t>בעמ</w:t>
      </w:r>
      <w:r w:rsidRPr="002E0715">
        <w:rPr>
          <w:rFonts w:ascii="Century" w:hAnsi="Century"/>
          <w:rtl/>
        </w:rPr>
        <w:t xml:space="preserve">' 755; </w:t>
      </w:r>
      <w:r w:rsidRPr="002E0715">
        <w:rPr>
          <w:rFonts w:ascii="Century" w:hAnsi="Century" w:hint="eastAsia"/>
          <w:rtl/>
        </w:rPr>
        <w:t>חיים</w:t>
      </w:r>
      <w:r w:rsidRPr="002E0715">
        <w:rPr>
          <w:rFonts w:ascii="Century" w:hAnsi="Century"/>
          <w:rtl/>
        </w:rPr>
        <w:t xml:space="preserve"> </w:t>
      </w:r>
      <w:r w:rsidRPr="002E0715">
        <w:rPr>
          <w:rFonts w:ascii="Century" w:hAnsi="Century" w:hint="eastAsia"/>
          <w:rtl/>
        </w:rPr>
        <w:t>כהן</w:t>
      </w:r>
      <w:r w:rsidRPr="002E0715">
        <w:rPr>
          <w:rFonts w:ascii="Century" w:hAnsi="Century"/>
          <w:rtl/>
        </w:rPr>
        <w:t xml:space="preserve"> </w:t>
      </w:r>
      <w:r w:rsidRPr="002E0715">
        <w:rPr>
          <w:rFonts w:ascii="Century" w:hAnsi="Century" w:hint="cs"/>
          <w:rtl/>
        </w:rPr>
        <w:t>'</w:t>
      </w:r>
      <w:r w:rsidRPr="002E0715">
        <w:rPr>
          <w:rFonts w:ascii="Century" w:hAnsi="Century" w:hint="eastAsia"/>
          <w:rtl/>
        </w:rPr>
        <w:t>חוק</w:t>
      </w:r>
      <w:r w:rsidRPr="002E0715">
        <w:rPr>
          <w:rFonts w:ascii="Century" w:hAnsi="Century"/>
          <w:rtl/>
        </w:rPr>
        <w:t xml:space="preserve"> </w:t>
      </w:r>
      <w:r w:rsidRPr="002E0715">
        <w:rPr>
          <w:rFonts w:ascii="Century" w:hAnsi="Century" w:hint="eastAsia"/>
          <w:rtl/>
        </w:rPr>
        <w:t>השבות</w:t>
      </w:r>
      <w:r w:rsidRPr="002E0715">
        <w:rPr>
          <w:rFonts w:ascii="Century" w:hAnsi="Century" w:hint="cs"/>
          <w:rtl/>
        </w:rPr>
        <w:t>'</w:t>
      </w:r>
      <w:r w:rsidRPr="002E0715">
        <w:rPr>
          <w:rFonts w:ascii="Century" w:hAnsi="Century"/>
          <w:rtl/>
        </w:rPr>
        <w:t xml:space="preserve"> </w:t>
      </w:r>
      <w:r w:rsidRPr="002E0715">
        <w:rPr>
          <w:rFonts w:ascii="Century" w:hAnsi="Century" w:hint="eastAsia"/>
          <w:rtl/>
        </w:rPr>
        <w:t>חיים</w:t>
      </w:r>
      <w:r w:rsidRPr="002E0715">
        <w:rPr>
          <w:rFonts w:ascii="Century" w:hAnsi="Century"/>
          <w:rtl/>
        </w:rPr>
        <w:t xml:space="preserve"> </w:t>
      </w:r>
      <w:r w:rsidRPr="002E0715">
        <w:rPr>
          <w:rFonts w:ascii="Century" w:hAnsi="Century" w:hint="eastAsia"/>
          <w:rtl/>
        </w:rPr>
        <w:t>כהן</w:t>
      </w:r>
      <w:r w:rsidRPr="002E0715">
        <w:rPr>
          <w:rFonts w:ascii="Century" w:hAnsi="Century"/>
          <w:rtl/>
        </w:rPr>
        <w:t xml:space="preserve"> – </w:t>
      </w:r>
      <w:r w:rsidRPr="002E0715">
        <w:rPr>
          <w:rFonts w:ascii="Century" w:hAnsi="Century" w:hint="eastAsia"/>
          <w:rtl/>
        </w:rPr>
        <w:t>מבחר</w:t>
      </w:r>
      <w:r w:rsidRPr="002E0715">
        <w:rPr>
          <w:rFonts w:ascii="Century" w:hAnsi="Century"/>
          <w:rtl/>
        </w:rPr>
        <w:t xml:space="preserve"> </w:t>
      </w:r>
      <w:r w:rsidRPr="002E0715">
        <w:rPr>
          <w:rFonts w:ascii="Century" w:hAnsi="Century" w:hint="eastAsia"/>
          <w:rtl/>
        </w:rPr>
        <w:t>כתבים</w:t>
      </w:r>
      <w:r w:rsidRPr="002E0715">
        <w:rPr>
          <w:rFonts w:ascii="Century" w:hAnsi="Century"/>
          <w:rtl/>
        </w:rPr>
        <w:t xml:space="preserve"> 312, 336 (1991)).</w:t>
      </w:r>
      <w:r w:rsidRPr="002E0715">
        <w:rPr>
          <w:rtl/>
        </w:rPr>
        <w:t xml:space="preserve"> </w:t>
      </w:r>
      <w:r w:rsidRPr="00770C7A">
        <w:rPr>
          <w:rFonts w:ascii="Century" w:hAnsi="Century" w:cs="Miriam" w:hint="eastAsia"/>
          <w:b/>
          <w:spacing w:val="0"/>
          <w:szCs w:val="24"/>
          <w:rtl/>
        </w:rPr>
        <w:t>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לחיי</w:t>
      </w:r>
      <w:r w:rsidRPr="00770C7A">
        <w:rPr>
          <w:rFonts w:ascii="Century" w:hAnsi="Century" w:cs="Miriam"/>
          <w:b/>
          <w:spacing w:val="0"/>
          <w:szCs w:val="24"/>
          <w:rtl/>
        </w:rPr>
        <w:t xml:space="preserve"> </w:t>
      </w:r>
      <w:r w:rsidRPr="00770C7A">
        <w:rPr>
          <w:rFonts w:ascii="Century" w:hAnsi="Century" w:cs="Miriam" w:hint="eastAsia"/>
          <w:b/>
          <w:spacing w:val="0"/>
          <w:szCs w:val="24"/>
          <w:rtl/>
        </w:rPr>
        <w:t>משפחה</w:t>
      </w:r>
      <w:r w:rsidRPr="00770C7A">
        <w:rPr>
          <w:rFonts w:ascii="Century" w:hAnsi="Century" w:cs="Miriam"/>
          <w:b/>
          <w:spacing w:val="0"/>
          <w:szCs w:val="24"/>
          <w:rtl/>
        </w:rPr>
        <w:t xml:space="preserve"> </w:t>
      </w:r>
      <w:r w:rsidRPr="00770C7A">
        <w:rPr>
          <w:rFonts w:ascii="Century" w:hAnsi="Century" w:cs="Miriam" w:hint="eastAsia"/>
          <w:b/>
          <w:spacing w:val="0"/>
          <w:szCs w:val="24"/>
          <w:rtl/>
        </w:rPr>
        <w:t>במובנה</w:t>
      </w:r>
      <w:r w:rsidRPr="00770C7A">
        <w:rPr>
          <w:rFonts w:ascii="Century" w:hAnsi="Century" w:cs="Miriam"/>
          <w:b/>
          <w:spacing w:val="0"/>
          <w:szCs w:val="24"/>
          <w:rtl/>
        </w:rPr>
        <w:t xml:space="preserve"> </w:t>
      </w:r>
      <w:r w:rsidRPr="00770C7A">
        <w:rPr>
          <w:rFonts w:ascii="Century" w:hAnsi="Century" w:cs="Miriam" w:hint="eastAsia"/>
          <w:b/>
          <w:spacing w:val="0"/>
          <w:szCs w:val="24"/>
          <w:rtl/>
        </w:rPr>
        <w:t>הרחב</w:t>
      </w:r>
      <w:r w:rsidRPr="00770C7A">
        <w:rPr>
          <w:rFonts w:ascii="Century" w:hAnsi="Century" w:cs="Miriam"/>
          <w:b/>
          <w:spacing w:val="0"/>
          <w:szCs w:val="24"/>
          <w:rtl/>
        </w:rPr>
        <w:t xml:space="preserve"> </w:t>
      </w:r>
      <w:r w:rsidRPr="00770C7A">
        <w:rPr>
          <w:rFonts w:ascii="Century" w:hAnsi="Century" w:cs="Miriam" w:hint="eastAsia"/>
          <w:b/>
          <w:spacing w:val="0"/>
          <w:szCs w:val="24"/>
          <w:rtl/>
        </w:rPr>
        <w:t>מוכרת</w:t>
      </w:r>
      <w:r w:rsidRPr="00770C7A">
        <w:rPr>
          <w:rFonts w:ascii="Century" w:hAnsi="Century" w:cs="Miriam"/>
          <w:b/>
          <w:spacing w:val="0"/>
          <w:szCs w:val="24"/>
          <w:rtl/>
        </w:rPr>
        <w:t xml:space="preserve"> </w:t>
      </w:r>
      <w:r w:rsidRPr="00770C7A">
        <w:rPr>
          <w:rFonts w:ascii="Century" w:hAnsi="Century" w:cs="Miriam" w:hint="eastAsia"/>
          <w:b/>
          <w:spacing w:val="0"/>
          <w:szCs w:val="24"/>
          <w:rtl/>
        </w:rPr>
        <w:t>על</w:t>
      </w:r>
      <w:r w:rsidRPr="00770C7A">
        <w:rPr>
          <w:rFonts w:ascii="Century" w:hAnsi="Century" w:cs="Miriam"/>
          <w:b/>
          <w:spacing w:val="0"/>
          <w:szCs w:val="24"/>
          <w:rtl/>
        </w:rPr>
        <w:t>-</w:t>
      </w:r>
      <w:r w:rsidRPr="00770C7A">
        <w:rPr>
          <w:rFonts w:ascii="Century" w:hAnsi="Century" w:cs="Miriam" w:hint="eastAsia"/>
          <w:b/>
          <w:spacing w:val="0"/>
          <w:szCs w:val="24"/>
          <w:rtl/>
        </w:rPr>
        <w:t>ידי</w:t>
      </w:r>
      <w:r w:rsidRPr="00770C7A">
        <w:rPr>
          <w:rFonts w:ascii="Century" w:hAnsi="Century" w:cs="Miriam"/>
          <w:b/>
          <w:spacing w:val="0"/>
          <w:szCs w:val="24"/>
          <w:rtl/>
        </w:rPr>
        <w:t xml:space="preserve"> </w:t>
      </w:r>
      <w:r w:rsidRPr="00770C7A">
        <w:rPr>
          <w:rFonts w:ascii="Century" w:hAnsi="Century" w:cs="Miriam" w:hint="eastAsia"/>
          <w:b/>
          <w:spacing w:val="0"/>
          <w:szCs w:val="24"/>
          <w:rtl/>
        </w:rPr>
        <w:t>המשפט</w:t>
      </w:r>
      <w:r w:rsidRPr="00770C7A">
        <w:rPr>
          <w:rFonts w:ascii="Century" w:hAnsi="Century" w:cs="Miriam"/>
          <w:b/>
          <w:spacing w:val="0"/>
          <w:szCs w:val="24"/>
          <w:rtl/>
        </w:rPr>
        <w:t xml:space="preserve"> </w:t>
      </w:r>
      <w:r w:rsidRPr="00770C7A">
        <w:rPr>
          <w:rFonts w:ascii="Century" w:hAnsi="Century" w:cs="Miriam" w:hint="eastAsia"/>
          <w:b/>
          <w:spacing w:val="0"/>
          <w:szCs w:val="24"/>
          <w:rtl/>
        </w:rPr>
        <w:t>הישראלי</w:t>
      </w:r>
      <w:r w:rsidRPr="00770C7A">
        <w:rPr>
          <w:rFonts w:ascii="Century" w:hAnsi="Century" w:cs="Miriam"/>
          <w:b/>
          <w:spacing w:val="0"/>
          <w:szCs w:val="24"/>
          <w:rtl/>
        </w:rPr>
        <w:t xml:space="preserve">. </w:t>
      </w:r>
      <w:r w:rsidRPr="00770C7A">
        <w:rPr>
          <w:rFonts w:ascii="Century" w:hAnsi="Century" w:cs="Miriam" w:hint="eastAsia"/>
          <w:b/>
          <w:spacing w:val="0"/>
          <w:szCs w:val="24"/>
          <w:rtl/>
        </w:rPr>
        <w:t>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לחיי</w:t>
      </w:r>
      <w:r w:rsidRPr="00770C7A">
        <w:rPr>
          <w:rFonts w:ascii="Century" w:hAnsi="Century" w:cs="Miriam"/>
          <w:b/>
          <w:spacing w:val="0"/>
          <w:szCs w:val="24"/>
          <w:rtl/>
        </w:rPr>
        <w:t xml:space="preserve"> </w:t>
      </w:r>
      <w:r w:rsidRPr="00770C7A">
        <w:rPr>
          <w:rFonts w:ascii="Century" w:hAnsi="Century" w:cs="Miriam" w:hint="eastAsia"/>
          <w:b/>
          <w:spacing w:val="0"/>
          <w:szCs w:val="24"/>
          <w:rtl/>
        </w:rPr>
        <w:t>משפחה</w:t>
      </w:r>
      <w:r w:rsidRPr="00770C7A">
        <w:rPr>
          <w:rFonts w:ascii="Century" w:hAnsi="Century" w:cs="Miriam"/>
          <w:b/>
          <w:spacing w:val="0"/>
          <w:szCs w:val="24"/>
          <w:rtl/>
        </w:rPr>
        <w:t xml:space="preserve"> </w:t>
      </w:r>
      <w:r w:rsidRPr="00770C7A">
        <w:rPr>
          <w:rFonts w:ascii="Century" w:hAnsi="Century" w:cs="Miriam" w:hint="eastAsia"/>
          <w:b/>
          <w:spacing w:val="0"/>
          <w:szCs w:val="24"/>
          <w:rtl/>
        </w:rPr>
        <w:t>כוללת</w:t>
      </w:r>
      <w:r w:rsidRPr="00770C7A">
        <w:rPr>
          <w:rFonts w:ascii="Century" w:hAnsi="Century" w:cs="Miriam"/>
          <w:b/>
          <w:spacing w:val="0"/>
          <w:szCs w:val="24"/>
          <w:rtl/>
        </w:rPr>
        <w:t xml:space="preserve"> </w:t>
      </w:r>
      <w:r w:rsidRPr="00770C7A">
        <w:rPr>
          <w:rFonts w:ascii="Century" w:hAnsi="Century" w:cs="Miriam" w:hint="eastAsia"/>
          <w:b/>
          <w:spacing w:val="0"/>
          <w:szCs w:val="24"/>
          <w:rtl/>
        </w:rPr>
        <w:t>בתוכה</w:t>
      </w:r>
      <w:r w:rsidRPr="00770C7A">
        <w:rPr>
          <w:rFonts w:ascii="Century" w:hAnsi="Century" w:cs="Miriam"/>
          <w:b/>
          <w:spacing w:val="0"/>
          <w:szCs w:val="24"/>
          <w:rtl/>
        </w:rPr>
        <w:t xml:space="preserve"> </w:t>
      </w:r>
      <w:r w:rsidRPr="00770C7A">
        <w:rPr>
          <w:rFonts w:ascii="Century" w:hAnsi="Century" w:cs="Miriam" w:hint="eastAsia"/>
          <w:b/>
          <w:spacing w:val="0"/>
          <w:szCs w:val="24"/>
          <w:rtl/>
        </w:rPr>
        <w:t>את</w:t>
      </w:r>
      <w:r w:rsidRPr="00770C7A">
        <w:rPr>
          <w:rFonts w:ascii="Century" w:hAnsi="Century" w:cs="Miriam"/>
          <w:b/>
          <w:spacing w:val="0"/>
          <w:szCs w:val="24"/>
          <w:rtl/>
        </w:rPr>
        <w:t xml:space="preserve"> </w:t>
      </w:r>
      <w:r w:rsidRPr="00770C7A">
        <w:rPr>
          <w:rFonts w:ascii="Century" w:hAnsi="Century" w:cs="Miriam" w:hint="eastAsia"/>
          <w:b/>
          <w:spacing w:val="0"/>
          <w:szCs w:val="24"/>
          <w:rtl/>
        </w:rPr>
        <w:t>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לחיי</w:t>
      </w:r>
      <w:r w:rsidRPr="00770C7A">
        <w:rPr>
          <w:rFonts w:ascii="Century" w:hAnsi="Century" w:cs="Miriam"/>
          <w:b/>
          <w:spacing w:val="0"/>
          <w:szCs w:val="24"/>
          <w:rtl/>
        </w:rPr>
        <w:t xml:space="preserve"> </w:t>
      </w:r>
      <w:r w:rsidRPr="00770C7A">
        <w:rPr>
          <w:rFonts w:ascii="Century" w:hAnsi="Century" w:cs="Miriam" w:hint="eastAsia"/>
          <w:b/>
          <w:spacing w:val="0"/>
          <w:szCs w:val="24"/>
          <w:rtl/>
        </w:rPr>
        <w:t>משפחה</w:t>
      </w:r>
      <w:r w:rsidRPr="00770C7A">
        <w:rPr>
          <w:rFonts w:ascii="Century" w:hAnsi="Century" w:cs="Miriam"/>
          <w:b/>
          <w:spacing w:val="0"/>
          <w:szCs w:val="24"/>
          <w:rtl/>
        </w:rPr>
        <w:t xml:space="preserve"> </w:t>
      </w:r>
      <w:r w:rsidRPr="00770C7A">
        <w:rPr>
          <w:rFonts w:ascii="Century" w:hAnsi="Century" w:cs="Miriam" w:hint="eastAsia"/>
          <w:b/>
          <w:spacing w:val="0"/>
          <w:szCs w:val="24"/>
          <w:rtl/>
        </w:rPr>
        <w:t>משותפים</w:t>
      </w:r>
      <w:r w:rsidRPr="00FD39AD">
        <w:rPr>
          <w:rtl/>
        </w:rPr>
        <w:t xml:space="preserve"> </w:t>
      </w:r>
      <w:r w:rsidRPr="002E0715">
        <w:rPr>
          <w:rFonts w:ascii="Century" w:hAnsi="Century"/>
          <w:rtl/>
        </w:rPr>
        <w:t>(</w:t>
      </w:r>
      <w:r w:rsidRPr="002E0715">
        <w:rPr>
          <w:rFonts w:ascii="Century" w:hAnsi="Century" w:hint="eastAsia"/>
          <w:rtl/>
        </w:rPr>
        <w:t>עניין</w:t>
      </w:r>
      <w:r w:rsidRPr="002E0715">
        <w:rPr>
          <w:rFonts w:ascii="Century" w:hAnsi="Century"/>
          <w:rtl/>
        </w:rPr>
        <w:t xml:space="preserve"> </w:t>
      </w:r>
      <w:r w:rsidRPr="002E0715">
        <w:rPr>
          <w:rFonts w:ascii="Century" w:hAnsi="Century" w:hint="eastAsia"/>
          <w:rtl/>
        </w:rPr>
        <w:t>סטמקה</w:t>
      </w:r>
      <w:r w:rsidRPr="002E0715">
        <w:rPr>
          <w:rFonts w:ascii="Century" w:hAnsi="Century"/>
          <w:rtl/>
        </w:rPr>
        <w:t xml:space="preserve">, </w:t>
      </w:r>
      <w:r w:rsidRPr="002E0715">
        <w:rPr>
          <w:rFonts w:ascii="Century" w:hAnsi="Century" w:hint="eastAsia"/>
          <w:rtl/>
        </w:rPr>
        <w:t>בעמ</w:t>
      </w:r>
      <w:r w:rsidRPr="002E0715">
        <w:rPr>
          <w:rFonts w:ascii="Century" w:hAnsi="Century"/>
          <w:rtl/>
        </w:rPr>
        <w:t xml:space="preserve">' 787; </w:t>
      </w:r>
      <w:r w:rsidRPr="002E0715">
        <w:rPr>
          <w:rFonts w:ascii="Century" w:hAnsi="Century" w:hint="eastAsia"/>
          <w:rtl/>
        </w:rPr>
        <w:t>בג</w:t>
      </w:r>
      <w:r w:rsidRPr="002E0715">
        <w:rPr>
          <w:rFonts w:ascii="Century" w:hAnsi="Century"/>
          <w:rtl/>
        </w:rPr>
        <w:t>"</w:t>
      </w:r>
      <w:r w:rsidRPr="002E0715">
        <w:rPr>
          <w:rFonts w:ascii="Century" w:hAnsi="Century" w:hint="eastAsia"/>
          <w:rtl/>
        </w:rPr>
        <w:t>ץ</w:t>
      </w:r>
      <w:r w:rsidRPr="002E0715">
        <w:rPr>
          <w:rFonts w:ascii="Century" w:hAnsi="Century"/>
          <w:rtl/>
        </w:rPr>
        <w:t xml:space="preserve"> 7052/03 </w:t>
      </w:r>
      <w:r w:rsidRPr="002E0715">
        <w:rPr>
          <w:rFonts w:ascii="Century" w:hAnsi="Century" w:hint="eastAsia"/>
          <w:rtl/>
        </w:rPr>
        <w:t>עדאלה</w:t>
      </w:r>
      <w:r w:rsidRPr="002E0715">
        <w:rPr>
          <w:rFonts w:ascii="Century" w:hAnsi="Century"/>
          <w:rtl/>
        </w:rPr>
        <w:t>-</w:t>
      </w:r>
      <w:r w:rsidRPr="002E0715">
        <w:rPr>
          <w:rFonts w:ascii="Century" w:hAnsi="Century" w:hint="eastAsia"/>
          <w:rtl/>
        </w:rPr>
        <w:t>המרכז</w:t>
      </w:r>
      <w:r w:rsidRPr="002E0715">
        <w:rPr>
          <w:rFonts w:ascii="Century" w:hAnsi="Century"/>
          <w:rtl/>
        </w:rPr>
        <w:t xml:space="preserve"> </w:t>
      </w:r>
      <w:r w:rsidRPr="002E0715">
        <w:rPr>
          <w:rFonts w:ascii="Century" w:hAnsi="Century" w:hint="eastAsia"/>
          <w:rtl/>
        </w:rPr>
        <w:t>המשפטי</w:t>
      </w:r>
      <w:r w:rsidRPr="002E0715">
        <w:rPr>
          <w:rFonts w:ascii="Century" w:hAnsi="Century"/>
          <w:rtl/>
        </w:rPr>
        <w:t xml:space="preserve"> </w:t>
      </w:r>
      <w:r w:rsidRPr="002E0715">
        <w:rPr>
          <w:rFonts w:ascii="Century" w:hAnsi="Century" w:hint="eastAsia"/>
          <w:rtl/>
        </w:rPr>
        <w:t>לזכויות</w:t>
      </w:r>
      <w:r w:rsidRPr="002E0715">
        <w:rPr>
          <w:rFonts w:ascii="Century" w:hAnsi="Century"/>
          <w:rtl/>
        </w:rPr>
        <w:t xml:space="preserve"> </w:t>
      </w:r>
      <w:r w:rsidRPr="002E0715">
        <w:rPr>
          <w:rFonts w:ascii="Century" w:hAnsi="Century" w:hint="eastAsia"/>
          <w:rtl/>
        </w:rPr>
        <w:t>המיעוט</w:t>
      </w:r>
      <w:r w:rsidRPr="002E0715">
        <w:rPr>
          <w:rFonts w:ascii="Century" w:hAnsi="Century"/>
          <w:rtl/>
        </w:rPr>
        <w:t xml:space="preserve"> </w:t>
      </w:r>
      <w:r w:rsidRPr="002E0715">
        <w:rPr>
          <w:rFonts w:ascii="Century" w:hAnsi="Century" w:hint="eastAsia"/>
          <w:rtl/>
        </w:rPr>
        <w:t>הערבי</w:t>
      </w:r>
      <w:r w:rsidRPr="002E0715">
        <w:rPr>
          <w:rFonts w:ascii="Century" w:hAnsi="Century"/>
          <w:rtl/>
        </w:rPr>
        <w:t xml:space="preserve"> </w:t>
      </w:r>
      <w:r w:rsidRPr="002E0715">
        <w:rPr>
          <w:rFonts w:ascii="Century" w:hAnsi="Century" w:hint="eastAsia"/>
          <w:rtl/>
        </w:rPr>
        <w:t>בישראל</w:t>
      </w:r>
      <w:r w:rsidRPr="002E0715">
        <w:rPr>
          <w:rFonts w:ascii="Century" w:hAnsi="Century"/>
          <w:rtl/>
        </w:rPr>
        <w:t xml:space="preserve"> </w:t>
      </w:r>
      <w:r w:rsidRPr="002E0715">
        <w:rPr>
          <w:rFonts w:ascii="Century" w:hAnsi="Century" w:hint="eastAsia"/>
          <w:rtl/>
        </w:rPr>
        <w:t>נ</w:t>
      </w:r>
      <w:r w:rsidRPr="002E0715">
        <w:rPr>
          <w:rFonts w:ascii="Century" w:hAnsi="Century"/>
          <w:rtl/>
        </w:rPr>
        <w:t xml:space="preserve">' </w:t>
      </w:r>
      <w:r w:rsidRPr="002E0715">
        <w:rPr>
          <w:rFonts w:ascii="Century" w:hAnsi="Century" w:hint="eastAsia"/>
          <w:rtl/>
        </w:rPr>
        <w:t>שר</w:t>
      </w:r>
      <w:r w:rsidRPr="002E0715">
        <w:rPr>
          <w:rFonts w:ascii="Century" w:hAnsi="Century"/>
          <w:rtl/>
        </w:rPr>
        <w:t xml:space="preserve"> </w:t>
      </w:r>
      <w:r w:rsidRPr="002E0715">
        <w:rPr>
          <w:rFonts w:ascii="Century" w:hAnsi="Century" w:hint="eastAsia"/>
          <w:rtl/>
        </w:rPr>
        <w:t>הפנים</w:t>
      </w:r>
      <w:r w:rsidRPr="002E0715">
        <w:rPr>
          <w:rFonts w:ascii="Century" w:hAnsi="Century"/>
          <w:rtl/>
        </w:rPr>
        <w:t xml:space="preserve">, </w:t>
      </w:r>
      <w:r w:rsidRPr="002E0715">
        <w:rPr>
          <w:rFonts w:ascii="Century" w:hAnsi="Century" w:hint="eastAsia"/>
          <w:rtl/>
        </w:rPr>
        <w:t>פסקה</w:t>
      </w:r>
      <w:r w:rsidRPr="002E0715">
        <w:rPr>
          <w:rFonts w:ascii="Century" w:hAnsi="Century"/>
          <w:rtl/>
        </w:rPr>
        <w:t xml:space="preserve"> 27 </w:t>
      </w:r>
      <w:r w:rsidRPr="002E0715">
        <w:rPr>
          <w:rFonts w:ascii="Century" w:hAnsi="Century" w:hint="eastAsia"/>
          <w:rtl/>
        </w:rPr>
        <w:t>לחוות</w:t>
      </w:r>
      <w:r w:rsidRPr="002E0715">
        <w:rPr>
          <w:rFonts w:ascii="Century" w:hAnsi="Century"/>
          <w:rtl/>
        </w:rPr>
        <w:t xml:space="preserve"> </w:t>
      </w:r>
      <w:r w:rsidRPr="002E0715">
        <w:rPr>
          <w:rFonts w:ascii="Century" w:hAnsi="Century" w:hint="eastAsia"/>
          <w:rtl/>
        </w:rPr>
        <w:t>דעתו</w:t>
      </w:r>
      <w:r w:rsidRPr="002E0715">
        <w:rPr>
          <w:rFonts w:ascii="Century" w:hAnsi="Century"/>
          <w:rtl/>
        </w:rPr>
        <w:t xml:space="preserve"> </w:t>
      </w:r>
      <w:r w:rsidRPr="002E0715">
        <w:rPr>
          <w:rFonts w:ascii="Century" w:hAnsi="Century" w:hint="eastAsia"/>
          <w:rtl/>
        </w:rPr>
        <w:t>של</w:t>
      </w:r>
      <w:r w:rsidRPr="002E0715">
        <w:rPr>
          <w:rFonts w:ascii="Century" w:hAnsi="Century"/>
          <w:rtl/>
        </w:rPr>
        <w:t xml:space="preserve"> </w:t>
      </w:r>
      <w:r w:rsidRPr="002E0715">
        <w:rPr>
          <w:rFonts w:ascii="Century" w:hAnsi="Century" w:hint="eastAsia"/>
          <w:rtl/>
        </w:rPr>
        <w:t>הנשיא</w:t>
      </w:r>
      <w:r w:rsidRPr="002E0715">
        <w:rPr>
          <w:rFonts w:ascii="Century" w:hAnsi="Century"/>
          <w:rtl/>
        </w:rPr>
        <w:t xml:space="preserve"> </w:t>
      </w:r>
      <w:r w:rsidRPr="002E0715">
        <w:rPr>
          <w:rFonts w:ascii="Century" w:hAnsi="Century" w:hint="eastAsia"/>
          <w:rtl/>
        </w:rPr>
        <w:t>ברק</w:t>
      </w:r>
      <w:r w:rsidRPr="002E0715">
        <w:rPr>
          <w:rFonts w:ascii="Century" w:hAnsi="Century"/>
          <w:rtl/>
        </w:rPr>
        <w:t>, 14.5.06) (</w:t>
      </w:r>
      <w:r w:rsidRPr="002E0715">
        <w:rPr>
          <w:rFonts w:ascii="Century" w:hAnsi="Century" w:hint="eastAsia"/>
          <w:rtl/>
        </w:rPr>
        <w:t>להלן</w:t>
      </w:r>
      <w:r w:rsidRPr="002E0715">
        <w:rPr>
          <w:rFonts w:ascii="Century" w:hAnsi="Century"/>
          <w:rtl/>
        </w:rPr>
        <w:t xml:space="preserve">: </w:t>
      </w:r>
      <w:r w:rsidRPr="002E0715">
        <w:rPr>
          <w:rFonts w:ascii="Century" w:hAnsi="Century" w:hint="eastAsia"/>
          <w:rtl/>
        </w:rPr>
        <w:t>עניין</w:t>
      </w:r>
      <w:r w:rsidRPr="002E0715">
        <w:rPr>
          <w:rFonts w:ascii="Century" w:hAnsi="Century"/>
          <w:rtl/>
        </w:rPr>
        <w:t xml:space="preserve"> </w:t>
      </w:r>
      <w:r w:rsidRPr="002E0715">
        <w:rPr>
          <w:rFonts w:ascii="Century" w:hAnsi="Century" w:hint="eastAsia"/>
          <w:rtl/>
        </w:rPr>
        <w:t>עדאלה</w:t>
      </w:r>
      <w:r w:rsidRPr="002E0715">
        <w:rPr>
          <w:rFonts w:ascii="Century" w:hAnsi="Century"/>
          <w:rtl/>
        </w:rPr>
        <w:t xml:space="preserve">)). </w:t>
      </w:r>
      <w:r w:rsidRPr="002E0715">
        <w:rPr>
          <w:rFonts w:ascii="Century" w:hAnsi="Century" w:hint="eastAsia"/>
          <w:rtl/>
        </w:rPr>
        <w:t>ואמנם</w:t>
      </w:r>
      <w:r w:rsidRPr="002E0715">
        <w:rPr>
          <w:rFonts w:ascii="Century" w:hAnsi="Century"/>
          <w:rtl/>
        </w:rPr>
        <w:t xml:space="preserve">, </w:t>
      </w:r>
      <w:r w:rsidRPr="002E0715">
        <w:rPr>
          <w:rFonts w:ascii="Century" w:hAnsi="Century" w:hint="eastAsia"/>
          <w:rtl/>
        </w:rPr>
        <w:t>זכות</w:t>
      </w:r>
      <w:r w:rsidRPr="002E0715">
        <w:rPr>
          <w:rFonts w:ascii="Century" w:hAnsi="Century"/>
          <w:rtl/>
        </w:rPr>
        <w:t xml:space="preserve"> </w:t>
      </w:r>
      <w:r w:rsidRPr="002E0715">
        <w:rPr>
          <w:rFonts w:ascii="Century" w:hAnsi="Century" w:hint="eastAsia"/>
          <w:rtl/>
        </w:rPr>
        <w:t>זו</w:t>
      </w:r>
      <w:r w:rsidRPr="002E0715">
        <w:rPr>
          <w:rFonts w:ascii="Century" w:hAnsi="Century"/>
          <w:rtl/>
        </w:rPr>
        <w:t xml:space="preserve"> </w:t>
      </w:r>
      <w:r w:rsidRPr="002E0715">
        <w:rPr>
          <w:rFonts w:ascii="Century" w:hAnsi="Century" w:hint="eastAsia"/>
          <w:rtl/>
        </w:rPr>
        <w:t>מוצאת</w:t>
      </w:r>
      <w:r w:rsidRPr="002E0715">
        <w:rPr>
          <w:rFonts w:ascii="Century" w:hAnsi="Century"/>
          <w:rtl/>
        </w:rPr>
        <w:t xml:space="preserve"> </w:t>
      </w:r>
      <w:r w:rsidRPr="002E0715">
        <w:rPr>
          <w:rFonts w:ascii="Century" w:hAnsi="Century" w:hint="eastAsia"/>
          <w:rtl/>
        </w:rPr>
        <w:t>את</w:t>
      </w:r>
      <w:r w:rsidRPr="002E0715">
        <w:rPr>
          <w:rFonts w:ascii="Century" w:hAnsi="Century"/>
          <w:rtl/>
        </w:rPr>
        <w:t xml:space="preserve"> </w:t>
      </w:r>
      <w:r w:rsidRPr="002E0715">
        <w:rPr>
          <w:rFonts w:ascii="Century" w:hAnsi="Century" w:hint="eastAsia"/>
          <w:rtl/>
        </w:rPr>
        <w:t>ביטויה</w:t>
      </w:r>
      <w:r w:rsidRPr="002E0715">
        <w:rPr>
          <w:rFonts w:ascii="Century" w:hAnsi="Century"/>
          <w:rtl/>
        </w:rPr>
        <w:t xml:space="preserve"> </w:t>
      </w:r>
      <w:r w:rsidRPr="002E0715">
        <w:rPr>
          <w:rFonts w:ascii="Century" w:hAnsi="Century" w:hint="eastAsia"/>
          <w:rtl/>
        </w:rPr>
        <w:t>גם</w:t>
      </w:r>
      <w:r w:rsidRPr="002E0715">
        <w:rPr>
          <w:rFonts w:ascii="Century" w:hAnsi="Century"/>
          <w:rtl/>
        </w:rPr>
        <w:t xml:space="preserve"> </w:t>
      </w:r>
      <w:r w:rsidRPr="002E0715">
        <w:rPr>
          <w:rFonts w:ascii="Century" w:hAnsi="Century" w:hint="eastAsia"/>
          <w:rtl/>
        </w:rPr>
        <w:t>במסגרת</w:t>
      </w:r>
      <w:r w:rsidRPr="002E0715">
        <w:rPr>
          <w:rFonts w:ascii="Century" w:hAnsi="Century"/>
          <w:rtl/>
        </w:rPr>
        <w:t xml:space="preserve"> </w:t>
      </w:r>
      <w:r w:rsidRPr="002E0715">
        <w:rPr>
          <w:rFonts w:ascii="Century" w:hAnsi="Century" w:hint="eastAsia"/>
          <w:rtl/>
        </w:rPr>
        <w:t>סעיף</w:t>
      </w:r>
      <w:r w:rsidRPr="002E0715">
        <w:rPr>
          <w:rFonts w:ascii="Century" w:hAnsi="Century"/>
          <w:rtl/>
        </w:rPr>
        <w:t xml:space="preserve"> 7 </w:t>
      </w:r>
      <w:r w:rsidRPr="002E0715">
        <w:rPr>
          <w:rFonts w:ascii="Century" w:hAnsi="Century" w:hint="eastAsia"/>
          <w:rtl/>
        </w:rPr>
        <w:t>לחוק</w:t>
      </w:r>
      <w:r w:rsidRPr="002E0715">
        <w:rPr>
          <w:rFonts w:ascii="Century" w:hAnsi="Century"/>
          <w:rtl/>
        </w:rPr>
        <w:t xml:space="preserve"> </w:t>
      </w:r>
      <w:r w:rsidRPr="002E0715">
        <w:rPr>
          <w:rFonts w:ascii="Century" w:hAnsi="Century" w:hint="eastAsia"/>
          <w:rtl/>
        </w:rPr>
        <w:t>האזרחות</w:t>
      </w:r>
      <w:r w:rsidRPr="002E0715">
        <w:rPr>
          <w:rFonts w:ascii="Century" w:hAnsi="Century"/>
          <w:rtl/>
        </w:rPr>
        <w:t xml:space="preserve"> </w:t>
      </w:r>
      <w:r w:rsidRPr="002E0715">
        <w:rPr>
          <w:rFonts w:ascii="Century" w:hAnsi="Century" w:hint="eastAsia"/>
          <w:rtl/>
        </w:rPr>
        <w:t>המקל</w:t>
      </w:r>
      <w:r w:rsidRPr="002E0715">
        <w:rPr>
          <w:rFonts w:ascii="Century" w:hAnsi="Century"/>
          <w:rtl/>
        </w:rPr>
        <w:t xml:space="preserve"> </w:t>
      </w:r>
      <w:r w:rsidRPr="002E0715">
        <w:rPr>
          <w:rFonts w:ascii="Century" w:hAnsi="Century" w:hint="eastAsia"/>
          <w:rtl/>
        </w:rPr>
        <w:t>על</w:t>
      </w:r>
      <w:r w:rsidRPr="002E0715">
        <w:rPr>
          <w:rFonts w:ascii="Century" w:hAnsi="Century"/>
          <w:rtl/>
        </w:rPr>
        <w:t xml:space="preserve"> </w:t>
      </w:r>
      <w:r w:rsidRPr="002E0715">
        <w:rPr>
          <w:rFonts w:ascii="Century" w:hAnsi="Century" w:hint="eastAsia"/>
          <w:rtl/>
        </w:rPr>
        <w:t>התאזרחותו</w:t>
      </w:r>
      <w:r w:rsidRPr="002E0715">
        <w:rPr>
          <w:rFonts w:ascii="Century" w:hAnsi="Century"/>
          <w:rtl/>
        </w:rPr>
        <w:t xml:space="preserve"> </w:t>
      </w:r>
      <w:r w:rsidRPr="002E0715">
        <w:rPr>
          <w:rFonts w:ascii="Century" w:hAnsi="Century" w:hint="eastAsia"/>
          <w:rtl/>
        </w:rPr>
        <w:t>של</w:t>
      </w:r>
      <w:r w:rsidRPr="002E0715">
        <w:rPr>
          <w:rFonts w:ascii="Century" w:hAnsi="Century"/>
          <w:rtl/>
        </w:rPr>
        <w:t xml:space="preserve"> </w:t>
      </w:r>
      <w:r w:rsidRPr="002E0715">
        <w:rPr>
          <w:rFonts w:ascii="Century" w:hAnsi="Century" w:hint="eastAsia"/>
          <w:rtl/>
        </w:rPr>
        <w:t>בן</w:t>
      </w:r>
      <w:r w:rsidRPr="002E0715">
        <w:rPr>
          <w:rFonts w:ascii="Century" w:hAnsi="Century"/>
          <w:rtl/>
        </w:rPr>
        <w:t xml:space="preserve"> </w:t>
      </w:r>
      <w:r w:rsidRPr="002E0715">
        <w:rPr>
          <w:rFonts w:ascii="Century" w:hAnsi="Century" w:hint="eastAsia"/>
          <w:rtl/>
        </w:rPr>
        <w:t>זוגו</w:t>
      </w:r>
      <w:r w:rsidRPr="002E0715">
        <w:rPr>
          <w:rFonts w:ascii="Century" w:hAnsi="Century"/>
          <w:rtl/>
        </w:rPr>
        <w:t xml:space="preserve"> </w:t>
      </w:r>
      <w:r w:rsidRPr="002E0715">
        <w:rPr>
          <w:rFonts w:ascii="Century" w:hAnsi="Century" w:hint="eastAsia"/>
          <w:rtl/>
        </w:rPr>
        <w:t>הזר</w:t>
      </w:r>
      <w:r w:rsidRPr="002E0715">
        <w:rPr>
          <w:rFonts w:ascii="Century" w:hAnsi="Century"/>
          <w:rtl/>
        </w:rPr>
        <w:t xml:space="preserve"> </w:t>
      </w:r>
      <w:r w:rsidRPr="002E0715">
        <w:rPr>
          <w:rFonts w:ascii="Century" w:hAnsi="Century" w:hint="eastAsia"/>
          <w:rtl/>
        </w:rPr>
        <w:t>של</w:t>
      </w:r>
      <w:r w:rsidRPr="002E0715">
        <w:rPr>
          <w:rFonts w:ascii="Century" w:hAnsi="Century"/>
          <w:rtl/>
        </w:rPr>
        <w:t xml:space="preserve"> </w:t>
      </w:r>
      <w:r w:rsidRPr="002E0715">
        <w:rPr>
          <w:rFonts w:ascii="Century" w:hAnsi="Century" w:hint="eastAsia"/>
          <w:rtl/>
        </w:rPr>
        <w:t>אזרח</w:t>
      </w:r>
      <w:r w:rsidRPr="002E0715">
        <w:rPr>
          <w:rFonts w:ascii="Century" w:hAnsi="Century"/>
          <w:rtl/>
        </w:rPr>
        <w:t xml:space="preserve"> </w:t>
      </w:r>
      <w:r w:rsidRPr="002E0715">
        <w:rPr>
          <w:rFonts w:ascii="Century" w:hAnsi="Century" w:hint="eastAsia"/>
          <w:rtl/>
        </w:rPr>
        <w:t>ישראלי</w:t>
      </w:r>
      <w:r w:rsidRPr="00FD39AD">
        <w:rPr>
          <w:rtl/>
        </w:rPr>
        <w:t xml:space="preserve">. </w:t>
      </w:r>
      <w:r w:rsidRPr="00770C7A">
        <w:rPr>
          <w:rFonts w:ascii="Century" w:hAnsi="Century" w:cs="Miriam" w:hint="eastAsia"/>
          <w:b/>
          <w:spacing w:val="0"/>
          <w:szCs w:val="24"/>
          <w:rtl/>
        </w:rPr>
        <w:t>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לחיות</w:t>
      </w:r>
      <w:r w:rsidRPr="00770C7A">
        <w:rPr>
          <w:rFonts w:ascii="Century" w:hAnsi="Century" w:cs="Miriam"/>
          <w:b/>
          <w:spacing w:val="0"/>
          <w:szCs w:val="24"/>
          <w:rtl/>
        </w:rPr>
        <w:t xml:space="preserve"> </w:t>
      </w:r>
      <w:r w:rsidRPr="00770C7A">
        <w:rPr>
          <w:rFonts w:ascii="Century" w:hAnsi="Century" w:cs="Miriam" w:hint="eastAsia"/>
          <w:b/>
          <w:spacing w:val="0"/>
          <w:szCs w:val="24"/>
          <w:rtl/>
        </w:rPr>
        <w:t>יחדיו</w:t>
      </w:r>
      <w:r w:rsidRPr="00770C7A">
        <w:rPr>
          <w:rFonts w:ascii="Century" w:hAnsi="Century" w:cs="Miriam"/>
          <w:b/>
          <w:spacing w:val="0"/>
          <w:szCs w:val="24"/>
          <w:rtl/>
        </w:rPr>
        <w:t xml:space="preserve"> </w:t>
      </w:r>
      <w:r w:rsidRPr="00770C7A">
        <w:rPr>
          <w:rFonts w:ascii="Century" w:hAnsi="Century" w:cs="Miriam" w:hint="eastAsia"/>
          <w:b/>
          <w:spacing w:val="0"/>
          <w:szCs w:val="24"/>
          <w:rtl/>
        </w:rPr>
        <w:t>כתא</w:t>
      </w:r>
      <w:r w:rsidRPr="00770C7A">
        <w:rPr>
          <w:rFonts w:ascii="Century" w:hAnsi="Century" w:cs="Miriam"/>
          <w:b/>
          <w:spacing w:val="0"/>
          <w:szCs w:val="24"/>
          <w:rtl/>
        </w:rPr>
        <w:t xml:space="preserve"> </w:t>
      </w:r>
      <w:r w:rsidRPr="00770C7A">
        <w:rPr>
          <w:rFonts w:ascii="Century" w:hAnsi="Century" w:cs="Miriam" w:hint="eastAsia"/>
          <w:b/>
          <w:spacing w:val="0"/>
          <w:szCs w:val="24"/>
          <w:rtl/>
        </w:rPr>
        <w:t>משפחתי</w:t>
      </w:r>
      <w:r w:rsidRPr="00770C7A">
        <w:rPr>
          <w:rFonts w:ascii="Century" w:hAnsi="Century" w:cs="Miriam"/>
          <w:b/>
          <w:spacing w:val="0"/>
          <w:szCs w:val="24"/>
          <w:rtl/>
        </w:rPr>
        <w:t xml:space="preserve"> </w:t>
      </w:r>
      <w:r w:rsidRPr="00770C7A">
        <w:rPr>
          <w:rFonts w:ascii="Century" w:hAnsi="Century" w:cs="Miriam" w:hint="eastAsia"/>
          <w:b/>
          <w:spacing w:val="0"/>
          <w:szCs w:val="24"/>
          <w:rtl/>
        </w:rPr>
        <w:t>היא</w:t>
      </w:r>
      <w:r w:rsidRPr="00770C7A">
        <w:rPr>
          <w:rFonts w:ascii="Century" w:hAnsi="Century" w:cs="Miriam"/>
          <w:b/>
          <w:spacing w:val="0"/>
          <w:szCs w:val="24"/>
          <w:rtl/>
        </w:rPr>
        <w:t xml:space="preserve"> </w:t>
      </w:r>
      <w:r w:rsidRPr="00770C7A">
        <w:rPr>
          <w:rFonts w:ascii="Century" w:hAnsi="Century" w:cs="Miriam" w:hint="eastAsia"/>
          <w:b/>
          <w:spacing w:val="0"/>
          <w:szCs w:val="24"/>
          <w:rtl/>
        </w:rPr>
        <w:t>חלק</w:t>
      </w:r>
      <w:r w:rsidRPr="00770C7A">
        <w:rPr>
          <w:rFonts w:ascii="Century" w:hAnsi="Century" w:cs="Miriam"/>
          <w:b/>
          <w:spacing w:val="0"/>
          <w:szCs w:val="24"/>
          <w:rtl/>
        </w:rPr>
        <w:t xml:space="preserve"> </w:t>
      </w:r>
      <w:r w:rsidRPr="00770C7A">
        <w:rPr>
          <w:rFonts w:ascii="Century" w:hAnsi="Century" w:cs="Miriam" w:hint="eastAsia"/>
          <w:b/>
          <w:spacing w:val="0"/>
          <w:szCs w:val="24"/>
          <w:rtl/>
        </w:rPr>
        <w:t>מהזכות</w:t>
      </w:r>
      <w:r w:rsidRPr="00770C7A">
        <w:rPr>
          <w:rFonts w:ascii="Century" w:hAnsi="Century" w:cs="Miriam"/>
          <w:b/>
          <w:spacing w:val="0"/>
          <w:szCs w:val="24"/>
          <w:rtl/>
        </w:rPr>
        <w:t xml:space="preserve"> </w:t>
      </w:r>
      <w:r w:rsidRPr="00770C7A">
        <w:rPr>
          <w:rFonts w:ascii="Century" w:hAnsi="Century" w:cs="Miriam" w:hint="eastAsia"/>
          <w:b/>
          <w:spacing w:val="0"/>
          <w:szCs w:val="24"/>
          <w:rtl/>
        </w:rPr>
        <w:t>לכבוד</w:t>
      </w:r>
      <w:r w:rsidRPr="00770C7A">
        <w:rPr>
          <w:rFonts w:ascii="Century" w:hAnsi="Century" w:cs="Miriam"/>
          <w:b/>
          <w:spacing w:val="0"/>
          <w:szCs w:val="24"/>
          <w:rtl/>
        </w:rPr>
        <w:t xml:space="preserve"> </w:t>
      </w:r>
      <w:r w:rsidRPr="00770C7A">
        <w:rPr>
          <w:rFonts w:ascii="Century" w:hAnsi="Century" w:cs="Miriam" w:hint="eastAsia"/>
          <w:b/>
          <w:spacing w:val="0"/>
          <w:szCs w:val="24"/>
          <w:rtl/>
        </w:rPr>
        <w:t>האדם</w:t>
      </w:r>
      <w:r w:rsidRPr="00770C7A">
        <w:rPr>
          <w:rFonts w:ascii="Century" w:hAnsi="Century" w:cs="Miriam"/>
          <w:b/>
          <w:spacing w:val="0"/>
          <w:szCs w:val="24"/>
          <w:rtl/>
        </w:rPr>
        <w:t xml:space="preserve">, </w:t>
      </w:r>
      <w:r w:rsidRPr="00770C7A">
        <w:rPr>
          <w:rFonts w:ascii="Century" w:hAnsi="Century" w:cs="Miriam" w:hint="eastAsia"/>
          <w:b/>
          <w:spacing w:val="0"/>
          <w:szCs w:val="24"/>
          <w:rtl/>
        </w:rPr>
        <w:t>וככזאת</w:t>
      </w:r>
      <w:r w:rsidRPr="00770C7A">
        <w:rPr>
          <w:rFonts w:ascii="Century" w:hAnsi="Century" w:cs="Miriam"/>
          <w:b/>
          <w:spacing w:val="0"/>
          <w:szCs w:val="24"/>
          <w:rtl/>
        </w:rPr>
        <w:t xml:space="preserve"> </w:t>
      </w:r>
      <w:r w:rsidRPr="00770C7A">
        <w:rPr>
          <w:rFonts w:ascii="Century" w:hAnsi="Century" w:cs="Miriam" w:hint="eastAsia"/>
          <w:b/>
          <w:spacing w:val="0"/>
          <w:szCs w:val="24"/>
          <w:rtl/>
        </w:rPr>
        <w:t>מעוגנת</w:t>
      </w:r>
      <w:r w:rsidRPr="00770C7A">
        <w:rPr>
          <w:rFonts w:ascii="Century" w:hAnsi="Century" w:cs="Miriam"/>
          <w:b/>
          <w:spacing w:val="0"/>
          <w:szCs w:val="24"/>
          <w:rtl/>
        </w:rPr>
        <w:t xml:space="preserve"> </w:t>
      </w:r>
      <w:r w:rsidRPr="00770C7A">
        <w:rPr>
          <w:rFonts w:ascii="Century" w:hAnsi="Century" w:cs="Miriam" w:hint="eastAsia"/>
          <w:b/>
          <w:spacing w:val="0"/>
          <w:szCs w:val="24"/>
          <w:rtl/>
        </w:rPr>
        <w:t>היא</w:t>
      </w:r>
      <w:r w:rsidRPr="00770C7A">
        <w:rPr>
          <w:rFonts w:ascii="Century" w:hAnsi="Century" w:cs="Miriam"/>
          <w:b/>
          <w:spacing w:val="0"/>
          <w:szCs w:val="24"/>
          <w:rtl/>
        </w:rPr>
        <w:t xml:space="preserve"> </w:t>
      </w:r>
      <w:r w:rsidRPr="00770C7A">
        <w:rPr>
          <w:rFonts w:ascii="Century" w:hAnsi="Century" w:cs="Miriam" w:hint="eastAsia"/>
          <w:b/>
          <w:spacing w:val="0"/>
          <w:szCs w:val="24"/>
          <w:rtl/>
        </w:rPr>
        <w:t>בחוק</w:t>
      </w:r>
      <w:r w:rsidRPr="00770C7A">
        <w:rPr>
          <w:rFonts w:ascii="Century" w:hAnsi="Century" w:cs="Miriam"/>
          <w:b/>
          <w:spacing w:val="0"/>
          <w:szCs w:val="24"/>
          <w:rtl/>
        </w:rPr>
        <w:t xml:space="preserve"> </w:t>
      </w:r>
      <w:r w:rsidRPr="00770C7A">
        <w:rPr>
          <w:rFonts w:ascii="Century" w:hAnsi="Century" w:cs="Miriam" w:hint="eastAsia"/>
          <w:b/>
          <w:spacing w:val="0"/>
          <w:szCs w:val="24"/>
          <w:rtl/>
        </w:rPr>
        <w:t>יסוד</w:t>
      </w:r>
      <w:r w:rsidRPr="00770C7A">
        <w:rPr>
          <w:rFonts w:ascii="Century" w:hAnsi="Century" w:cs="Miriam"/>
          <w:b/>
          <w:spacing w:val="0"/>
          <w:szCs w:val="24"/>
          <w:rtl/>
        </w:rPr>
        <w:t xml:space="preserve">: </w:t>
      </w:r>
      <w:r w:rsidRPr="00770C7A">
        <w:rPr>
          <w:rFonts w:ascii="Century" w:hAnsi="Century" w:cs="Miriam" w:hint="eastAsia"/>
          <w:b/>
          <w:spacing w:val="0"/>
          <w:szCs w:val="24"/>
          <w:rtl/>
        </w:rPr>
        <w:t>כבוד</w:t>
      </w:r>
      <w:r w:rsidRPr="00770C7A">
        <w:rPr>
          <w:rFonts w:ascii="Century" w:hAnsi="Century" w:cs="Miriam"/>
          <w:b/>
          <w:spacing w:val="0"/>
          <w:szCs w:val="24"/>
          <w:rtl/>
        </w:rPr>
        <w:t xml:space="preserve"> </w:t>
      </w:r>
      <w:r w:rsidRPr="00770C7A">
        <w:rPr>
          <w:rFonts w:ascii="Century" w:hAnsi="Century" w:cs="Miriam" w:hint="eastAsia"/>
          <w:b/>
          <w:spacing w:val="0"/>
          <w:szCs w:val="24"/>
          <w:rtl/>
        </w:rPr>
        <w:t>האדם</w:t>
      </w:r>
      <w:r w:rsidRPr="00770C7A">
        <w:rPr>
          <w:rFonts w:ascii="Century" w:hAnsi="Century" w:cs="Miriam"/>
          <w:b/>
          <w:spacing w:val="0"/>
          <w:szCs w:val="24"/>
          <w:rtl/>
        </w:rPr>
        <w:t xml:space="preserve"> </w:t>
      </w:r>
      <w:r w:rsidRPr="00770C7A">
        <w:rPr>
          <w:rFonts w:ascii="Century" w:hAnsi="Century" w:cs="Miriam" w:hint="eastAsia"/>
          <w:b/>
          <w:spacing w:val="0"/>
          <w:szCs w:val="24"/>
          <w:rtl/>
        </w:rPr>
        <w:t>וחירותו</w:t>
      </w:r>
      <w:r w:rsidRPr="00770C7A">
        <w:rPr>
          <w:rtl/>
        </w:rPr>
        <w:t xml:space="preserve"> </w:t>
      </w:r>
      <w:r w:rsidRPr="00FD39AD">
        <w:rPr>
          <w:rtl/>
        </w:rPr>
        <w:t>(</w:t>
      </w:r>
      <w:r w:rsidRPr="00FD39AD">
        <w:rPr>
          <w:rFonts w:hint="eastAsia"/>
          <w:rtl/>
        </w:rPr>
        <w:t>עניין</w:t>
      </w:r>
      <w:r w:rsidRPr="00FD39AD">
        <w:rPr>
          <w:rtl/>
        </w:rPr>
        <w:t xml:space="preserve"> </w:t>
      </w:r>
      <w:r w:rsidRPr="00FD39AD">
        <w:rPr>
          <w:rFonts w:hint="eastAsia"/>
          <w:rtl/>
        </w:rPr>
        <w:t>עדאלה</w:t>
      </w:r>
      <w:r w:rsidRPr="00FD39AD">
        <w:rPr>
          <w:rtl/>
        </w:rPr>
        <w:t xml:space="preserve">, </w:t>
      </w:r>
      <w:r w:rsidRPr="00FD39AD">
        <w:rPr>
          <w:rFonts w:hint="eastAsia"/>
          <w:rtl/>
        </w:rPr>
        <w:t>פסקה</w:t>
      </w:r>
      <w:r w:rsidRPr="00FD39AD">
        <w:rPr>
          <w:rtl/>
        </w:rPr>
        <w:t xml:space="preserve"> 32 </w:t>
      </w:r>
      <w:r w:rsidRPr="00FD39AD">
        <w:rPr>
          <w:rFonts w:hint="eastAsia"/>
          <w:rtl/>
        </w:rPr>
        <w:t>לחוות</w:t>
      </w:r>
      <w:r w:rsidRPr="00FD39AD">
        <w:rPr>
          <w:rtl/>
        </w:rPr>
        <w:t xml:space="preserve"> </w:t>
      </w:r>
      <w:r w:rsidRPr="00FD39AD">
        <w:rPr>
          <w:rFonts w:hint="eastAsia"/>
          <w:rtl/>
        </w:rPr>
        <w:t>דעתו</w:t>
      </w:r>
      <w:r w:rsidRPr="00FD39AD">
        <w:rPr>
          <w:rtl/>
        </w:rPr>
        <w:t xml:space="preserve"> </w:t>
      </w:r>
      <w:r w:rsidRPr="00FD39AD">
        <w:rPr>
          <w:rFonts w:hint="eastAsia"/>
          <w:rtl/>
        </w:rPr>
        <w:t>של</w:t>
      </w:r>
      <w:r w:rsidRPr="00FD39AD">
        <w:rPr>
          <w:rtl/>
        </w:rPr>
        <w:t xml:space="preserve"> </w:t>
      </w:r>
      <w:r w:rsidRPr="00FD39AD">
        <w:rPr>
          <w:rFonts w:hint="eastAsia"/>
          <w:rtl/>
        </w:rPr>
        <w:t>הנשיא</w:t>
      </w:r>
      <w:r w:rsidRPr="00FD39AD">
        <w:rPr>
          <w:rtl/>
        </w:rPr>
        <w:t xml:space="preserve"> </w:t>
      </w:r>
      <w:r w:rsidRPr="00FD39AD">
        <w:rPr>
          <w:rFonts w:hint="eastAsia"/>
          <w:rtl/>
        </w:rPr>
        <w:t>ברק</w:t>
      </w:r>
      <w:r w:rsidRPr="00FD39AD">
        <w:rPr>
          <w:rtl/>
        </w:rPr>
        <w:t>)</w:t>
      </w:r>
      <w:r>
        <w:rPr>
          <w:rFonts w:hint="cs"/>
          <w:rtl/>
        </w:rPr>
        <w:t xml:space="preserve">" (ההדגשות שלי </w:t>
      </w:r>
      <w:r>
        <w:rPr>
          <w:rtl/>
        </w:rPr>
        <w:t>–</w:t>
      </w:r>
      <w:r>
        <w:rPr>
          <w:rFonts w:hint="cs"/>
          <w:rtl/>
        </w:rPr>
        <w:t xml:space="preserve"> ע'ב') (</w:t>
      </w:r>
      <w:r>
        <w:rPr>
          <w:rFonts w:ascii="Century" w:hAnsi="Century" w:hint="cs"/>
          <w:rtl/>
        </w:rPr>
        <w:t xml:space="preserve">עניין </w:t>
      </w:r>
      <w:r w:rsidRPr="00311607">
        <w:rPr>
          <w:rFonts w:ascii="Century" w:hAnsi="Century" w:cs="Miriam" w:hint="cs"/>
          <w:b/>
          <w:spacing w:val="0"/>
          <w:szCs w:val="24"/>
          <w:rtl/>
        </w:rPr>
        <w:t>גורודצקי</w:t>
      </w:r>
      <w:r>
        <w:rPr>
          <w:rFonts w:ascii="Century" w:hAnsi="Century" w:hint="cs"/>
          <w:rtl/>
        </w:rPr>
        <w:t>, פסקה 32).</w:t>
      </w:r>
    </w:p>
    <w:p w:rsidR="00872589" w:rsidRDefault="00872589" w:rsidP="00872589">
      <w:pPr>
        <w:pStyle w:val="Ruller41"/>
        <w:rPr>
          <w:rFonts w:ascii="Century" w:hAnsi="Century"/>
          <w:rtl/>
        </w:rPr>
      </w:pPr>
      <w:r>
        <w:rPr>
          <w:rtl/>
        </w:rPr>
        <w:tab/>
      </w:r>
      <w:r>
        <w:rPr>
          <w:rFonts w:ascii="Century" w:hAnsi="Century"/>
          <w:rtl/>
        </w:rPr>
        <w:tab/>
      </w:r>
    </w:p>
    <w:p w:rsidR="00872589" w:rsidRDefault="00872589" w:rsidP="00872589">
      <w:pPr>
        <w:pStyle w:val="Ruller41"/>
        <w:rPr>
          <w:rFonts w:ascii="Century" w:hAnsi="Century"/>
          <w:rtl/>
        </w:rPr>
      </w:pPr>
      <w:r>
        <w:rPr>
          <w:rFonts w:ascii="Century" w:hAnsi="Century" w:hint="cs"/>
          <w:rtl/>
        </w:rPr>
        <w:t>4.</w:t>
      </w:r>
      <w:r>
        <w:rPr>
          <w:rFonts w:ascii="Century" w:hAnsi="Century"/>
          <w:rtl/>
        </w:rPr>
        <w:tab/>
      </w:r>
      <w:r>
        <w:rPr>
          <w:rFonts w:ascii="Century" w:hAnsi="Century" w:hint="cs"/>
          <w:rtl/>
        </w:rPr>
        <w:t xml:space="preserve">ביסוד ההליך שלפנינו, כמו גם בפסק הדין נושא הדיון הנוסף, ניצבת שאלה פרשנית והיא: האם יש לראות באלמנת בנו או נכדו של יהודי כ"בת זוגו" כלשון סעיף 4א(א) לחוק השבות; ובמילים אחרות, האם זכות השבות הנתונה לבת הזוג </w:t>
      </w:r>
      <w:r w:rsidRPr="00F84AE5">
        <w:rPr>
          <w:rFonts w:ascii="Century" w:hAnsi="Century" w:hint="cs"/>
          <w:rtl/>
        </w:rPr>
        <w:t xml:space="preserve">ממשיכה להתקיים גם במקרה שהבן או הנכד (לפי העניין) </w:t>
      </w:r>
      <w:r>
        <w:rPr>
          <w:rFonts w:ascii="Century" w:hAnsi="Century" w:hint="cs"/>
          <w:rtl/>
        </w:rPr>
        <w:t xml:space="preserve">כבר </w:t>
      </w:r>
      <w:r w:rsidRPr="00F84AE5">
        <w:rPr>
          <w:rFonts w:ascii="Century" w:hAnsi="Century" w:hint="cs"/>
          <w:rtl/>
        </w:rPr>
        <w:t xml:space="preserve">אינו בין החיים </w:t>
      </w:r>
      <w:r>
        <w:rPr>
          <w:rFonts w:ascii="Century" w:hAnsi="Century" w:hint="cs"/>
          <w:rtl/>
        </w:rPr>
        <w:t>ברצותה לעלות לישראל</w:t>
      </w:r>
      <w:r w:rsidRPr="00F84AE5">
        <w:rPr>
          <w:rFonts w:ascii="Century" w:hAnsi="Century" w:hint="cs"/>
          <w:rtl/>
        </w:rPr>
        <w:t xml:space="preserve">. לטעמי </w:t>
      </w:r>
      <w:r>
        <w:rPr>
          <w:rFonts w:ascii="Century" w:hAnsi="Century" w:hint="cs"/>
          <w:rtl/>
        </w:rPr>
        <w:t>המענה על כך הו</w:t>
      </w:r>
      <w:r w:rsidRPr="00F84AE5">
        <w:rPr>
          <w:rFonts w:ascii="Century" w:hAnsi="Century" w:hint="cs"/>
          <w:rtl/>
        </w:rPr>
        <w:t xml:space="preserve">א בחיוב. לשונו של </w:t>
      </w:r>
      <w:hyperlink r:id="rId10" w:history="1">
        <w:r w:rsidRPr="00F84AE5">
          <w:rPr>
            <w:rStyle w:val="Hyperlink"/>
            <w:rFonts w:ascii="Century" w:hAnsi="Century" w:hint="eastAsia"/>
            <w:color w:val="auto"/>
            <w:u w:val="none"/>
            <w:rtl/>
          </w:rPr>
          <w:t>סעיף</w:t>
        </w:r>
        <w:r w:rsidRPr="00F84AE5">
          <w:rPr>
            <w:rStyle w:val="Hyperlink"/>
            <w:rFonts w:ascii="Century" w:hAnsi="Century"/>
            <w:color w:val="auto"/>
            <w:u w:val="none"/>
            <w:rtl/>
          </w:rPr>
          <w:t xml:space="preserve"> 4א(א)</w:t>
        </w:r>
      </w:hyperlink>
      <w:r w:rsidRPr="00F84AE5">
        <w:rPr>
          <w:rFonts w:ascii="Century" w:hAnsi="Century" w:hint="cs"/>
          <w:rtl/>
        </w:rPr>
        <w:t xml:space="preserve"> היא </w:t>
      </w:r>
      <w:r>
        <w:rPr>
          <w:rFonts w:ascii="Century" w:hAnsi="Century" w:hint="cs"/>
          <w:rtl/>
        </w:rPr>
        <w:t>מפורשת, וברור</w:t>
      </w:r>
      <w:r w:rsidRPr="00F84AE5">
        <w:rPr>
          <w:rFonts w:ascii="Century" w:hAnsi="Century" w:hint="cs"/>
          <w:rtl/>
        </w:rPr>
        <w:t xml:space="preserve"> ממנה כי לכל אחד מזכאי </w:t>
      </w:r>
      <w:r>
        <w:rPr>
          <w:rFonts w:ascii="Century" w:hAnsi="Century" w:hint="cs"/>
          <w:rtl/>
        </w:rPr>
        <w:t xml:space="preserve">השבות נתונה זכות שבות שוות ערך העומדת בפני עצמה. המשמעות היא שמעמדו של </w:t>
      </w:r>
      <w:r>
        <w:rPr>
          <w:rFonts w:ascii="Century" w:hAnsi="Century" w:cs="Miriam" w:hint="cs"/>
          <w:b/>
          <w:spacing w:val="0"/>
          <w:szCs w:val="24"/>
          <w:rtl/>
        </w:rPr>
        <w:t xml:space="preserve">בן </w:t>
      </w:r>
      <w:r w:rsidRPr="003610F1">
        <w:rPr>
          <w:rFonts w:ascii="Century" w:hAnsi="Century" w:cs="Miriam" w:hint="cs"/>
          <w:b/>
          <w:spacing w:val="0"/>
          <w:szCs w:val="24"/>
          <w:rtl/>
        </w:rPr>
        <w:t>זוג</w:t>
      </w:r>
      <w:r w:rsidRPr="003610F1">
        <w:rPr>
          <w:rFonts w:ascii="Century" w:hAnsi="Century" w:hint="cs"/>
          <w:rtl/>
        </w:rPr>
        <w:t xml:space="preserve"> </w:t>
      </w:r>
      <w:r>
        <w:rPr>
          <w:rFonts w:ascii="Century" w:hAnsi="Century" w:hint="cs"/>
          <w:rtl/>
        </w:rPr>
        <w:t xml:space="preserve">של בן או נכד של יהודי כזכאי שבות, נובע במישרין </w:t>
      </w:r>
      <w:r w:rsidRPr="00F84AE5">
        <w:rPr>
          <w:rFonts w:ascii="Century" w:hAnsi="Century" w:hint="cs"/>
          <w:rtl/>
        </w:rPr>
        <w:t>מ</w:t>
      </w:r>
      <w:r>
        <w:rPr>
          <w:rFonts w:ascii="Century" w:hAnsi="Century" w:hint="cs"/>
          <w:rtl/>
        </w:rPr>
        <w:t xml:space="preserve">הקשר המשפחתי שלו עם היהודי עצמו; ועל כן פטירתם של הבן או הנכד ככלל אינה מאיינת זכאות זו. פרשנות זו מתבקשת גם מבחינה תכליתית. </w:t>
      </w:r>
      <w:r w:rsidRPr="00F84AE5">
        <w:rPr>
          <w:rFonts w:ascii="Century" w:hAnsi="Century" w:hint="cs"/>
          <w:rtl/>
        </w:rPr>
        <w:t>כמפורט לעיל, סעיף 4א(א) לחוק השבות מתמקד</w:t>
      </w:r>
      <w:r>
        <w:rPr>
          <w:rFonts w:ascii="Century" w:hAnsi="Century" w:hint="cs"/>
          <w:rtl/>
        </w:rPr>
        <w:t xml:space="preserve"> בשלמות משפחתו של היהודי ועלייתם של בני המשפחה כולם לארץ ישראל.</w:t>
      </w:r>
      <w:r w:rsidRPr="00F84AE5">
        <w:rPr>
          <w:rFonts w:ascii="Century" w:hAnsi="Century" w:hint="cs"/>
          <w:rtl/>
        </w:rPr>
        <w:t xml:space="preserve">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אין אפוא כל יסוד לקבוע, לא בהיבט הלשון ולא בהיבט התכלית, כי עצם </w:t>
      </w:r>
      <w:r w:rsidRPr="000009A2">
        <w:rPr>
          <w:rFonts w:ascii="Century" w:hAnsi="Century" w:hint="eastAsia"/>
          <w:rtl/>
        </w:rPr>
        <w:t>פטירתו</w:t>
      </w:r>
      <w:r w:rsidRPr="000009A2">
        <w:rPr>
          <w:rFonts w:ascii="Century" w:hAnsi="Century"/>
          <w:rtl/>
        </w:rPr>
        <w:t xml:space="preserve"> </w:t>
      </w:r>
      <w:r w:rsidRPr="000009A2">
        <w:rPr>
          <w:rFonts w:ascii="Century" w:hAnsi="Century" w:hint="eastAsia"/>
          <w:rtl/>
        </w:rPr>
        <w:t>של</w:t>
      </w:r>
      <w:r w:rsidRPr="000009A2">
        <w:rPr>
          <w:rFonts w:ascii="Century" w:hAnsi="Century"/>
          <w:rtl/>
        </w:rPr>
        <w:t xml:space="preserve"> </w:t>
      </w:r>
      <w:r>
        <w:rPr>
          <w:rFonts w:ascii="Century" w:hAnsi="Century" w:hint="cs"/>
          <w:rtl/>
        </w:rPr>
        <w:t>אדם</w:t>
      </w:r>
      <w:r w:rsidRPr="000009A2">
        <w:rPr>
          <w:rFonts w:ascii="Century" w:hAnsi="Century"/>
          <w:rtl/>
        </w:rPr>
        <w:t xml:space="preserve"> </w:t>
      </w:r>
      <w:r w:rsidRPr="000009A2">
        <w:rPr>
          <w:rFonts w:ascii="Century" w:hAnsi="Century" w:hint="eastAsia"/>
          <w:rtl/>
        </w:rPr>
        <w:t>מנתקת</w:t>
      </w:r>
      <w:r w:rsidRPr="000009A2">
        <w:rPr>
          <w:rFonts w:ascii="Century" w:hAnsi="Century"/>
          <w:rtl/>
        </w:rPr>
        <w:t xml:space="preserve"> </w:t>
      </w:r>
      <w:r w:rsidRPr="000009A2">
        <w:rPr>
          <w:rFonts w:ascii="Century" w:hAnsi="Century" w:hint="eastAsia"/>
          <w:rtl/>
        </w:rPr>
        <w:t>את</w:t>
      </w:r>
      <w:r w:rsidRPr="000009A2">
        <w:rPr>
          <w:rFonts w:ascii="Century" w:hAnsi="Century"/>
          <w:rtl/>
        </w:rPr>
        <w:t xml:space="preserve"> </w:t>
      </w:r>
      <w:r w:rsidRPr="000009A2">
        <w:rPr>
          <w:rFonts w:ascii="Century" w:hAnsi="Century" w:hint="eastAsia"/>
          <w:rtl/>
        </w:rPr>
        <w:t>אלמנתו</w:t>
      </w:r>
      <w:r w:rsidRPr="000009A2">
        <w:rPr>
          <w:rFonts w:ascii="Century" w:hAnsi="Century"/>
          <w:rtl/>
        </w:rPr>
        <w:t xml:space="preserve"> </w:t>
      </w:r>
      <w:r w:rsidRPr="000009A2">
        <w:rPr>
          <w:rFonts w:ascii="Century" w:hAnsi="Century" w:hint="eastAsia"/>
          <w:rtl/>
        </w:rPr>
        <w:t>ממשפחתו</w:t>
      </w:r>
      <w:r>
        <w:rPr>
          <w:rFonts w:ascii="Century" w:hAnsi="Century"/>
          <w:rtl/>
        </w:rPr>
        <w:t>.</w:t>
      </w:r>
      <w:r w:rsidRPr="000009A2">
        <w:rPr>
          <w:rFonts w:ascii="Century" w:hAnsi="Century"/>
          <w:rtl/>
        </w:rPr>
        <w:t xml:space="preserve"> </w:t>
      </w:r>
      <w:r>
        <w:rPr>
          <w:rFonts w:ascii="Century" w:hAnsi="Century" w:hint="cs"/>
          <w:rtl/>
        </w:rPr>
        <w:t>אף אין זה ראוי להדיר את האלמנה ממשפחתו של בן זוגה רק בשל פטירתו; כפי שהבהרתי בפסק הדין נושא הדיון הנוסף,</w:t>
      </w:r>
      <w:r w:rsidRPr="000009A2">
        <w:rPr>
          <w:rFonts w:ascii="Century" w:hAnsi="Century"/>
          <w:rtl/>
        </w:rPr>
        <w:t xml:space="preserve"> </w:t>
      </w:r>
      <w:r>
        <w:rPr>
          <w:rFonts w:ascii="Century" w:hAnsi="Century" w:hint="cs"/>
          <w:rtl/>
        </w:rPr>
        <w:t>נקודת המוצא היא ש"</w:t>
      </w:r>
      <w:r w:rsidRPr="000009A2">
        <w:rPr>
          <w:rFonts w:ascii="Century" w:hAnsi="Century" w:cs="Miriam" w:hint="eastAsia"/>
          <w:b/>
          <w:spacing w:val="0"/>
          <w:szCs w:val="24"/>
          <w:rtl/>
        </w:rPr>
        <w:t>אלמנה</w:t>
      </w:r>
      <w:r w:rsidRPr="000009A2">
        <w:rPr>
          <w:rFonts w:ascii="Century" w:hAnsi="Century" w:cs="Miriam"/>
          <w:b/>
          <w:spacing w:val="0"/>
          <w:szCs w:val="24"/>
          <w:rtl/>
        </w:rPr>
        <w:t xml:space="preserve"> </w:t>
      </w:r>
      <w:r w:rsidRPr="000009A2">
        <w:rPr>
          <w:rFonts w:ascii="Century" w:hAnsi="Century" w:cs="Miriam" w:hint="eastAsia"/>
          <w:b/>
          <w:spacing w:val="0"/>
          <w:szCs w:val="24"/>
          <w:rtl/>
        </w:rPr>
        <w:t>איננה</w:t>
      </w:r>
      <w:r w:rsidRPr="000009A2">
        <w:rPr>
          <w:rFonts w:ascii="Century" w:hAnsi="Century" w:cs="Miriam"/>
          <w:b/>
          <w:spacing w:val="0"/>
          <w:szCs w:val="24"/>
          <w:rtl/>
        </w:rPr>
        <w:t xml:space="preserve"> </w:t>
      </w:r>
      <w:r w:rsidRPr="000009A2">
        <w:rPr>
          <w:rFonts w:ascii="Century" w:hAnsi="Century" w:cs="Miriam" w:hint="eastAsia"/>
          <w:b/>
          <w:spacing w:val="0"/>
          <w:szCs w:val="24"/>
          <w:rtl/>
        </w:rPr>
        <w:t>גרושה</w:t>
      </w:r>
      <w:r w:rsidRPr="000009A2">
        <w:rPr>
          <w:rFonts w:ascii="Century" w:hAnsi="Century" w:cs="Miriam"/>
          <w:b/>
          <w:spacing w:val="0"/>
          <w:szCs w:val="24"/>
          <w:rtl/>
        </w:rPr>
        <w:t xml:space="preserve"> </w:t>
      </w:r>
      <w:r w:rsidRPr="000009A2">
        <w:rPr>
          <w:rFonts w:ascii="Century" w:hAnsi="Century" w:cs="Miriam" w:hint="eastAsia"/>
          <w:b/>
          <w:spacing w:val="0"/>
          <w:szCs w:val="24"/>
          <w:rtl/>
        </w:rPr>
        <w:t>והמנוח</w:t>
      </w:r>
      <w:r w:rsidRPr="000009A2">
        <w:rPr>
          <w:rFonts w:ascii="Century" w:hAnsi="Century" w:cs="Miriam"/>
          <w:b/>
          <w:spacing w:val="0"/>
          <w:szCs w:val="24"/>
          <w:rtl/>
        </w:rPr>
        <w:t xml:space="preserve"> </w:t>
      </w:r>
      <w:r w:rsidRPr="000009A2">
        <w:rPr>
          <w:rFonts w:ascii="Century" w:hAnsi="Century" w:cs="Miriam" w:hint="eastAsia"/>
          <w:b/>
          <w:spacing w:val="0"/>
          <w:szCs w:val="24"/>
          <w:rtl/>
        </w:rPr>
        <w:t>איננו</w:t>
      </w:r>
      <w:r w:rsidRPr="000009A2">
        <w:rPr>
          <w:rFonts w:ascii="Century" w:hAnsi="Century" w:cs="Miriam"/>
          <w:b/>
          <w:spacing w:val="0"/>
          <w:szCs w:val="24"/>
          <w:rtl/>
        </w:rPr>
        <w:t xml:space="preserve"> </w:t>
      </w:r>
      <w:r w:rsidRPr="000009A2">
        <w:rPr>
          <w:rFonts w:ascii="Century" w:hAnsi="Century" w:cs="Miriam" w:hint="eastAsia"/>
          <w:b/>
          <w:spacing w:val="0"/>
          <w:szCs w:val="24"/>
          <w:rtl/>
        </w:rPr>
        <w:t>בעלה</w:t>
      </w:r>
      <w:r w:rsidRPr="000009A2">
        <w:rPr>
          <w:rFonts w:ascii="Century" w:hAnsi="Century" w:cs="Miriam"/>
          <w:b/>
          <w:spacing w:val="0"/>
          <w:szCs w:val="24"/>
          <w:rtl/>
        </w:rPr>
        <w:t xml:space="preserve"> </w:t>
      </w:r>
      <w:r w:rsidRPr="000009A2">
        <w:rPr>
          <w:rFonts w:ascii="Century" w:hAnsi="Century" w:cs="Miriam" w:hint="eastAsia"/>
          <w:b/>
          <w:spacing w:val="0"/>
          <w:szCs w:val="24"/>
          <w:rtl/>
        </w:rPr>
        <w:t>לשעבר</w:t>
      </w:r>
      <w:r w:rsidRPr="000009A2">
        <w:rPr>
          <w:rFonts w:ascii="Century" w:hAnsi="Century" w:cs="Miriam"/>
          <w:b/>
          <w:spacing w:val="0"/>
          <w:szCs w:val="24"/>
          <w:rtl/>
        </w:rPr>
        <w:t xml:space="preserve">, </w:t>
      </w:r>
      <w:r w:rsidRPr="000009A2">
        <w:rPr>
          <w:rFonts w:ascii="Century" w:hAnsi="Century" w:cs="Miriam" w:hint="eastAsia"/>
          <w:b/>
          <w:spacing w:val="0"/>
          <w:szCs w:val="24"/>
          <w:rtl/>
        </w:rPr>
        <w:t>הוא</w:t>
      </w:r>
      <w:r w:rsidRPr="000009A2">
        <w:rPr>
          <w:rFonts w:ascii="Century" w:hAnsi="Century" w:cs="Miriam"/>
          <w:b/>
          <w:spacing w:val="0"/>
          <w:szCs w:val="24"/>
          <w:rtl/>
        </w:rPr>
        <w:t xml:space="preserve"> </w:t>
      </w:r>
      <w:r w:rsidRPr="000009A2">
        <w:rPr>
          <w:rFonts w:ascii="Century" w:hAnsi="Century" w:cs="Miriam" w:hint="eastAsia"/>
          <w:b/>
          <w:spacing w:val="0"/>
          <w:szCs w:val="24"/>
          <w:rtl/>
        </w:rPr>
        <w:t>בעלה</w:t>
      </w:r>
      <w:r w:rsidRPr="000009A2">
        <w:rPr>
          <w:rFonts w:ascii="Century" w:hAnsi="Century" w:cs="Miriam"/>
          <w:b/>
          <w:spacing w:val="0"/>
          <w:szCs w:val="24"/>
          <w:rtl/>
        </w:rPr>
        <w:t xml:space="preserve"> </w:t>
      </w:r>
      <w:r w:rsidRPr="000009A2">
        <w:rPr>
          <w:rFonts w:ascii="Century" w:hAnsi="Century" w:cs="Miriam" w:hint="eastAsia"/>
          <w:b/>
          <w:spacing w:val="0"/>
          <w:szCs w:val="24"/>
          <w:rtl/>
        </w:rPr>
        <w:t>המנוח</w:t>
      </w:r>
      <w:r>
        <w:rPr>
          <w:rFonts w:ascii="Century" w:hAnsi="Century" w:hint="cs"/>
          <w:rtl/>
        </w:rPr>
        <w:t>"</w:t>
      </w:r>
      <w:r w:rsidRPr="000009A2">
        <w:rPr>
          <w:rFonts w:ascii="Century" w:hAnsi="Century"/>
          <w:rtl/>
        </w:rPr>
        <w:t>.</w:t>
      </w:r>
      <w:r>
        <w:rPr>
          <w:rFonts w:ascii="Century" w:hAnsi="Century" w:hint="cs"/>
          <w:rtl/>
        </w:rPr>
        <w:t xml:space="preserve"> משכך, התוצאה המתבקשת היא שזכות השבות הנתונה לבת זוג של הבן או הנכד של יהודי ממשיכה לחול גם עם פטירתו והיותה לאלמנה. זאת, למעט במקרים שבהם הוכח על ידי המדינה כי בפועל חל ניתוק בין האלמנה ובין המשפחה </w:t>
      </w:r>
      <w:r>
        <w:rPr>
          <w:rFonts w:ascii="Century" w:hAnsi="Century"/>
          <w:rtl/>
        </w:rPr>
        <w:t>–</w:t>
      </w:r>
      <w:r>
        <w:rPr>
          <w:rFonts w:ascii="Century" w:hAnsi="Century" w:hint="cs"/>
          <w:rtl/>
        </w:rPr>
        <w:t xml:space="preserve"> למשל בשל נישואי האלמנה לאדם אחר.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hint="cs"/>
          <w:rtl/>
        </w:rPr>
        <w:t>5.</w:t>
      </w:r>
      <w:r>
        <w:rPr>
          <w:rFonts w:ascii="Century" w:hAnsi="Century"/>
          <w:rtl/>
        </w:rPr>
        <w:tab/>
      </w:r>
      <w:r>
        <w:rPr>
          <w:rFonts w:ascii="Century" w:hAnsi="Century" w:hint="cs"/>
          <w:rtl/>
        </w:rPr>
        <w:t xml:space="preserve">השופט </w:t>
      </w:r>
      <w:r w:rsidRPr="00A905C6">
        <w:rPr>
          <w:rFonts w:ascii="Century" w:hAnsi="Century" w:cs="Miriam" w:hint="cs"/>
          <w:b/>
          <w:spacing w:val="0"/>
          <w:szCs w:val="24"/>
          <w:rtl/>
        </w:rPr>
        <w:t>סולברג</w:t>
      </w:r>
      <w:r w:rsidRPr="00A905C6">
        <w:rPr>
          <w:rFonts w:ascii="Century" w:hAnsi="Century" w:hint="cs"/>
          <w:rtl/>
        </w:rPr>
        <w:t xml:space="preserve"> </w:t>
      </w:r>
      <w:r>
        <w:rPr>
          <w:rFonts w:ascii="Century" w:hAnsi="Century" w:hint="cs"/>
          <w:rtl/>
        </w:rPr>
        <w:t xml:space="preserve">אינו סבור כי לכל אחד מזכאי השבות עומדת זכות שבות שווה ועצמאית </w:t>
      </w:r>
      <w:r>
        <w:rPr>
          <w:rFonts w:ascii="Century" w:hAnsi="Century"/>
          <w:rtl/>
        </w:rPr>
        <w:t>–</w:t>
      </w:r>
      <w:r>
        <w:rPr>
          <w:rFonts w:ascii="Century" w:hAnsi="Century" w:hint="cs"/>
          <w:rtl/>
        </w:rPr>
        <w:t xml:space="preserve"> אלא שקיים "מדרג" בין בני המשפחה בכל הנוגע לעוצמה ולטיב הזכויות המוקנות להם; וכי "עליית </w:t>
      </w:r>
      <w:r w:rsidRPr="0059516B">
        <w:rPr>
          <w:rFonts w:ascii="Century" w:hAnsi="Century" w:cs="Miriam" w:hint="cs"/>
          <w:b/>
          <w:spacing w:val="0"/>
          <w:szCs w:val="24"/>
          <w:rtl/>
        </w:rPr>
        <w:t>צאצאי</w:t>
      </w:r>
      <w:r w:rsidRPr="0059516B">
        <w:rPr>
          <w:rFonts w:ascii="Century" w:hAnsi="Century" w:hint="cs"/>
          <w:rtl/>
        </w:rPr>
        <w:t xml:space="preserve"> </w:t>
      </w:r>
      <w:r>
        <w:rPr>
          <w:rFonts w:ascii="Century" w:hAnsi="Century" w:hint="cs"/>
          <w:rtl/>
        </w:rPr>
        <w:t>היהודי ארצה מגשימה במידה רבה יותר את תכליות החוק, בהשוואה ל</w:t>
      </w:r>
      <w:r w:rsidRPr="0059516B">
        <w:rPr>
          <w:rFonts w:ascii="Century" w:hAnsi="Century" w:cs="Miriam" w:hint="cs"/>
          <w:b/>
          <w:spacing w:val="0"/>
          <w:szCs w:val="24"/>
          <w:rtl/>
        </w:rPr>
        <w:t>בני זוגם</w:t>
      </w:r>
      <w:r>
        <w:rPr>
          <w:rFonts w:ascii="Century" w:hAnsi="Century" w:hint="cs"/>
          <w:rtl/>
        </w:rPr>
        <w:t xml:space="preserve">" (ההדגשות שלי </w:t>
      </w:r>
      <w:r>
        <w:rPr>
          <w:rFonts w:ascii="Century" w:hAnsi="Century"/>
          <w:rtl/>
        </w:rPr>
        <w:t>–</w:t>
      </w:r>
      <w:r>
        <w:rPr>
          <w:rFonts w:ascii="Century" w:hAnsi="Century" w:hint="cs"/>
          <w:rtl/>
        </w:rPr>
        <w:t xml:space="preserve"> ע'ב') (בפסקה 21 לחוות דעתו). כך, בעיקר, משום שהבן והנכד, בניגוד לבני זוגם, קשורים לעם היהודי </w:t>
      </w:r>
      <w:r w:rsidRPr="00886989">
        <w:rPr>
          <w:rFonts w:ascii="Century" w:hAnsi="Century" w:cs="Miriam" w:hint="cs"/>
          <w:b/>
          <w:spacing w:val="0"/>
          <w:szCs w:val="24"/>
          <w:rtl/>
        </w:rPr>
        <w:t>בקשר דם</w:t>
      </w:r>
      <w:r w:rsidRPr="00886989">
        <w:rPr>
          <w:rFonts w:ascii="Century" w:hAnsi="Century" w:hint="cs"/>
          <w:rtl/>
        </w:rPr>
        <w:t xml:space="preserve"> </w:t>
      </w:r>
      <w:r>
        <w:rPr>
          <w:rFonts w:ascii="Century" w:hAnsi="Century" w:hint="cs"/>
          <w:rtl/>
        </w:rPr>
        <w:t>מולד שאינו בר ניתוק; משום ש</w:t>
      </w:r>
      <w:r w:rsidRPr="00886989">
        <w:rPr>
          <w:rFonts w:ascii="Century" w:hAnsi="Century" w:cs="Miriam" w:hint="cs"/>
          <w:b/>
          <w:spacing w:val="0"/>
          <w:szCs w:val="24"/>
          <w:rtl/>
        </w:rPr>
        <w:t>מעמדם ההלכתי</w:t>
      </w:r>
      <w:r w:rsidRPr="00886989">
        <w:rPr>
          <w:rFonts w:ascii="Century" w:hAnsi="Century" w:hint="cs"/>
          <w:rtl/>
        </w:rPr>
        <w:t xml:space="preserve"> </w:t>
      </w:r>
      <w:r>
        <w:rPr>
          <w:rFonts w:ascii="Century" w:hAnsi="Century" w:hint="cs"/>
          <w:rtl/>
        </w:rPr>
        <w:t>של הבן והנכד רם ביחס למי שנישא ליהודי, בהיותם של הצאצאים "זרע ישראל"; ובהינתן מיקומם ב"מעגלי הקרבה" ליהודי. משכך, לגישתו של חברי, עם פטירת הבן או הנכד פוקעת זכות השבות הנתונה לבני זוגם. גישתי שונה.</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לטעמי, אין מקומם של השיקולים ששוקל חברי בגדרו של סעיף 4א(א) לחוק השבות. המבחן המרכזי שלאורו יש לבחון את זכאותם של זכאי השבות לזכויות מכוח החוק הוא </w:t>
      </w:r>
      <w:r w:rsidRPr="00EC4DCA">
        <w:rPr>
          <w:rFonts w:ascii="Century" w:hAnsi="Century" w:cs="Miriam" w:hint="cs"/>
          <w:b/>
          <w:spacing w:val="0"/>
          <w:szCs w:val="24"/>
          <w:rtl/>
        </w:rPr>
        <w:t>כנות הקשר המשפחתי</w:t>
      </w:r>
      <w:r>
        <w:rPr>
          <w:rFonts w:ascii="Century" w:hAnsi="Century" w:cs="Miriam" w:hint="cs"/>
          <w:b/>
          <w:spacing w:val="0"/>
          <w:szCs w:val="24"/>
          <w:rtl/>
        </w:rPr>
        <w:t xml:space="preserve"> ליהודי</w:t>
      </w:r>
      <w:r>
        <w:rPr>
          <w:rFonts w:ascii="Century" w:hAnsi="Century" w:hint="cs"/>
          <w:rtl/>
        </w:rPr>
        <w:t>, ובהקשר זה אין זה משנה אם מדובר בקשר דם או בקשר נישואין:</w:t>
      </w:r>
    </w:p>
    <w:p w:rsidR="00872589" w:rsidRDefault="00872589" w:rsidP="00872589">
      <w:pPr>
        <w:pStyle w:val="Ruller41"/>
        <w:spacing w:line="240" w:lineRule="auto"/>
        <w:rPr>
          <w:rFonts w:ascii="Century" w:hAnsi="Century"/>
          <w:rtl/>
        </w:rPr>
      </w:pPr>
    </w:p>
    <w:p w:rsidR="00872589" w:rsidRPr="00603965" w:rsidRDefault="00872589" w:rsidP="00872589">
      <w:pPr>
        <w:pStyle w:val="Ruller5"/>
        <w:rPr>
          <w:rtl/>
        </w:rPr>
      </w:pPr>
      <w:r>
        <w:rPr>
          <w:rFonts w:hint="cs"/>
          <w:rtl/>
        </w:rPr>
        <w:t>"</w:t>
      </w:r>
      <w:r w:rsidRPr="002B3E36">
        <w:rPr>
          <w:rFonts w:hint="eastAsia"/>
          <w:rtl/>
        </w:rPr>
        <w:t>שבות</w:t>
      </w:r>
      <w:r w:rsidRPr="002B3E36">
        <w:rPr>
          <w:rtl/>
        </w:rPr>
        <w:t xml:space="preserve"> </w:t>
      </w:r>
      <w:r w:rsidRPr="002B3E36">
        <w:rPr>
          <w:rFonts w:hint="eastAsia"/>
          <w:rtl/>
        </w:rPr>
        <w:t>כהוראת</w:t>
      </w:r>
      <w:r w:rsidRPr="002B3E36">
        <w:rPr>
          <w:rtl/>
        </w:rPr>
        <w:t xml:space="preserve"> </w:t>
      </w:r>
      <w:r w:rsidRPr="002B3E36">
        <w:rPr>
          <w:rFonts w:hint="eastAsia"/>
          <w:rtl/>
        </w:rPr>
        <w:t>סעיף</w:t>
      </w:r>
      <w:r w:rsidRPr="002B3E36">
        <w:rPr>
          <w:rtl/>
        </w:rPr>
        <w:t xml:space="preserve"> 4</w:t>
      </w:r>
      <w:r w:rsidRPr="002B3E36">
        <w:rPr>
          <w:rFonts w:hint="eastAsia"/>
          <w:rtl/>
        </w:rPr>
        <w:t>א</w:t>
      </w:r>
      <w:r w:rsidRPr="002B3E36">
        <w:rPr>
          <w:rtl/>
        </w:rPr>
        <w:t xml:space="preserve"> </w:t>
      </w:r>
      <w:r w:rsidRPr="002B3E36">
        <w:rPr>
          <w:rFonts w:hint="eastAsia"/>
          <w:rtl/>
        </w:rPr>
        <w:t>שלחוק</w:t>
      </w:r>
      <w:r w:rsidRPr="002B3E36">
        <w:rPr>
          <w:rtl/>
        </w:rPr>
        <w:t xml:space="preserve"> </w:t>
      </w:r>
      <w:r w:rsidRPr="002B3E36">
        <w:rPr>
          <w:rFonts w:hint="eastAsia"/>
          <w:rtl/>
        </w:rPr>
        <w:t>תוענק</w:t>
      </w:r>
      <w:r w:rsidRPr="002B3E36">
        <w:rPr>
          <w:rtl/>
        </w:rPr>
        <w:t xml:space="preserve"> </w:t>
      </w:r>
      <w:r w:rsidRPr="002B3E36">
        <w:rPr>
          <w:rFonts w:hint="eastAsia"/>
          <w:rtl/>
        </w:rPr>
        <w:t>אך</w:t>
      </w:r>
      <w:r w:rsidRPr="002B3E36">
        <w:rPr>
          <w:rtl/>
        </w:rPr>
        <w:t xml:space="preserve"> </w:t>
      </w:r>
      <w:r w:rsidRPr="002B3E36">
        <w:rPr>
          <w:rFonts w:hint="eastAsia"/>
          <w:rtl/>
        </w:rPr>
        <w:t>ורק</w:t>
      </w:r>
      <w:r w:rsidRPr="002B3E36">
        <w:rPr>
          <w:rtl/>
        </w:rPr>
        <w:t xml:space="preserve"> </w:t>
      </w:r>
      <w:r w:rsidRPr="002B3E36">
        <w:rPr>
          <w:rFonts w:hint="eastAsia"/>
          <w:rtl/>
        </w:rPr>
        <w:t>לבני</w:t>
      </w:r>
      <w:r w:rsidRPr="002B3E36">
        <w:rPr>
          <w:rtl/>
        </w:rPr>
        <w:t>-</w:t>
      </w:r>
      <w:r w:rsidRPr="002B3E36">
        <w:rPr>
          <w:rFonts w:hint="eastAsia"/>
          <w:rtl/>
        </w:rPr>
        <w:t>זוג</w:t>
      </w:r>
      <w:r w:rsidRPr="002B3E36">
        <w:rPr>
          <w:rtl/>
        </w:rPr>
        <w:t xml:space="preserve"> </w:t>
      </w:r>
      <w:r w:rsidRPr="002B3E36">
        <w:rPr>
          <w:rFonts w:hint="eastAsia"/>
          <w:rtl/>
        </w:rPr>
        <w:t>ובני</w:t>
      </w:r>
      <w:r w:rsidRPr="002B3E36">
        <w:rPr>
          <w:rtl/>
        </w:rPr>
        <w:t>-</w:t>
      </w:r>
      <w:r w:rsidRPr="002B3E36">
        <w:rPr>
          <w:rFonts w:hint="eastAsia"/>
          <w:rtl/>
        </w:rPr>
        <w:t>משפחה</w:t>
      </w:r>
      <w:r w:rsidRPr="002B3E36">
        <w:rPr>
          <w:rtl/>
        </w:rPr>
        <w:t xml:space="preserve"> </w:t>
      </w:r>
      <w:r w:rsidRPr="002B3E36">
        <w:rPr>
          <w:rFonts w:hint="eastAsia"/>
          <w:rtl/>
        </w:rPr>
        <w:t>לא</w:t>
      </w:r>
      <w:r w:rsidRPr="002B3E36">
        <w:rPr>
          <w:rtl/>
        </w:rPr>
        <w:t xml:space="preserve"> </w:t>
      </w:r>
      <w:r w:rsidRPr="002B3E36">
        <w:rPr>
          <w:rFonts w:hint="eastAsia"/>
          <w:rtl/>
        </w:rPr>
        <w:t>יהודים</w:t>
      </w:r>
      <w:r w:rsidRPr="002B3E36">
        <w:rPr>
          <w:rtl/>
        </w:rPr>
        <w:t xml:space="preserve"> </w:t>
      </w:r>
      <w:r w:rsidRPr="002B3E36">
        <w:rPr>
          <w:rFonts w:hint="eastAsia"/>
          <w:rtl/>
        </w:rPr>
        <w:t>שקשרו</w:t>
      </w:r>
      <w:r w:rsidRPr="002B3E36">
        <w:rPr>
          <w:rtl/>
        </w:rPr>
        <w:t xml:space="preserve"> </w:t>
      </w:r>
      <w:r w:rsidRPr="002B3E36">
        <w:rPr>
          <w:rFonts w:hint="eastAsia"/>
          <w:rtl/>
        </w:rPr>
        <w:t>גורלם</w:t>
      </w:r>
      <w:r w:rsidRPr="002B3E36">
        <w:rPr>
          <w:rtl/>
        </w:rPr>
        <w:t xml:space="preserve"> </w:t>
      </w:r>
      <w:r w:rsidRPr="002B3E36">
        <w:rPr>
          <w:rFonts w:hint="eastAsia"/>
          <w:rtl/>
        </w:rPr>
        <w:t>בגורלו</w:t>
      </w:r>
      <w:r w:rsidRPr="002B3E36">
        <w:rPr>
          <w:rtl/>
        </w:rPr>
        <w:t xml:space="preserve"> </w:t>
      </w:r>
      <w:r w:rsidRPr="002B3E36">
        <w:rPr>
          <w:rFonts w:hint="eastAsia"/>
          <w:rtl/>
        </w:rPr>
        <w:t>של</w:t>
      </w:r>
      <w:r w:rsidRPr="002B3E36">
        <w:rPr>
          <w:rtl/>
        </w:rPr>
        <w:t xml:space="preserve"> </w:t>
      </w:r>
      <w:r w:rsidRPr="002B3E36">
        <w:rPr>
          <w:rFonts w:hint="eastAsia"/>
          <w:rtl/>
        </w:rPr>
        <w:t>יהודי</w:t>
      </w:r>
      <w:r w:rsidRPr="002B3E36">
        <w:rPr>
          <w:rtl/>
        </w:rPr>
        <w:t xml:space="preserve"> </w:t>
      </w:r>
      <w:r w:rsidRPr="002B3E36">
        <w:rPr>
          <w:rFonts w:hint="eastAsia"/>
          <w:rtl/>
        </w:rPr>
        <w:t>שחוק</w:t>
      </w:r>
      <w:r w:rsidRPr="002B3E36">
        <w:rPr>
          <w:rtl/>
        </w:rPr>
        <w:t xml:space="preserve"> </w:t>
      </w:r>
      <w:r w:rsidRPr="002B3E36">
        <w:rPr>
          <w:rFonts w:hint="eastAsia"/>
          <w:rtl/>
        </w:rPr>
        <w:t>השבות</w:t>
      </w:r>
      <w:r w:rsidRPr="002B3E36">
        <w:rPr>
          <w:rtl/>
        </w:rPr>
        <w:t xml:space="preserve"> </w:t>
      </w:r>
      <w:r w:rsidRPr="002B3E36">
        <w:rPr>
          <w:rFonts w:hint="eastAsia"/>
          <w:rtl/>
        </w:rPr>
        <w:t>חל</w:t>
      </w:r>
      <w:r w:rsidRPr="002B3E36">
        <w:rPr>
          <w:rtl/>
        </w:rPr>
        <w:t xml:space="preserve"> </w:t>
      </w:r>
      <w:r w:rsidRPr="002B3E36">
        <w:rPr>
          <w:rFonts w:hint="eastAsia"/>
          <w:rtl/>
        </w:rPr>
        <w:t>עליו</w:t>
      </w:r>
      <w:r w:rsidRPr="002B3E36">
        <w:rPr>
          <w:rtl/>
        </w:rPr>
        <w:t xml:space="preserve"> – </w:t>
      </w:r>
      <w:r w:rsidRPr="002B3E36">
        <w:rPr>
          <w:rFonts w:hint="eastAsia"/>
          <w:rtl/>
        </w:rPr>
        <w:t>וממילא</w:t>
      </w:r>
      <w:r w:rsidRPr="002B3E36">
        <w:rPr>
          <w:rtl/>
        </w:rPr>
        <w:t xml:space="preserve"> </w:t>
      </w:r>
      <w:r w:rsidRPr="002B3E36">
        <w:rPr>
          <w:rFonts w:hint="eastAsia"/>
          <w:rtl/>
        </w:rPr>
        <w:t>קשרו</w:t>
      </w:r>
      <w:r w:rsidRPr="002B3E36">
        <w:rPr>
          <w:rtl/>
        </w:rPr>
        <w:t xml:space="preserve"> </w:t>
      </w:r>
      <w:r w:rsidRPr="002B3E36">
        <w:rPr>
          <w:rFonts w:hint="eastAsia"/>
          <w:rtl/>
        </w:rPr>
        <w:t>גורלם</w:t>
      </w:r>
      <w:r w:rsidRPr="002B3E36">
        <w:rPr>
          <w:rtl/>
        </w:rPr>
        <w:t xml:space="preserve"> </w:t>
      </w:r>
      <w:r w:rsidRPr="002B3E36">
        <w:rPr>
          <w:rFonts w:hint="eastAsia"/>
          <w:rtl/>
        </w:rPr>
        <w:t>בגורלו</w:t>
      </w:r>
      <w:r w:rsidRPr="002B3E36">
        <w:rPr>
          <w:rtl/>
        </w:rPr>
        <w:t xml:space="preserve"> </w:t>
      </w:r>
      <w:r w:rsidRPr="002B3E36">
        <w:rPr>
          <w:rFonts w:hint="eastAsia"/>
          <w:rtl/>
        </w:rPr>
        <w:t>של</w:t>
      </w:r>
      <w:r w:rsidRPr="002B3E36">
        <w:rPr>
          <w:rtl/>
        </w:rPr>
        <w:t xml:space="preserve"> </w:t>
      </w:r>
      <w:r w:rsidRPr="002B3E36">
        <w:rPr>
          <w:rFonts w:hint="eastAsia"/>
          <w:rtl/>
        </w:rPr>
        <w:t>העם</w:t>
      </w:r>
      <w:r w:rsidRPr="002B3E36">
        <w:rPr>
          <w:rtl/>
        </w:rPr>
        <w:t xml:space="preserve"> </w:t>
      </w:r>
      <w:r w:rsidRPr="002B3E36">
        <w:rPr>
          <w:rFonts w:hint="eastAsia"/>
          <w:rtl/>
        </w:rPr>
        <w:t>היהודי</w:t>
      </w:r>
      <w:r w:rsidRPr="002B3E36">
        <w:rPr>
          <w:rtl/>
        </w:rPr>
        <w:t xml:space="preserve"> – </w:t>
      </w:r>
      <w:r w:rsidRPr="002B3E36">
        <w:rPr>
          <w:rFonts w:hint="eastAsia"/>
          <w:rtl/>
        </w:rPr>
        <w:t>ובה</w:t>
      </w:r>
      <w:r w:rsidRPr="002B3E36">
        <w:rPr>
          <w:rtl/>
        </w:rPr>
        <w:t>-</w:t>
      </w:r>
      <w:r w:rsidRPr="002B3E36">
        <w:rPr>
          <w:rFonts w:hint="eastAsia"/>
          <w:rtl/>
        </w:rPr>
        <w:t>בעת</w:t>
      </w:r>
      <w:r w:rsidRPr="002B3E36">
        <w:rPr>
          <w:rtl/>
        </w:rPr>
        <w:t xml:space="preserve"> </w:t>
      </w:r>
      <w:r w:rsidRPr="002B3E36">
        <w:rPr>
          <w:rFonts w:hint="eastAsia"/>
          <w:rtl/>
        </w:rPr>
        <w:t>לא</w:t>
      </w:r>
      <w:r w:rsidRPr="002B3E36">
        <w:rPr>
          <w:rtl/>
        </w:rPr>
        <w:t xml:space="preserve"> </w:t>
      </w:r>
      <w:r w:rsidRPr="002B3E36">
        <w:rPr>
          <w:rFonts w:hint="eastAsia"/>
          <w:rtl/>
        </w:rPr>
        <w:t>תינתן</w:t>
      </w:r>
      <w:r w:rsidRPr="002B3E36">
        <w:rPr>
          <w:rtl/>
        </w:rPr>
        <w:t xml:space="preserve"> </w:t>
      </w:r>
      <w:r w:rsidRPr="002B3E36">
        <w:rPr>
          <w:rFonts w:hint="eastAsia"/>
          <w:rtl/>
        </w:rPr>
        <w:t>זכות</w:t>
      </w:r>
      <w:r w:rsidRPr="002B3E36">
        <w:rPr>
          <w:rtl/>
        </w:rPr>
        <w:t xml:space="preserve"> </w:t>
      </w:r>
      <w:r w:rsidRPr="002B3E36">
        <w:rPr>
          <w:rFonts w:hint="eastAsia"/>
          <w:rtl/>
        </w:rPr>
        <w:t>לשבות</w:t>
      </w:r>
      <w:r w:rsidRPr="002B3E36">
        <w:rPr>
          <w:rtl/>
        </w:rPr>
        <w:t xml:space="preserve"> </w:t>
      </w:r>
      <w:r w:rsidRPr="002B3E36">
        <w:rPr>
          <w:rFonts w:hint="eastAsia"/>
          <w:rtl/>
        </w:rPr>
        <w:t>למי</w:t>
      </w:r>
      <w:r w:rsidRPr="002B3E36">
        <w:rPr>
          <w:rtl/>
        </w:rPr>
        <w:t xml:space="preserve"> </w:t>
      </w:r>
      <w:r w:rsidRPr="002B3E36">
        <w:rPr>
          <w:rFonts w:hint="eastAsia"/>
          <w:rtl/>
        </w:rPr>
        <w:t>שלא</w:t>
      </w:r>
      <w:r w:rsidRPr="002B3E36">
        <w:rPr>
          <w:rtl/>
        </w:rPr>
        <w:t xml:space="preserve"> </w:t>
      </w:r>
      <w:r w:rsidRPr="002B3E36">
        <w:rPr>
          <w:rFonts w:hint="eastAsia"/>
          <w:rtl/>
        </w:rPr>
        <w:t>קשרו</w:t>
      </w:r>
      <w:r w:rsidRPr="002B3E36">
        <w:rPr>
          <w:rtl/>
        </w:rPr>
        <w:t xml:space="preserve"> </w:t>
      </w:r>
      <w:r w:rsidRPr="002B3E36">
        <w:rPr>
          <w:rFonts w:hint="eastAsia"/>
          <w:rtl/>
        </w:rPr>
        <w:t>אותו</w:t>
      </w:r>
      <w:r w:rsidRPr="002B3E36">
        <w:rPr>
          <w:rtl/>
        </w:rPr>
        <w:t xml:space="preserve"> </w:t>
      </w:r>
      <w:r w:rsidRPr="002B3E36">
        <w:rPr>
          <w:rFonts w:hint="eastAsia"/>
          <w:rtl/>
        </w:rPr>
        <w:t>קשר</w:t>
      </w:r>
      <w:r w:rsidRPr="002B3E36">
        <w:rPr>
          <w:rtl/>
        </w:rPr>
        <w:t>-</w:t>
      </w:r>
      <w:r w:rsidRPr="002B3E36">
        <w:rPr>
          <w:rFonts w:hint="eastAsia"/>
          <w:rtl/>
        </w:rPr>
        <w:t>גורל</w:t>
      </w:r>
      <w:r w:rsidRPr="002B3E36">
        <w:rPr>
          <w:rtl/>
        </w:rPr>
        <w:t xml:space="preserve">, </w:t>
      </w:r>
      <w:r w:rsidRPr="002B3E36">
        <w:rPr>
          <w:rFonts w:hint="eastAsia"/>
          <w:rtl/>
        </w:rPr>
        <w:t>אף</w:t>
      </w:r>
      <w:r w:rsidRPr="002B3E36">
        <w:rPr>
          <w:rtl/>
        </w:rPr>
        <w:t xml:space="preserve"> </w:t>
      </w:r>
      <w:r w:rsidRPr="002B3E36">
        <w:rPr>
          <w:rFonts w:hint="eastAsia"/>
          <w:rtl/>
        </w:rPr>
        <w:t>אם</w:t>
      </w:r>
      <w:r w:rsidRPr="002B3E36">
        <w:rPr>
          <w:rtl/>
        </w:rPr>
        <w:t xml:space="preserve"> </w:t>
      </w:r>
      <w:r w:rsidRPr="002B3E36">
        <w:rPr>
          <w:rFonts w:hint="eastAsia"/>
          <w:rtl/>
        </w:rPr>
        <w:t>מחזיקים</w:t>
      </w:r>
      <w:r w:rsidRPr="002B3E36">
        <w:rPr>
          <w:rtl/>
        </w:rPr>
        <w:t xml:space="preserve"> </w:t>
      </w:r>
      <w:r w:rsidRPr="002B3E36">
        <w:rPr>
          <w:rFonts w:hint="eastAsia"/>
          <w:rtl/>
        </w:rPr>
        <w:t>הם</w:t>
      </w:r>
      <w:r w:rsidRPr="002B3E36">
        <w:rPr>
          <w:rtl/>
        </w:rPr>
        <w:t xml:space="preserve"> </w:t>
      </w:r>
      <w:r w:rsidRPr="002B3E36">
        <w:rPr>
          <w:rFonts w:hint="eastAsia"/>
          <w:rtl/>
        </w:rPr>
        <w:t>בסטטוס</w:t>
      </w:r>
      <w:r w:rsidRPr="002B3E36">
        <w:rPr>
          <w:rtl/>
        </w:rPr>
        <w:t xml:space="preserve"> </w:t>
      </w:r>
      <w:r w:rsidRPr="002B3E36">
        <w:rPr>
          <w:rFonts w:hint="eastAsia"/>
          <w:rtl/>
        </w:rPr>
        <w:t>פורמאלי</w:t>
      </w:r>
      <w:r w:rsidRPr="002B3E36">
        <w:rPr>
          <w:rtl/>
        </w:rPr>
        <w:t xml:space="preserve"> </w:t>
      </w:r>
      <w:r w:rsidRPr="002B3E36">
        <w:rPr>
          <w:rFonts w:hint="eastAsia"/>
          <w:rtl/>
        </w:rPr>
        <w:t>של</w:t>
      </w:r>
      <w:r w:rsidRPr="002B3E36">
        <w:rPr>
          <w:rtl/>
        </w:rPr>
        <w:t xml:space="preserve"> </w:t>
      </w:r>
      <w:r w:rsidRPr="002B3E36">
        <w:rPr>
          <w:rFonts w:hint="eastAsia"/>
          <w:rtl/>
        </w:rPr>
        <w:t>היותם</w:t>
      </w:r>
      <w:r w:rsidRPr="002B3E36">
        <w:rPr>
          <w:rtl/>
        </w:rPr>
        <w:t xml:space="preserve"> </w:t>
      </w:r>
      <w:r w:rsidRPr="002B3E36">
        <w:rPr>
          <w:rFonts w:hint="eastAsia"/>
          <w:rtl/>
        </w:rPr>
        <w:t>בני</w:t>
      </w:r>
      <w:r w:rsidRPr="002B3E36">
        <w:rPr>
          <w:rtl/>
        </w:rPr>
        <w:t xml:space="preserve"> </w:t>
      </w:r>
      <w:r w:rsidRPr="002B3E36">
        <w:rPr>
          <w:rFonts w:hint="eastAsia"/>
          <w:rtl/>
        </w:rPr>
        <w:t>משפחה</w:t>
      </w:r>
      <w:r w:rsidRPr="002B3E36">
        <w:rPr>
          <w:rtl/>
        </w:rPr>
        <w:t xml:space="preserve">. </w:t>
      </w:r>
      <w:r w:rsidRPr="009F72A5">
        <w:rPr>
          <w:rFonts w:ascii="Century" w:hAnsi="Century" w:cs="Miriam" w:hint="eastAsia"/>
          <w:b/>
          <w:spacing w:val="0"/>
          <w:szCs w:val="24"/>
          <w:rtl/>
        </w:rPr>
        <w:t>הבחינה</w:t>
      </w:r>
      <w:r w:rsidRPr="009F72A5">
        <w:rPr>
          <w:rFonts w:ascii="Century" w:hAnsi="Century" w:cs="Miriam"/>
          <w:b/>
          <w:spacing w:val="0"/>
          <w:szCs w:val="24"/>
          <w:rtl/>
        </w:rPr>
        <w:t xml:space="preserve"> </w:t>
      </w:r>
      <w:r w:rsidRPr="009F72A5">
        <w:rPr>
          <w:rFonts w:ascii="Century" w:hAnsi="Century" w:cs="Miriam" w:hint="eastAsia"/>
          <w:b/>
          <w:spacing w:val="0"/>
          <w:szCs w:val="24"/>
          <w:rtl/>
        </w:rPr>
        <w:t>לזכות</w:t>
      </w:r>
      <w:r w:rsidRPr="009F72A5">
        <w:rPr>
          <w:rFonts w:ascii="Century" w:hAnsi="Century" w:cs="Miriam"/>
          <w:b/>
          <w:spacing w:val="0"/>
          <w:szCs w:val="24"/>
          <w:rtl/>
        </w:rPr>
        <w:t xml:space="preserve"> </w:t>
      </w:r>
      <w:r w:rsidRPr="009F72A5">
        <w:rPr>
          <w:rFonts w:ascii="Century" w:hAnsi="Century" w:cs="Miriam" w:hint="eastAsia"/>
          <w:b/>
          <w:spacing w:val="0"/>
          <w:szCs w:val="24"/>
          <w:rtl/>
        </w:rPr>
        <w:t>השבות</w:t>
      </w:r>
      <w:r w:rsidRPr="009F72A5">
        <w:rPr>
          <w:rFonts w:ascii="Century" w:hAnsi="Century" w:cs="Miriam"/>
          <w:b/>
          <w:spacing w:val="0"/>
          <w:szCs w:val="24"/>
          <w:rtl/>
        </w:rPr>
        <w:t xml:space="preserve"> </w:t>
      </w:r>
      <w:r w:rsidRPr="009F72A5">
        <w:rPr>
          <w:rFonts w:ascii="Century" w:hAnsi="Century" w:cs="Miriam" w:hint="eastAsia"/>
          <w:b/>
          <w:spacing w:val="0"/>
          <w:szCs w:val="24"/>
          <w:rtl/>
        </w:rPr>
        <w:t>בחינה</w:t>
      </w:r>
      <w:r w:rsidRPr="009F72A5">
        <w:rPr>
          <w:rFonts w:ascii="Century" w:hAnsi="Century" w:cs="Miriam"/>
          <w:b/>
          <w:spacing w:val="0"/>
          <w:szCs w:val="24"/>
          <w:rtl/>
        </w:rPr>
        <w:t xml:space="preserve"> </w:t>
      </w:r>
      <w:r w:rsidRPr="009F72A5">
        <w:rPr>
          <w:rFonts w:ascii="Century" w:hAnsi="Century" w:cs="Miriam" w:hint="eastAsia"/>
          <w:b/>
          <w:spacing w:val="0"/>
          <w:szCs w:val="24"/>
          <w:rtl/>
        </w:rPr>
        <w:t>מהותית</w:t>
      </w:r>
      <w:r w:rsidRPr="009F72A5">
        <w:rPr>
          <w:rFonts w:ascii="Century" w:hAnsi="Century" w:cs="Miriam"/>
          <w:b/>
          <w:spacing w:val="0"/>
          <w:szCs w:val="24"/>
          <w:rtl/>
        </w:rPr>
        <w:t xml:space="preserve"> </w:t>
      </w:r>
      <w:r w:rsidRPr="009F72A5">
        <w:rPr>
          <w:rFonts w:ascii="Century" w:hAnsi="Century" w:cs="Miriam" w:hint="eastAsia"/>
          <w:b/>
          <w:spacing w:val="0"/>
          <w:szCs w:val="24"/>
          <w:rtl/>
        </w:rPr>
        <w:t>היא</w:t>
      </w:r>
      <w:r w:rsidRPr="009F72A5">
        <w:rPr>
          <w:rFonts w:ascii="Century" w:hAnsi="Century" w:cs="Miriam"/>
          <w:b/>
          <w:spacing w:val="0"/>
          <w:szCs w:val="24"/>
          <w:rtl/>
        </w:rPr>
        <w:t xml:space="preserve">  – </w:t>
      </w:r>
      <w:r w:rsidRPr="009F72A5">
        <w:rPr>
          <w:rFonts w:ascii="Century" w:hAnsi="Century" w:cs="Miriam" w:hint="eastAsia"/>
          <w:b/>
          <w:spacing w:val="0"/>
          <w:szCs w:val="24"/>
          <w:rtl/>
        </w:rPr>
        <w:t>בחינת</w:t>
      </w:r>
      <w:r w:rsidRPr="009F72A5">
        <w:rPr>
          <w:rFonts w:ascii="Century" w:hAnsi="Century" w:cs="Miriam"/>
          <w:b/>
          <w:spacing w:val="0"/>
          <w:szCs w:val="24"/>
          <w:rtl/>
        </w:rPr>
        <w:t xml:space="preserve"> </w:t>
      </w:r>
      <w:r w:rsidRPr="009F72A5">
        <w:rPr>
          <w:rFonts w:ascii="Century" w:hAnsi="Century" w:cs="Miriam" w:hint="eastAsia"/>
          <w:b/>
          <w:spacing w:val="0"/>
          <w:szCs w:val="24"/>
          <w:rtl/>
        </w:rPr>
        <w:t>קשר</w:t>
      </w:r>
      <w:r w:rsidRPr="009F72A5">
        <w:rPr>
          <w:rFonts w:ascii="Century" w:hAnsi="Century" w:cs="Miriam"/>
          <w:b/>
          <w:spacing w:val="0"/>
          <w:szCs w:val="24"/>
          <w:rtl/>
        </w:rPr>
        <w:t xml:space="preserve"> </w:t>
      </w:r>
      <w:r w:rsidRPr="009F72A5">
        <w:rPr>
          <w:rFonts w:ascii="Century" w:hAnsi="Century" w:cs="Miriam" w:hint="eastAsia"/>
          <w:b/>
          <w:spacing w:val="0"/>
          <w:szCs w:val="24"/>
          <w:rtl/>
        </w:rPr>
        <w:t>הגורל</w:t>
      </w:r>
      <w:r w:rsidRPr="009F72A5">
        <w:rPr>
          <w:rFonts w:ascii="Century" w:hAnsi="Century" w:cs="Miriam"/>
          <w:b/>
          <w:spacing w:val="0"/>
          <w:szCs w:val="24"/>
          <w:rtl/>
        </w:rPr>
        <w:t xml:space="preserve">, </w:t>
      </w:r>
      <w:r w:rsidRPr="009F72A5">
        <w:rPr>
          <w:rFonts w:ascii="Century" w:hAnsi="Century" w:cs="Miriam" w:hint="eastAsia"/>
          <w:b/>
          <w:spacing w:val="0"/>
          <w:szCs w:val="24"/>
          <w:rtl/>
        </w:rPr>
        <w:t>ולא</w:t>
      </w:r>
      <w:r w:rsidRPr="009F72A5">
        <w:rPr>
          <w:rFonts w:ascii="Century" w:hAnsi="Century" w:cs="Miriam"/>
          <w:b/>
          <w:spacing w:val="0"/>
          <w:szCs w:val="24"/>
          <w:rtl/>
        </w:rPr>
        <w:t xml:space="preserve"> </w:t>
      </w:r>
      <w:r w:rsidRPr="009F72A5">
        <w:rPr>
          <w:rFonts w:ascii="Century" w:hAnsi="Century" w:cs="Miriam" w:hint="eastAsia"/>
          <w:b/>
          <w:spacing w:val="0"/>
          <w:szCs w:val="24"/>
          <w:rtl/>
        </w:rPr>
        <w:t>אך</w:t>
      </w:r>
      <w:r w:rsidRPr="009F72A5">
        <w:rPr>
          <w:rFonts w:ascii="Century" w:hAnsi="Century" w:cs="Miriam"/>
          <w:b/>
          <w:spacing w:val="0"/>
          <w:szCs w:val="24"/>
          <w:rtl/>
        </w:rPr>
        <w:t xml:space="preserve"> </w:t>
      </w:r>
      <w:r w:rsidRPr="009F72A5">
        <w:rPr>
          <w:rFonts w:ascii="Century" w:hAnsi="Century" w:cs="Miriam" w:hint="eastAsia"/>
          <w:b/>
          <w:spacing w:val="0"/>
          <w:szCs w:val="24"/>
          <w:rtl/>
        </w:rPr>
        <w:t>בחינה</w:t>
      </w:r>
      <w:r w:rsidRPr="009F72A5">
        <w:rPr>
          <w:rFonts w:ascii="Century" w:hAnsi="Century" w:cs="Miriam"/>
          <w:b/>
          <w:spacing w:val="0"/>
          <w:szCs w:val="24"/>
          <w:rtl/>
        </w:rPr>
        <w:t xml:space="preserve"> </w:t>
      </w:r>
      <w:r w:rsidRPr="009F72A5">
        <w:rPr>
          <w:rFonts w:ascii="Century" w:hAnsi="Century" w:cs="Miriam" w:hint="eastAsia"/>
          <w:b/>
          <w:spacing w:val="0"/>
          <w:szCs w:val="24"/>
          <w:rtl/>
        </w:rPr>
        <w:t>פורמאלית</w:t>
      </w:r>
      <w:r w:rsidRPr="009F72A5">
        <w:rPr>
          <w:rFonts w:ascii="Century" w:hAnsi="Century" w:cs="Miriam"/>
          <w:b/>
          <w:spacing w:val="0"/>
          <w:szCs w:val="24"/>
          <w:rtl/>
        </w:rPr>
        <w:t xml:space="preserve"> – </w:t>
      </w:r>
      <w:r w:rsidRPr="009F72A5">
        <w:rPr>
          <w:rFonts w:ascii="Century" w:hAnsi="Century" w:cs="Miriam" w:hint="eastAsia"/>
          <w:b/>
          <w:spacing w:val="0"/>
          <w:szCs w:val="24"/>
          <w:rtl/>
        </w:rPr>
        <w:t>בחינת</w:t>
      </w:r>
      <w:r w:rsidRPr="009F72A5">
        <w:rPr>
          <w:rFonts w:ascii="Century" w:hAnsi="Century" w:cs="Miriam"/>
          <w:b/>
          <w:spacing w:val="0"/>
          <w:szCs w:val="24"/>
          <w:rtl/>
        </w:rPr>
        <w:t xml:space="preserve"> </w:t>
      </w:r>
      <w:r w:rsidRPr="009F72A5">
        <w:rPr>
          <w:rFonts w:ascii="Century" w:hAnsi="Century" w:cs="Miriam" w:hint="eastAsia"/>
          <w:b/>
          <w:spacing w:val="0"/>
          <w:szCs w:val="24"/>
          <w:rtl/>
        </w:rPr>
        <w:t>קשר</w:t>
      </w:r>
      <w:r w:rsidRPr="009F72A5">
        <w:rPr>
          <w:rFonts w:ascii="Century" w:hAnsi="Century" w:cs="Miriam"/>
          <w:b/>
          <w:spacing w:val="0"/>
          <w:szCs w:val="24"/>
          <w:rtl/>
        </w:rPr>
        <w:t xml:space="preserve"> </w:t>
      </w:r>
      <w:r w:rsidRPr="009F72A5">
        <w:rPr>
          <w:rFonts w:ascii="Century" w:hAnsi="Century" w:cs="Miriam" w:hint="eastAsia"/>
          <w:b/>
          <w:spacing w:val="0"/>
          <w:szCs w:val="24"/>
          <w:rtl/>
        </w:rPr>
        <w:t>הנישואין</w:t>
      </w:r>
      <w:r w:rsidRPr="009F72A5">
        <w:rPr>
          <w:rFonts w:ascii="Century" w:hAnsi="Century" w:cs="Miriam"/>
          <w:b/>
          <w:spacing w:val="0"/>
          <w:szCs w:val="24"/>
          <w:rtl/>
        </w:rPr>
        <w:t xml:space="preserve"> </w:t>
      </w:r>
      <w:r w:rsidRPr="009F72A5">
        <w:rPr>
          <w:rFonts w:ascii="Century" w:hAnsi="Century" w:cs="Miriam" w:hint="eastAsia"/>
          <w:b/>
          <w:spacing w:val="0"/>
          <w:szCs w:val="24"/>
          <w:rtl/>
        </w:rPr>
        <w:t>או</w:t>
      </w:r>
      <w:r w:rsidRPr="009F72A5">
        <w:rPr>
          <w:rFonts w:ascii="Century" w:hAnsi="Century" w:cs="Miriam"/>
          <w:b/>
          <w:spacing w:val="0"/>
          <w:szCs w:val="24"/>
          <w:rtl/>
        </w:rPr>
        <w:t xml:space="preserve"> </w:t>
      </w:r>
      <w:r w:rsidRPr="009F72A5">
        <w:rPr>
          <w:rFonts w:ascii="Century" w:hAnsi="Century" w:cs="Miriam" w:hint="eastAsia"/>
          <w:b/>
          <w:spacing w:val="0"/>
          <w:szCs w:val="24"/>
          <w:rtl/>
        </w:rPr>
        <w:t>קשר</w:t>
      </w:r>
      <w:r w:rsidRPr="009F72A5">
        <w:rPr>
          <w:rFonts w:ascii="Century" w:hAnsi="Century" w:cs="Miriam"/>
          <w:b/>
          <w:spacing w:val="0"/>
          <w:szCs w:val="24"/>
          <w:rtl/>
        </w:rPr>
        <w:t xml:space="preserve"> </w:t>
      </w:r>
      <w:r w:rsidRPr="009F72A5">
        <w:rPr>
          <w:rFonts w:ascii="Century" w:hAnsi="Century" w:cs="Miriam" w:hint="eastAsia"/>
          <w:b/>
          <w:spacing w:val="0"/>
          <w:szCs w:val="24"/>
          <w:rtl/>
        </w:rPr>
        <w:t>ההורות</w:t>
      </w:r>
      <w:r w:rsidRPr="009F72A5">
        <w:rPr>
          <w:rFonts w:ascii="Century" w:hAnsi="Century" w:cs="Miriam"/>
          <w:b/>
          <w:spacing w:val="0"/>
          <w:szCs w:val="24"/>
          <w:rtl/>
        </w:rPr>
        <w:t xml:space="preserve"> </w:t>
      </w:r>
      <w:r w:rsidRPr="009F72A5">
        <w:rPr>
          <w:rFonts w:ascii="Century" w:hAnsi="Century" w:cs="Miriam" w:hint="eastAsia"/>
          <w:b/>
          <w:spacing w:val="0"/>
          <w:szCs w:val="24"/>
          <w:rtl/>
        </w:rPr>
        <w:t>כבענייננו</w:t>
      </w:r>
      <w:r>
        <w:rPr>
          <w:rFonts w:hint="cs"/>
          <w:rtl/>
        </w:rPr>
        <w:t xml:space="preserve">" (ההדגשה שלי </w:t>
      </w:r>
      <w:r>
        <w:rPr>
          <w:rtl/>
        </w:rPr>
        <w:t>–</w:t>
      </w:r>
      <w:r>
        <w:rPr>
          <w:rFonts w:hint="cs"/>
          <w:rtl/>
        </w:rPr>
        <w:t xml:space="preserve"> ע'ב') (עניין </w:t>
      </w:r>
      <w:r w:rsidRPr="00D32FEF">
        <w:rPr>
          <w:rFonts w:ascii="Century" w:hAnsi="Century" w:cs="Miriam" w:hint="cs"/>
          <w:b/>
          <w:spacing w:val="0"/>
          <w:szCs w:val="24"/>
          <w:rtl/>
        </w:rPr>
        <w:t>סמוילוב</w:t>
      </w:r>
      <w:r>
        <w:rPr>
          <w:rFonts w:hint="cs"/>
          <w:rtl/>
        </w:rPr>
        <w:t>, עמ' 121)</w:t>
      </w:r>
      <w:r w:rsidRPr="002B3E36">
        <w:rPr>
          <w:rtl/>
        </w:rPr>
        <w:t>.</w:t>
      </w:r>
    </w:p>
    <w:p w:rsidR="00872589" w:rsidRDefault="00872589" w:rsidP="00872589">
      <w:pPr>
        <w:pStyle w:val="Ruller41"/>
        <w:rPr>
          <w:rFonts w:ascii="Century" w:hAnsi="Century"/>
          <w:rtl/>
        </w:rPr>
      </w:pPr>
    </w:p>
    <w:p w:rsidR="00872589" w:rsidRPr="0018326E" w:rsidRDefault="00872589" w:rsidP="00872589">
      <w:pPr>
        <w:pStyle w:val="Ruller41"/>
        <w:rPr>
          <w:rFonts w:ascii="Century" w:hAnsi="Century"/>
          <w:rtl/>
        </w:rPr>
      </w:pPr>
      <w:r>
        <w:rPr>
          <w:rFonts w:ascii="Century" w:hAnsi="Century" w:hint="cs"/>
          <w:rtl/>
        </w:rPr>
        <w:t>6.</w:t>
      </w:r>
      <w:r>
        <w:rPr>
          <w:rFonts w:ascii="Century" w:hAnsi="Century" w:hint="cs"/>
          <w:rtl/>
        </w:rPr>
        <w:tab/>
        <w:t xml:space="preserve">זאת ועוד. שאלת קיומו של קשר דם בין זכאי השבות ליהודי; "מדרגת הקרבה" של זכאי השבות ליהודי; ומעמדו ההלכתי של זכאי השבות </w:t>
      </w:r>
      <w:r>
        <w:rPr>
          <w:rFonts w:ascii="Century" w:hAnsi="Century"/>
          <w:rtl/>
        </w:rPr>
        <w:t>–</w:t>
      </w:r>
      <w:r>
        <w:rPr>
          <w:rFonts w:ascii="Century" w:hAnsi="Century" w:hint="cs"/>
          <w:rtl/>
        </w:rPr>
        <w:t xml:space="preserve"> כולם שיקולים השואבים את חיותם מן התפיסה ההלכתית של מיהו יהודי. ואולם סעיף 4א(א) יוצא מנקודת הנחה ברורה שלפיה בני המשפחה כולם </w:t>
      </w:r>
      <w:r w:rsidRPr="0026278D">
        <w:rPr>
          <w:rFonts w:ascii="Century" w:hAnsi="Century" w:cs="Miriam" w:hint="cs"/>
          <w:b/>
          <w:spacing w:val="0"/>
          <w:szCs w:val="24"/>
          <w:rtl/>
        </w:rPr>
        <w:t>אינם</w:t>
      </w:r>
      <w:r w:rsidRPr="0026278D">
        <w:rPr>
          <w:rFonts w:ascii="Century" w:hAnsi="Century" w:hint="cs"/>
          <w:rtl/>
        </w:rPr>
        <w:t xml:space="preserve"> </w:t>
      </w:r>
      <w:r>
        <w:rPr>
          <w:rFonts w:ascii="Century" w:hAnsi="Century" w:hint="cs"/>
          <w:rtl/>
        </w:rPr>
        <w:t xml:space="preserve">עונים על ההגדרה ההלכתית, ובכל זאת יש להקנות גם להם זכות שבות מכוח החוק. ויבואר: חוק השבות הוא חוק אזרחי שמטרת העל שלו, שיבת הבנים לגבולם, היא בראש ובראשונה מטרה </w:t>
      </w:r>
      <w:r w:rsidRPr="0018326E">
        <w:rPr>
          <w:rFonts w:ascii="Century" w:hAnsi="Century" w:cs="Miriam" w:hint="cs"/>
          <w:b/>
          <w:spacing w:val="0"/>
          <w:szCs w:val="24"/>
          <w:rtl/>
        </w:rPr>
        <w:t>לאומית</w:t>
      </w:r>
      <w:r>
        <w:rPr>
          <w:rFonts w:hint="cs"/>
          <w:rtl/>
        </w:rPr>
        <w:t xml:space="preserve"> </w:t>
      </w:r>
      <w:r w:rsidRPr="00C74E7C">
        <w:rPr>
          <w:rFonts w:hint="cs"/>
          <w:rtl/>
        </w:rPr>
        <w:t>(</w:t>
      </w:r>
      <w:r>
        <w:rPr>
          <w:rFonts w:hint="cs"/>
          <w:rtl/>
        </w:rPr>
        <w:t>עניין</w:t>
      </w:r>
      <w:r w:rsidRPr="00C74E7C">
        <w:rPr>
          <w:rtl/>
        </w:rPr>
        <w:t xml:space="preserve"> </w:t>
      </w:r>
      <w:r w:rsidRPr="00C74E7C">
        <w:rPr>
          <w:rFonts w:cs="Miriam"/>
          <w:b/>
          <w:spacing w:val="0"/>
          <w:szCs w:val="24"/>
          <w:rtl/>
        </w:rPr>
        <w:t>ברספורד</w:t>
      </w:r>
      <w:r>
        <w:rPr>
          <w:rFonts w:hint="cs"/>
          <w:rtl/>
        </w:rPr>
        <w:t xml:space="preserve">, עמ' 845; בג"ץ 1188/10 </w:t>
      </w:r>
      <w:r w:rsidRPr="00365E0B">
        <w:rPr>
          <w:rFonts w:ascii="Century" w:hAnsi="Century" w:cs="Miriam" w:hint="cs"/>
          <w:b/>
          <w:spacing w:val="0"/>
          <w:szCs w:val="24"/>
          <w:rtl/>
        </w:rPr>
        <w:t>פוזרסקי נ' משרד הפנים</w:t>
      </w:r>
      <w:r>
        <w:rPr>
          <w:rFonts w:hint="cs"/>
          <w:rtl/>
        </w:rPr>
        <w:t xml:space="preserve">, פסקה 20 (31.7.2013)).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tl/>
        </w:rPr>
        <w:tab/>
      </w:r>
      <w:r>
        <w:rPr>
          <w:rFonts w:hint="cs"/>
          <w:rtl/>
        </w:rPr>
        <w:t>ללא ספק, חוק השבות נטוע ביסודות דתיים-הלכת</w:t>
      </w:r>
      <w:r>
        <w:rPr>
          <w:rtl/>
        </w:rPr>
        <w:t>י</w:t>
      </w:r>
      <w:r>
        <w:rPr>
          <w:rFonts w:hint="cs"/>
          <w:rtl/>
        </w:rPr>
        <w:t>ים ה</w:t>
      </w:r>
      <w:r>
        <w:rPr>
          <w:rtl/>
        </w:rPr>
        <w:t xml:space="preserve">מהווים מרכיב </w:t>
      </w:r>
      <w:r>
        <w:rPr>
          <w:rFonts w:hint="cs"/>
          <w:rtl/>
        </w:rPr>
        <w:t xml:space="preserve">יסודי ומשמעותי </w:t>
      </w:r>
      <w:r>
        <w:rPr>
          <w:rtl/>
        </w:rPr>
        <w:t>בזהותו של העם היהודי</w:t>
      </w:r>
      <w:r>
        <w:rPr>
          <w:rFonts w:hint="cs"/>
          <w:rtl/>
        </w:rPr>
        <w:t>; והדבר קיבל ביטוי מובהק</w:t>
      </w:r>
      <w:r>
        <w:rPr>
          <w:rtl/>
        </w:rPr>
        <w:t xml:space="preserve"> </w:t>
      </w:r>
      <w:r>
        <w:rPr>
          <w:rFonts w:hint="cs"/>
          <w:rtl/>
        </w:rPr>
        <w:t>בתיקון מספר 2 לחוק והוספת ההגדרה ההלכתית.</w:t>
      </w:r>
      <w:r>
        <w:rPr>
          <w:rFonts w:ascii="Century" w:hAnsi="Century" w:hint="cs"/>
          <w:rtl/>
        </w:rPr>
        <w:t xml:space="preserve"> ואולם זהותו של העם היהודי הנשקפת מן החוק היא רחבה הרבה יותר מן הממד הדתי </w:t>
      </w:r>
      <w:r>
        <w:rPr>
          <w:rFonts w:ascii="Century" w:hAnsi="Century"/>
          <w:rtl/>
        </w:rPr>
        <w:t>–</w:t>
      </w:r>
      <w:r>
        <w:rPr>
          <w:rFonts w:ascii="Century" w:hAnsi="Century" w:hint="cs"/>
          <w:rtl/>
        </w:rPr>
        <w:t xml:space="preserve"> וכוללת גם שפה, מנהגים, היסטוריה ותרבות עתיקות יומין, </w:t>
      </w:r>
      <w:r>
        <w:rPr>
          <w:rFonts w:ascii="Century" w:hAnsi="Century" w:hint="cs"/>
          <w:rtl/>
        </w:rPr>
        <w:lastRenderedPageBreak/>
        <w:t>של "</w:t>
      </w:r>
      <w:r w:rsidRPr="00542C74">
        <w:rPr>
          <w:rFonts w:ascii="Century" w:hAnsi="Century" w:cs="Miriam" w:hint="eastAsia"/>
          <w:b/>
          <w:spacing w:val="0"/>
          <w:szCs w:val="24"/>
          <w:rtl/>
        </w:rPr>
        <w:t>עם</w:t>
      </w:r>
      <w:r w:rsidRPr="00542C74">
        <w:rPr>
          <w:rFonts w:ascii="Century" w:hAnsi="Century" w:cs="Miriam"/>
          <w:b/>
          <w:spacing w:val="0"/>
          <w:szCs w:val="24"/>
          <w:rtl/>
        </w:rPr>
        <w:t xml:space="preserve"> </w:t>
      </w:r>
      <w:r w:rsidRPr="00542C74">
        <w:rPr>
          <w:rFonts w:ascii="Century" w:hAnsi="Century" w:cs="Miriam" w:hint="eastAsia"/>
          <w:b/>
          <w:spacing w:val="0"/>
          <w:szCs w:val="24"/>
          <w:rtl/>
        </w:rPr>
        <w:t>שברובו</w:t>
      </w:r>
      <w:r w:rsidRPr="00542C74">
        <w:rPr>
          <w:rFonts w:ascii="Century" w:hAnsi="Century" w:cs="Miriam"/>
          <w:b/>
          <w:spacing w:val="0"/>
          <w:szCs w:val="24"/>
          <w:rtl/>
        </w:rPr>
        <w:t xml:space="preserve"> </w:t>
      </w:r>
      <w:r w:rsidRPr="00542C74">
        <w:rPr>
          <w:rFonts w:ascii="Century" w:hAnsi="Century" w:cs="Miriam" w:hint="eastAsia"/>
          <w:b/>
          <w:spacing w:val="0"/>
          <w:szCs w:val="24"/>
          <w:rtl/>
        </w:rPr>
        <w:t>המכריע</w:t>
      </w:r>
      <w:r w:rsidRPr="00542C74">
        <w:rPr>
          <w:rFonts w:ascii="Century" w:hAnsi="Century" w:cs="Miriam"/>
          <w:b/>
          <w:spacing w:val="0"/>
          <w:szCs w:val="24"/>
          <w:rtl/>
        </w:rPr>
        <w:t xml:space="preserve"> </w:t>
      </w:r>
      <w:r w:rsidRPr="00542C74">
        <w:rPr>
          <w:rFonts w:ascii="Century" w:hAnsi="Century" w:cs="Miriam" w:hint="eastAsia"/>
          <w:b/>
          <w:spacing w:val="0"/>
          <w:szCs w:val="24"/>
          <w:rtl/>
        </w:rPr>
        <w:t>התגורר</w:t>
      </w:r>
      <w:r w:rsidRPr="00542C74">
        <w:rPr>
          <w:rFonts w:ascii="Century" w:hAnsi="Century" w:cs="Miriam"/>
          <w:b/>
          <w:spacing w:val="0"/>
          <w:szCs w:val="24"/>
          <w:rtl/>
        </w:rPr>
        <w:t xml:space="preserve"> </w:t>
      </w:r>
      <w:r w:rsidRPr="00542C74">
        <w:rPr>
          <w:rFonts w:ascii="Century" w:hAnsi="Century" w:cs="Miriam" w:hint="eastAsia"/>
          <w:b/>
          <w:spacing w:val="0"/>
          <w:szCs w:val="24"/>
          <w:rtl/>
        </w:rPr>
        <w:t>אלפי</w:t>
      </w:r>
      <w:r w:rsidRPr="00542C74">
        <w:rPr>
          <w:rFonts w:ascii="Century" w:hAnsi="Century" w:cs="Miriam"/>
          <w:b/>
          <w:spacing w:val="0"/>
          <w:szCs w:val="24"/>
          <w:rtl/>
        </w:rPr>
        <w:t xml:space="preserve"> </w:t>
      </w:r>
      <w:r w:rsidRPr="00542C74">
        <w:rPr>
          <w:rFonts w:ascii="Century" w:hAnsi="Century" w:cs="Miriam" w:hint="eastAsia"/>
          <w:b/>
          <w:spacing w:val="0"/>
          <w:szCs w:val="24"/>
          <w:rtl/>
        </w:rPr>
        <w:t>שנים</w:t>
      </w:r>
      <w:r w:rsidRPr="00542C74">
        <w:rPr>
          <w:rFonts w:ascii="Century" w:hAnsi="Century" w:cs="Miriam"/>
          <w:b/>
          <w:spacing w:val="0"/>
          <w:szCs w:val="24"/>
          <w:rtl/>
        </w:rPr>
        <w:t xml:space="preserve"> </w:t>
      </w:r>
      <w:r w:rsidRPr="00542C74">
        <w:rPr>
          <w:rFonts w:ascii="Century" w:hAnsi="Century" w:cs="Miriam" w:hint="eastAsia"/>
          <w:b/>
          <w:spacing w:val="0"/>
          <w:szCs w:val="24"/>
          <w:rtl/>
        </w:rPr>
        <w:t>שלא</w:t>
      </w:r>
      <w:r w:rsidRPr="00542C74">
        <w:rPr>
          <w:rFonts w:ascii="Century" w:hAnsi="Century" w:cs="Miriam"/>
          <w:b/>
          <w:spacing w:val="0"/>
          <w:szCs w:val="24"/>
          <w:rtl/>
        </w:rPr>
        <w:t xml:space="preserve"> </w:t>
      </w:r>
      <w:r w:rsidRPr="00542C74">
        <w:rPr>
          <w:rFonts w:ascii="Century" w:hAnsi="Century" w:cs="Miriam" w:hint="eastAsia"/>
          <w:b/>
          <w:spacing w:val="0"/>
          <w:szCs w:val="24"/>
          <w:rtl/>
        </w:rPr>
        <w:t>על</w:t>
      </w:r>
      <w:r w:rsidRPr="00542C74">
        <w:rPr>
          <w:rFonts w:ascii="Century" w:hAnsi="Century" w:cs="Miriam"/>
          <w:b/>
          <w:spacing w:val="0"/>
          <w:szCs w:val="24"/>
          <w:rtl/>
        </w:rPr>
        <w:t xml:space="preserve"> </w:t>
      </w:r>
      <w:r w:rsidRPr="00542C74">
        <w:rPr>
          <w:rFonts w:ascii="Century" w:hAnsi="Century" w:cs="Miriam" w:hint="eastAsia"/>
          <w:b/>
          <w:spacing w:val="0"/>
          <w:szCs w:val="24"/>
          <w:rtl/>
        </w:rPr>
        <w:t>אדמתו</w:t>
      </w:r>
      <w:r w:rsidRPr="00542C74">
        <w:rPr>
          <w:rFonts w:ascii="Century" w:hAnsi="Century" w:cs="Miriam"/>
          <w:b/>
          <w:spacing w:val="0"/>
          <w:szCs w:val="24"/>
          <w:rtl/>
        </w:rPr>
        <w:t xml:space="preserve"> </w:t>
      </w:r>
      <w:r w:rsidRPr="00542C74">
        <w:rPr>
          <w:rFonts w:ascii="Century" w:hAnsi="Century" w:cs="Miriam" w:hint="eastAsia"/>
          <w:b/>
          <w:spacing w:val="0"/>
          <w:szCs w:val="24"/>
          <w:rtl/>
        </w:rPr>
        <w:t>אלא</w:t>
      </w:r>
      <w:r w:rsidRPr="00542C74">
        <w:rPr>
          <w:rFonts w:ascii="Century" w:hAnsi="Century" w:cs="Miriam"/>
          <w:b/>
          <w:spacing w:val="0"/>
          <w:szCs w:val="24"/>
          <w:rtl/>
        </w:rPr>
        <w:t xml:space="preserve"> </w:t>
      </w:r>
      <w:r w:rsidRPr="00542C74">
        <w:rPr>
          <w:rFonts w:ascii="Century" w:hAnsi="Century" w:cs="Miriam" w:hint="eastAsia"/>
          <w:b/>
          <w:spacing w:val="0"/>
          <w:szCs w:val="24"/>
          <w:rtl/>
        </w:rPr>
        <w:t>ב</w:t>
      </w:r>
      <w:r w:rsidRPr="00542C74">
        <w:rPr>
          <w:rFonts w:ascii="Century" w:hAnsi="Century" w:cs="Miriam" w:hint="cs"/>
          <w:b/>
          <w:spacing w:val="0"/>
          <w:szCs w:val="24"/>
          <w:rtl/>
        </w:rPr>
        <w:t>'</w:t>
      </w:r>
      <w:r w:rsidRPr="00542C74">
        <w:rPr>
          <w:rFonts w:ascii="Century" w:hAnsi="Century" w:cs="Miriam" w:hint="eastAsia"/>
          <w:b/>
          <w:spacing w:val="0"/>
          <w:szCs w:val="24"/>
          <w:rtl/>
        </w:rPr>
        <w:t>גולה</w:t>
      </w:r>
      <w:r w:rsidRPr="00542C74">
        <w:rPr>
          <w:rFonts w:ascii="Century" w:hAnsi="Century" w:cs="Miriam" w:hint="cs"/>
          <w:b/>
          <w:spacing w:val="0"/>
          <w:szCs w:val="24"/>
          <w:rtl/>
        </w:rPr>
        <w:t>'</w:t>
      </w:r>
      <w:r w:rsidRPr="00542C74">
        <w:rPr>
          <w:rFonts w:ascii="Century" w:hAnsi="Century" w:cs="Miriam"/>
          <w:b/>
          <w:spacing w:val="0"/>
          <w:szCs w:val="24"/>
          <w:rtl/>
        </w:rPr>
        <w:t xml:space="preserve">, </w:t>
      </w:r>
      <w:r w:rsidRPr="00542C74">
        <w:rPr>
          <w:rFonts w:ascii="Century" w:hAnsi="Century" w:cs="Miriam" w:hint="eastAsia"/>
          <w:b/>
          <w:spacing w:val="0"/>
          <w:szCs w:val="24"/>
          <w:rtl/>
        </w:rPr>
        <w:t>ועתה</w:t>
      </w:r>
      <w:r w:rsidRPr="00542C74">
        <w:rPr>
          <w:rFonts w:ascii="Century" w:hAnsi="Century" w:cs="Miriam"/>
          <w:b/>
          <w:spacing w:val="0"/>
          <w:szCs w:val="24"/>
          <w:rtl/>
        </w:rPr>
        <w:t xml:space="preserve"> </w:t>
      </w:r>
      <w:r w:rsidRPr="00542C74">
        <w:rPr>
          <w:rFonts w:ascii="Century" w:hAnsi="Century" w:cs="Miriam" w:hint="eastAsia"/>
          <w:b/>
          <w:spacing w:val="0"/>
          <w:szCs w:val="24"/>
          <w:rtl/>
        </w:rPr>
        <w:t>מתקבץ</w:t>
      </w:r>
      <w:r w:rsidRPr="00542C74">
        <w:rPr>
          <w:rFonts w:ascii="Century" w:hAnsi="Century" w:cs="Miriam"/>
          <w:b/>
          <w:spacing w:val="0"/>
          <w:szCs w:val="24"/>
          <w:rtl/>
        </w:rPr>
        <w:t xml:space="preserve"> </w:t>
      </w:r>
      <w:r w:rsidRPr="00542C74">
        <w:rPr>
          <w:rFonts w:ascii="Century" w:hAnsi="Century" w:cs="Miriam" w:hint="eastAsia"/>
          <w:b/>
          <w:spacing w:val="0"/>
          <w:szCs w:val="24"/>
          <w:rtl/>
        </w:rPr>
        <w:t>חלקו</w:t>
      </w:r>
      <w:r w:rsidRPr="00542C74">
        <w:rPr>
          <w:rFonts w:ascii="Century" w:hAnsi="Century" w:cs="Miriam"/>
          <w:b/>
          <w:spacing w:val="0"/>
          <w:szCs w:val="24"/>
          <w:rtl/>
        </w:rPr>
        <w:t xml:space="preserve"> </w:t>
      </w:r>
      <w:r w:rsidRPr="00542C74">
        <w:rPr>
          <w:rFonts w:ascii="Century" w:hAnsi="Century" w:cs="Miriam" w:hint="eastAsia"/>
          <w:b/>
          <w:spacing w:val="0"/>
          <w:szCs w:val="24"/>
          <w:rtl/>
        </w:rPr>
        <w:t>ושב</w:t>
      </w:r>
      <w:r w:rsidRPr="00542C74">
        <w:rPr>
          <w:rFonts w:ascii="Century" w:hAnsi="Century" w:cs="Miriam"/>
          <w:b/>
          <w:spacing w:val="0"/>
          <w:szCs w:val="24"/>
          <w:rtl/>
        </w:rPr>
        <w:t xml:space="preserve"> </w:t>
      </w:r>
      <w:r w:rsidRPr="00542C74">
        <w:rPr>
          <w:rFonts w:ascii="Century" w:hAnsi="Century" w:cs="Miriam" w:hint="eastAsia"/>
          <w:b/>
          <w:spacing w:val="0"/>
          <w:szCs w:val="24"/>
          <w:rtl/>
        </w:rPr>
        <w:t>הוא</w:t>
      </w:r>
      <w:r w:rsidRPr="00542C74">
        <w:rPr>
          <w:rFonts w:ascii="Century" w:hAnsi="Century" w:cs="Miriam"/>
          <w:b/>
          <w:spacing w:val="0"/>
          <w:szCs w:val="24"/>
          <w:rtl/>
        </w:rPr>
        <w:t xml:space="preserve"> </w:t>
      </w:r>
      <w:r w:rsidRPr="00542C74">
        <w:rPr>
          <w:rFonts w:ascii="Century" w:hAnsi="Century" w:cs="Miriam" w:hint="eastAsia"/>
          <w:b/>
          <w:spacing w:val="0"/>
          <w:szCs w:val="24"/>
          <w:rtl/>
        </w:rPr>
        <w:t>אל</w:t>
      </w:r>
      <w:r w:rsidRPr="00542C74">
        <w:rPr>
          <w:rFonts w:ascii="Century" w:hAnsi="Century" w:cs="Miriam"/>
          <w:b/>
          <w:spacing w:val="0"/>
          <w:szCs w:val="24"/>
          <w:rtl/>
        </w:rPr>
        <w:t xml:space="preserve"> </w:t>
      </w:r>
      <w:r w:rsidRPr="00542C74">
        <w:rPr>
          <w:rFonts w:ascii="Century" w:hAnsi="Century" w:cs="Miriam" w:hint="eastAsia"/>
          <w:b/>
          <w:spacing w:val="0"/>
          <w:szCs w:val="24"/>
          <w:rtl/>
        </w:rPr>
        <w:t>ארצו</w:t>
      </w:r>
      <w:r w:rsidRPr="00542C74">
        <w:rPr>
          <w:rFonts w:ascii="Century" w:hAnsi="Century" w:cs="Miriam"/>
          <w:b/>
          <w:spacing w:val="0"/>
          <w:szCs w:val="24"/>
          <w:rtl/>
        </w:rPr>
        <w:t xml:space="preserve"> </w:t>
      </w:r>
      <w:r w:rsidRPr="00542C74">
        <w:rPr>
          <w:rFonts w:ascii="Century" w:hAnsi="Century" w:cs="Miriam" w:hint="eastAsia"/>
          <w:b/>
          <w:spacing w:val="0"/>
          <w:szCs w:val="24"/>
          <w:rtl/>
        </w:rPr>
        <w:t>ההיסטורית</w:t>
      </w:r>
      <w:r>
        <w:rPr>
          <w:rFonts w:ascii="Century" w:hAnsi="Century" w:hint="cs"/>
          <w:rtl/>
        </w:rPr>
        <w:t xml:space="preserve">" (ראו דברי המשנה לנשיא </w:t>
      </w:r>
      <w:r w:rsidRPr="00AF3EC6">
        <w:rPr>
          <w:rFonts w:ascii="Century" w:hAnsi="Century" w:cs="Miriam" w:hint="cs"/>
          <w:b/>
          <w:spacing w:val="0"/>
          <w:szCs w:val="24"/>
          <w:rtl/>
        </w:rPr>
        <w:t>מ' חשין</w:t>
      </w:r>
      <w:r w:rsidRPr="00AF3EC6">
        <w:rPr>
          <w:rFonts w:ascii="Century" w:hAnsi="Century" w:hint="cs"/>
          <w:rtl/>
        </w:rPr>
        <w:t xml:space="preserve"> </w:t>
      </w:r>
      <w:r>
        <w:rPr>
          <w:rFonts w:ascii="Century" w:hAnsi="Century" w:hint="cs"/>
          <w:rtl/>
        </w:rPr>
        <w:t xml:space="preserve">ב-בג"ץ 2859/99 </w:t>
      </w:r>
      <w:r w:rsidRPr="00AF3EC6">
        <w:rPr>
          <w:rFonts w:ascii="Century" w:hAnsi="Century" w:cs="Miriam" w:hint="cs"/>
          <w:b/>
          <w:spacing w:val="0"/>
          <w:szCs w:val="24"/>
          <w:rtl/>
        </w:rPr>
        <w:t>מקרינה נ' שר הפנים,</w:t>
      </w:r>
      <w:r>
        <w:rPr>
          <w:rFonts w:ascii="Century" w:hAnsi="Century" w:hint="cs"/>
          <w:rtl/>
        </w:rPr>
        <w:t xml:space="preserve"> פ"ד נט(6) 721, 764 (2005), שנאמרו בהקשר של זכאות לשבות במקרה של גיור ויפים גם לענייננו)</w:t>
      </w:r>
      <w:r w:rsidRPr="00C267D6">
        <w:rPr>
          <w:rFonts w:ascii="Century" w:hAnsi="Century"/>
          <w:rtl/>
        </w:rPr>
        <w:t xml:space="preserve">. </w:t>
      </w:r>
      <w:r>
        <w:rPr>
          <w:rFonts w:ascii="Century" w:hAnsi="Century" w:hint="cs"/>
          <w:rtl/>
        </w:rPr>
        <w:t xml:space="preserve">בדומה לכך, השופט </w:t>
      </w:r>
      <w:r>
        <w:rPr>
          <w:rFonts w:ascii="Century" w:hAnsi="Century" w:cs="Miriam" w:hint="cs"/>
          <w:b/>
          <w:spacing w:val="0"/>
          <w:szCs w:val="24"/>
          <w:rtl/>
        </w:rPr>
        <w:t>א'</w:t>
      </w:r>
      <w:r w:rsidRPr="00365E0B">
        <w:rPr>
          <w:rFonts w:ascii="Century" w:hAnsi="Century" w:cs="Miriam" w:hint="cs"/>
          <w:b/>
          <w:spacing w:val="0"/>
          <w:szCs w:val="24"/>
          <w:rtl/>
        </w:rPr>
        <w:t xml:space="preserve"> רובינשטיין</w:t>
      </w:r>
      <w:r w:rsidRPr="00365E0B">
        <w:rPr>
          <w:rFonts w:ascii="Century" w:hAnsi="Century" w:hint="cs"/>
          <w:rtl/>
        </w:rPr>
        <w:t xml:space="preserve"> </w:t>
      </w:r>
      <w:r>
        <w:rPr>
          <w:rFonts w:ascii="Century" w:hAnsi="Century" w:hint="cs"/>
          <w:rtl/>
        </w:rPr>
        <w:t xml:space="preserve">ציין כי </w:t>
      </w:r>
      <w:r>
        <w:rPr>
          <w:rFonts w:hint="cs"/>
          <w:rtl/>
        </w:rPr>
        <w:t xml:space="preserve">בחוק השבות יש סממני קדושה </w:t>
      </w:r>
      <w:r>
        <w:rPr>
          <w:rtl/>
        </w:rPr>
        <w:t>–</w:t>
      </w:r>
      <w:r>
        <w:rPr>
          <w:rFonts w:hint="cs"/>
          <w:rtl/>
        </w:rPr>
        <w:t xml:space="preserve"> "</w:t>
      </w:r>
      <w:r w:rsidRPr="00365E0B">
        <w:rPr>
          <w:rFonts w:ascii="Century" w:hAnsi="Century" w:cs="Miriam" w:hint="cs"/>
          <w:b/>
          <w:spacing w:val="0"/>
          <w:szCs w:val="24"/>
          <w:rtl/>
        </w:rPr>
        <w:t>לא במובן הדתי אלא במובן הלאומי וההיסטורי. זהו המענה לרודפינו, וגם לסגירת שערי הארץ בפני יהודים, לספר הלבן, לאדישים לסבל שנעלו דלתי כל נמל בפני הפליטים היהודים נוסעי האניה סנט לואיס בשנת 1939, ערב השואה; ששילחו פליטי חרב מאירופה בראשית השואה לגלות נידחת במאוריציוס שבאוקינוס ההודי...</w:t>
      </w:r>
      <w:r>
        <w:rPr>
          <w:rFonts w:hint="cs"/>
          <w:rtl/>
        </w:rPr>
        <w:t xml:space="preserve">" (בג"ץ 10226/08 </w:t>
      </w:r>
      <w:r w:rsidRPr="00365E0B">
        <w:rPr>
          <w:rFonts w:ascii="Century" w:hAnsi="Century" w:cs="Miriam" w:hint="cs"/>
          <w:b/>
          <w:spacing w:val="0"/>
          <w:szCs w:val="24"/>
          <w:rtl/>
        </w:rPr>
        <w:t>זבידובסקי נ' שר הפנים</w:t>
      </w:r>
      <w:r>
        <w:rPr>
          <w:rFonts w:hint="cs"/>
          <w:rtl/>
        </w:rPr>
        <w:t>, פסקה ו (</w:t>
      </w:r>
      <w:r>
        <w:rPr>
          <w:rFonts w:ascii="Century" w:hAnsi="Century" w:hint="cs"/>
          <w:rtl/>
        </w:rPr>
        <w:t xml:space="preserve">2.8.2010)).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hint="cs"/>
          <w:rtl/>
        </w:rPr>
        <w:t>7.</w:t>
      </w:r>
      <w:r>
        <w:rPr>
          <w:rFonts w:ascii="Century" w:hAnsi="Century"/>
          <w:rtl/>
        </w:rPr>
        <w:tab/>
      </w:r>
      <w:r>
        <w:rPr>
          <w:rFonts w:ascii="Century" w:hAnsi="Century" w:hint="cs"/>
          <w:rtl/>
        </w:rPr>
        <w:t xml:space="preserve">אין זאת אלא שחוק השבות ניצב על שתי רגליים </w:t>
      </w:r>
      <w:r>
        <w:rPr>
          <w:rFonts w:ascii="Century" w:hAnsi="Century"/>
          <w:rtl/>
        </w:rPr>
        <w:t>–</w:t>
      </w:r>
      <w:r>
        <w:rPr>
          <w:rFonts w:ascii="Century" w:hAnsi="Century" w:hint="cs"/>
          <w:rtl/>
        </w:rPr>
        <w:t xml:space="preserve"> האחת </w:t>
      </w:r>
      <w:r w:rsidRPr="00954E81">
        <w:rPr>
          <w:rFonts w:ascii="Century" w:hAnsi="Century" w:cs="Miriam" w:hint="cs"/>
          <w:b/>
          <w:spacing w:val="0"/>
          <w:szCs w:val="24"/>
          <w:rtl/>
        </w:rPr>
        <w:t>הלכתית</w:t>
      </w:r>
      <w:r>
        <w:rPr>
          <w:rFonts w:ascii="Century" w:hAnsi="Century" w:hint="cs"/>
          <w:rtl/>
        </w:rPr>
        <w:t xml:space="preserve">, המעוגנת בסעיף 4ב לחוק; השנייה </w:t>
      </w:r>
      <w:r w:rsidRPr="00954E81">
        <w:rPr>
          <w:rFonts w:ascii="Century" w:hAnsi="Century" w:cs="Miriam" w:hint="cs"/>
          <w:b/>
          <w:spacing w:val="0"/>
          <w:szCs w:val="24"/>
          <w:rtl/>
        </w:rPr>
        <w:t>לאומית</w:t>
      </w:r>
      <w:r>
        <w:rPr>
          <w:rFonts w:ascii="Century" w:hAnsi="Century" w:hint="cs"/>
          <w:rtl/>
        </w:rPr>
        <w:t xml:space="preserve">, המעוגנת בסעיף 4א לחוק. שתי הוראות אלה, כל אחת בדרכה, נועדו להגשים את תכליתו המרכזית של חוק השבות </w:t>
      </w:r>
      <w:r>
        <w:rPr>
          <w:rFonts w:ascii="Century" w:hAnsi="Century"/>
          <w:rtl/>
        </w:rPr>
        <w:t>–</w:t>
      </w:r>
      <w:r>
        <w:rPr>
          <w:rFonts w:ascii="Century" w:hAnsi="Century" w:hint="cs"/>
          <w:rtl/>
        </w:rPr>
        <w:t xml:space="preserve"> היא קיבוץ גלויות העם היהודי למדינת ישראל </w:t>
      </w:r>
      <w:r>
        <w:rPr>
          <w:rFonts w:ascii="Century" w:hAnsi="Century"/>
          <w:rtl/>
        </w:rPr>
        <w:t>–</w:t>
      </w:r>
      <w:r>
        <w:rPr>
          <w:rFonts w:ascii="Century" w:hAnsi="Century" w:hint="cs"/>
          <w:rtl/>
        </w:rPr>
        <w:t xml:space="preserve"> ומבחינה זו הן משלימות זו את זו. "</w:t>
      </w:r>
      <w:r w:rsidRPr="00D32FEF">
        <w:rPr>
          <w:rFonts w:ascii="Century" w:hAnsi="Century" w:cs="Miriam"/>
          <w:b/>
          <w:spacing w:val="0"/>
          <w:szCs w:val="24"/>
          <w:rtl/>
        </w:rPr>
        <w:t>הגדרת ה</w:t>
      </w:r>
      <w:r w:rsidRPr="00D32FEF">
        <w:rPr>
          <w:rFonts w:ascii="Century" w:hAnsi="Century" w:cs="Miriam" w:hint="cs"/>
          <w:b/>
          <w:spacing w:val="0"/>
          <w:szCs w:val="24"/>
          <w:rtl/>
        </w:rPr>
        <w:t>'</w:t>
      </w:r>
      <w:r w:rsidRPr="00D32FEF">
        <w:rPr>
          <w:rFonts w:ascii="Century" w:hAnsi="Century" w:cs="Miriam"/>
          <w:b/>
          <w:spacing w:val="0"/>
          <w:szCs w:val="24"/>
          <w:rtl/>
        </w:rPr>
        <w:t>יהודי</w:t>
      </w:r>
      <w:r w:rsidRPr="00D32FEF">
        <w:rPr>
          <w:rFonts w:ascii="Century" w:hAnsi="Century" w:cs="Miriam" w:hint="cs"/>
          <w:b/>
          <w:spacing w:val="0"/>
          <w:szCs w:val="24"/>
          <w:rtl/>
        </w:rPr>
        <w:t>'</w:t>
      </w:r>
      <w:r w:rsidRPr="00D32FEF">
        <w:rPr>
          <w:rFonts w:ascii="Century" w:hAnsi="Century" w:cs="Miriam"/>
          <w:b/>
          <w:spacing w:val="0"/>
          <w:szCs w:val="24"/>
          <w:rtl/>
        </w:rPr>
        <w:t xml:space="preserve"> נועדה לשמור על אחדות הלאום היהודי על-פי המסורת המקובלת, והרחבת זכות השבות לבני משפחה כוונה לשמור על אחדות המשפחה אשר אחד מבניה הוא יהודי. נישואי-תערובת הינם תופעה רווחת בקרב יהודי התפוצות, והחשש היה כי שלילת זכויות מבן-משפחה שאינו יהודי עלולה להניא יהודים מֵעֲלות ארצה: שיהודים לא יסכימו לעלות ומשפחתם אינה עמם. אכן, הוראת </w:t>
      </w:r>
      <w:hyperlink r:id="rId11" w:history="1">
        <w:r w:rsidRPr="00D32FEF">
          <w:rPr>
            <w:rFonts w:ascii="Century" w:hAnsi="Century" w:cs="Miriam"/>
            <w:b/>
            <w:spacing w:val="0"/>
            <w:szCs w:val="24"/>
            <w:rtl/>
          </w:rPr>
          <w:t>סעיף 4א</w:t>
        </w:r>
      </w:hyperlink>
      <w:r w:rsidRPr="00D32FEF">
        <w:rPr>
          <w:rFonts w:ascii="Century" w:hAnsi="Century" w:cs="Miriam"/>
          <w:b/>
          <w:spacing w:val="0"/>
          <w:szCs w:val="24"/>
          <w:rtl/>
        </w:rPr>
        <w:t xml:space="preserve"> נועדה בעליל למשפחה של נישואי-תערובת, במגמה שלא להביא לפיצולה ובמטרה לעודד את עלייתה ארצה</w:t>
      </w:r>
      <w:r>
        <w:rPr>
          <w:rFonts w:ascii="Century" w:hAnsi="Century" w:hint="cs"/>
          <w:rtl/>
        </w:rPr>
        <w:t xml:space="preserve">" (עניין </w:t>
      </w:r>
      <w:r w:rsidRPr="00FD79CB">
        <w:rPr>
          <w:rFonts w:ascii="Century" w:hAnsi="Century" w:cs="Miriam" w:hint="cs"/>
          <w:b/>
          <w:spacing w:val="0"/>
          <w:szCs w:val="24"/>
          <w:rtl/>
        </w:rPr>
        <w:t>סטמקה</w:t>
      </w:r>
      <w:r>
        <w:rPr>
          <w:rFonts w:ascii="Century" w:hAnsi="Century" w:hint="cs"/>
          <w:rtl/>
        </w:rPr>
        <w:t>, עמוד 755).</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המשמעות לענייננו היא שחוק השבות מכיר לא רק בהגדרה ההלכתית ל"יהודי", אלא גם בזו הלאומית; וכי במסגרת סעיף 4א לחוק ניתן ביטוי להשתייכות לעם היהודי של מי שנולד לאב יהודי או לסב יהודי, כמו גם של מי שקשר את גורלו במשפחת היהודי בקשרי נישואין. ההבחנה בין בני המשפחה על יסוד השאלה אם קרבתם ליהודי היא קרבת דם אם לאו, זרה להגדרה הלאומית; ומשכך, אין לייחס לה משקל בבואנו לפרש את המונח </w:t>
      </w:r>
      <w:r>
        <w:rPr>
          <w:rFonts w:ascii="Century" w:hAnsi="Century" w:cs="Miriam" w:hint="cs"/>
          <w:b/>
          <w:spacing w:val="0"/>
          <w:szCs w:val="24"/>
          <w:rtl/>
        </w:rPr>
        <w:t>"</w:t>
      </w:r>
      <w:r w:rsidRPr="0047144E">
        <w:rPr>
          <w:rFonts w:ascii="Century" w:hAnsi="Century" w:cs="Miriam" w:hint="eastAsia"/>
          <w:b/>
          <w:spacing w:val="0"/>
          <w:szCs w:val="24"/>
          <w:rtl/>
        </w:rPr>
        <w:t>בן</w:t>
      </w:r>
      <w:r w:rsidRPr="0047144E">
        <w:rPr>
          <w:rFonts w:ascii="Century" w:hAnsi="Century" w:cs="Miriam"/>
          <w:b/>
          <w:spacing w:val="0"/>
          <w:szCs w:val="24"/>
          <w:rtl/>
        </w:rPr>
        <w:t xml:space="preserve"> </w:t>
      </w:r>
      <w:r w:rsidRPr="0047144E">
        <w:rPr>
          <w:rFonts w:ascii="Century" w:hAnsi="Century" w:cs="Miriam" w:hint="eastAsia"/>
          <w:b/>
          <w:spacing w:val="0"/>
          <w:szCs w:val="24"/>
          <w:rtl/>
        </w:rPr>
        <w:t>זוג</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ילד</w:t>
      </w:r>
      <w:r w:rsidRPr="0047144E">
        <w:rPr>
          <w:rFonts w:ascii="Century" w:hAnsi="Century" w:cs="Miriam"/>
          <w:b/>
          <w:spacing w:val="0"/>
          <w:szCs w:val="24"/>
          <w:rtl/>
        </w:rPr>
        <w:t xml:space="preserve"> </w:t>
      </w:r>
      <w:r w:rsidRPr="0047144E">
        <w:rPr>
          <w:rFonts w:ascii="Century" w:hAnsi="Century" w:cs="Miriam" w:hint="eastAsia"/>
          <w:b/>
          <w:spacing w:val="0"/>
          <w:szCs w:val="24"/>
          <w:rtl/>
        </w:rPr>
        <w:t>ושל</w:t>
      </w:r>
      <w:r w:rsidRPr="0047144E">
        <w:rPr>
          <w:rFonts w:ascii="Century" w:hAnsi="Century" w:cs="Miriam"/>
          <w:b/>
          <w:spacing w:val="0"/>
          <w:szCs w:val="24"/>
          <w:rtl/>
        </w:rPr>
        <w:t xml:space="preserve"> </w:t>
      </w:r>
      <w:r w:rsidRPr="0047144E">
        <w:rPr>
          <w:rFonts w:ascii="Century" w:hAnsi="Century" w:cs="Miriam" w:hint="eastAsia"/>
          <w:b/>
          <w:spacing w:val="0"/>
          <w:szCs w:val="24"/>
          <w:rtl/>
        </w:rPr>
        <w:t>נכד</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Pr>
          <w:rFonts w:ascii="Century" w:hAnsi="Century" w:cs="Miriam" w:hint="cs"/>
          <w:b/>
          <w:spacing w:val="0"/>
          <w:szCs w:val="24"/>
          <w:rtl/>
        </w:rPr>
        <w:t>"</w:t>
      </w:r>
      <w:r>
        <w:rPr>
          <w:rFonts w:ascii="Century" w:hAnsi="Century" w:hint="cs"/>
          <w:rtl/>
        </w:rPr>
        <w:t>, לא כל שכן משקל מכריע.</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rtl/>
        </w:rPr>
        <w:tab/>
      </w:r>
      <w:r>
        <w:rPr>
          <w:rFonts w:ascii="Century" w:hAnsi="Century" w:hint="cs"/>
          <w:rtl/>
        </w:rPr>
        <w:t xml:space="preserve">עניינן הפרטני של המשיבות שהובא לפנינו, ושל בני משפחותיהן, מהווה דוגמה חיה לאמור לעיל. מדובר בשלוש נשים שנישאו לבנים של יהודים, עימם הקימו בית ומשפחה ולצידם חיו עד ליומם האחרון של בני זוגם. לאחר התאלמנותן, ביקשו המשיבות להצטרף בגפן לילדיהן שכבר עלו לישראל מכוח חוק השבות והשתקעו בה. אלא שאז נחסמה בפניהן הדרך. וכל זאת מדוע? מאחר שהקשר המשפחתי הקושר אותן למשפחת היהודי הוא "רק" קשר נישואין ולא קשר דם, שלעמדת המבקשים ניתק עם התאלמנותן; משל היו יותר "לא-יהודיות" מילדיהן ה"לא-יהודים", באופן שאינו </w:t>
      </w:r>
      <w:r>
        <w:rPr>
          <w:rFonts w:ascii="Century" w:hAnsi="Century" w:hint="cs"/>
          <w:rtl/>
        </w:rPr>
        <w:lastRenderedPageBreak/>
        <w:t xml:space="preserve">מאפשר את קבלתן לחיקו של העם היהודי. הוברר כי מדובר בנשים שקשרו את גורלן בגורל משפחת יהודי בקשר משפחתי כן, שלא נגדע גם לאחר התאלמנותן. בנסיבות אלה, תכליות סעיף 4א מתקיימות במלואן בעניינן של המשיבות </w:t>
      </w:r>
      <w:r>
        <w:rPr>
          <w:rFonts w:ascii="Century" w:hAnsi="Century"/>
          <w:rtl/>
        </w:rPr>
        <w:t>–</w:t>
      </w:r>
      <w:r>
        <w:rPr>
          <w:rFonts w:ascii="Century" w:hAnsi="Century" w:hint="cs"/>
          <w:rtl/>
        </w:rPr>
        <w:t xml:space="preserve"> ובפרט המטרות של עידוד משפחות לעלות בשלמותן לישראל, ושמירה על התא המשפחתי של היהודי.      </w:t>
      </w:r>
    </w:p>
    <w:p w:rsidR="00872589" w:rsidRDefault="00872589" w:rsidP="00872589">
      <w:pPr>
        <w:pStyle w:val="Ruller41"/>
        <w:rPr>
          <w:rFonts w:ascii="Century" w:hAnsi="Century"/>
          <w:rtl/>
        </w:rPr>
      </w:pPr>
    </w:p>
    <w:p w:rsidR="00872589" w:rsidRDefault="00872589" w:rsidP="00872589">
      <w:pPr>
        <w:pStyle w:val="Ruller41"/>
        <w:rPr>
          <w:rFonts w:ascii="Century" w:hAnsi="Century"/>
          <w:rtl/>
        </w:rPr>
      </w:pPr>
      <w:r>
        <w:rPr>
          <w:rFonts w:ascii="Century" w:hAnsi="Century" w:hint="cs"/>
          <w:rtl/>
        </w:rPr>
        <w:t>8.</w:t>
      </w:r>
      <w:r>
        <w:rPr>
          <w:rFonts w:ascii="Century" w:hAnsi="Century" w:hint="cs"/>
          <w:rtl/>
        </w:rPr>
        <w:tab/>
        <w:t>טרם סיום יצוין, כי במסגרת הדיון שנערך לפנינו התברר כי לאחר שניתן פסק הדין נושא הדיון הנוסף, וחרף תוצאתו, המבקשים החלו לעשות שימוש במבחן בעל אופי הלכתי לקביעת זכאותה לשבות של אלמנה של ילד או נכד של יהודי. זאת חלף בחינת כנותו של הקשר הזוגי והקשר המשפחתי בין האלמנה ובין משפחת היהודי. בתוך כך, המבקשים דחו בקשות לקבלת מעמד בישראל מכוח חוק השבות במקרים שבהם נתברר כי האלמנה לא לקחה חלק פעיל בקהילה היהודית במקום מגוריה, או שניהלה אורח חיים שאין בו סממנים דתיים. יש טעם לפגם בהתנהלות המבקשים בנדון, שכן אין לשיקולים אלה יסוד בדעת הרוב בפסק הדין נושא הדיון הנוסף; וכפי שבואר לעיל, לעמדתי אין כלל מקום לשיקולים מסוג זה בגדרו של סעיף 4א(א) לחוק השבות.</w:t>
      </w:r>
    </w:p>
    <w:p w:rsidR="00872589" w:rsidRDefault="00872589" w:rsidP="00872589">
      <w:pPr>
        <w:pStyle w:val="Ruller41"/>
        <w:rPr>
          <w:rFonts w:ascii="Century" w:hAnsi="Century"/>
          <w:rtl/>
        </w:rPr>
      </w:pPr>
    </w:p>
    <w:p w:rsidR="00872589" w:rsidRDefault="00872589" w:rsidP="00872589">
      <w:pPr>
        <w:pStyle w:val="Ruller41"/>
        <w:rPr>
          <w:rtl/>
        </w:rPr>
      </w:pPr>
      <w:r>
        <w:rPr>
          <w:rFonts w:ascii="Century" w:hAnsi="Century" w:hint="cs"/>
          <w:rtl/>
        </w:rPr>
        <w:t>9.</w:t>
      </w:r>
      <w:r>
        <w:rPr>
          <w:rFonts w:ascii="Century" w:hAnsi="Century"/>
          <w:rtl/>
        </w:rPr>
        <w:tab/>
      </w:r>
      <w:r>
        <w:rPr>
          <w:rFonts w:ascii="Century" w:hAnsi="Century" w:hint="cs"/>
          <w:rtl/>
        </w:rPr>
        <w:t xml:space="preserve">סופו של דבר, עולה מכלל האמור כי המבחן המרכזי שלפיו יש לבחון את זכאותם של זכאי השבות לזכויות מכוח סעיף 4א(א) לחוק, הוא </w:t>
      </w:r>
      <w:r w:rsidRPr="00EC4DCA">
        <w:rPr>
          <w:rFonts w:ascii="Century" w:hAnsi="Century" w:cs="Miriam" w:hint="cs"/>
          <w:b/>
          <w:spacing w:val="0"/>
          <w:szCs w:val="24"/>
          <w:rtl/>
        </w:rPr>
        <w:t>כנות הקשר המשפחתי</w:t>
      </w:r>
      <w:r>
        <w:rPr>
          <w:rFonts w:ascii="Century" w:hAnsi="Century" w:cs="Miriam" w:hint="cs"/>
          <w:b/>
          <w:spacing w:val="0"/>
          <w:szCs w:val="24"/>
          <w:rtl/>
        </w:rPr>
        <w:t xml:space="preserve"> ליהודי</w:t>
      </w:r>
      <w:r>
        <w:rPr>
          <w:rFonts w:ascii="Century" w:hAnsi="Century" w:hint="cs"/>
          <w:rtl/>
        </w:rPr>
        <w:t xml:space="preserve"> </w:t>
      </w:r>
      <w:r>
        <w:rPr>
          <w:rFonts w:ascii="Century" w:hAnsi="Century"/>
          <w:rtl/>
        </w:rPr>
        <w:t>–</w:t>
      </w:r>
      <w:r>
        <w:rPr>
          <w:rFonts w:ascii="Century" w:hAnsi="Century" w:hint="cs"/>
          <w:rtl/>
        </w:rPr>
        <w:t xml:space="preserve"> בין אם מדובר בקשר דם בין בקשר נישואין; ועל כן אלמנה, כבענייננו, עונה על הגדרת "</w:t>
      </w:r>
      <w:r w:rsidRPr="0047144E">
        <w:rPr>
          <w:rFonts w:ascii="Century" w:hAnsi="Century" w:cs="Miriam" w:hint="eastAsia"/>
          <w:b/>
          <w:spacing w:val="0"/>
          <w:szCs w:val="24"/>
          <w:rtl/>
        </w:rPr>
        <w:t>בן</w:t>
      </w:r>
      <w:r w:rsidRPr="0047144E">
        <w:rPr>
          <w:rFonts w:ascii="Century" w:hAnsi="Century" w:cs="Miriam"/>
          <w:b/>
          <w:spacing w:val="0"/>
          <w:szCs w:val="24"/>
          <w:rtl/>
        </w:rPr>
        <w:t xml:space="preserve"> </w:t>
      </w:r>
      <w:r w:rsidRPr="0047144E">
        <w:rPr>
          <w:rFonts w:ascii="Century" w:hAnsi="Century" w:cs="Miriam" w:hint="eastAsia"/>
          <w:b/>
          <w:spacing w:val="0"/>
          <w:szCs w:val="24"/>
          <w:rtl/>
        </w:rPr>
        <w:t>זוג</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ילד</w:t>
      </w:r>
      <w:r w:rsidRPr="0047144E">
        <w:rPr>
          <w:rFonts w:ascii="Century" w:hAnsi="Century" w:cs="Miriam"/>
          <w:b/>
          <w:spacing w:val="0"/>
          <w:szCs w:val="24"/>
          <w:rtl/>
        </w:rPr>
        <w:t xml:space="preserve"> </w:t>
      </w:r>
      <w:r w:rsidRPr="0047144E">
        <w:rPr>
          <w:rFonts w:ascii="Century" w:hAnsi="Century" w:cs="Miriam" w:hint="eastAsia"/>
          <w:b/>
          <w:spacing w:val="0"/>
          <w:szCs w:val="24"/>
          <w:rtl/>
        </w:rPr>
        <w:t>ושל</w:t>
      </w:r>
      <w:r w:rsidRPr="0047144E">
        <w:rPr>
          <w:rFonts w:ascii="Century" w:hAnsi="Century" w:cs="Miriam"/>
          <w:b/>
          <w:spacing w:val="0"/>
          <w:szCs w:val="24"/>
          <w:rtl/>
        </w:rPr>
        <w:t xml:space="preserve"> </w:t>
      </w:r>
      <w:r w:rsidRPr="0047144E">
        <w:rPr>
          <w:rFonts w:ascii="Century" w:hAnsi="Century" w:cs="Miriam" w:hint="eastAsia"/>
          <w:b/>
          <w:spacing w:val="0"/>
          <w:szCs w:val="24"/>
          <w:rtl/>
        </w:rPr>
        <w:t>נכד</w:t>
      </w:r>
      <w:r w:rsidRPr="0047144E">
        <w:rPr>
          <w:rFonts w:ascii="Century" w:hAnsi="Century" w:cs="Miriam"/>
          <w:b/>
          <w:spacing w:val="0"/>
          <w:szCs w:val="24"/>
          <w:rtl/>
        </w:rPr>
        <w:t xml:space="preserve"> </w:t>
      </w:r>
      <w:r w:rsidRPr="0047144E">
        <w:rPr>
          <w:rFonts w:ascii="Century" w:hAnsi="Century" w:cs="Miriam" w:hint="eastAsia"/>
          <w:b/>
          <w:spacing w:val="0"/>
          <w:szCs w:val="24"/>
          <w:rtl/>
        </w:rPr>
        <w:t>של</w:t>
      </w:r>
      <w:r w:rsidRPr="0047144E">
        <w:rPr>
          <w:rFonts w:ascii="Century" w:hAnsi="Century" w:cs="Miriam"/>
          <w:b/>
          <w:spacing w:val="0"/>
          <w:szCs w:val="24"/>
          <w:rtl/>
        </w:rPr>
        <w:t xml:space="preserve"> </w:t>
      </w:r>
      <w:r w:rsidRPr="0047144E">
        <w:rPr>
          <w:rFonts w:ascii="Century" w:hAnsi="Century" w:cs="Miriam" w:hint="eastAsia"/>
          <w:b/>
          <w:spacing w:val="0"/>
          <w:szCs w:val="24"/>
          <w:rtl/>
        </w:rPr>
        <w:t>יהודי</w:t>
      </w:r>
      <w:r>
        <w:rPr>
          <w:rFonts w:ascii="Century" w:hAnsi="Century" w:hint="cs"/>
          <w:rtl/>
        </w:rPr>
        <w:t>" הקבועה בסעיף זה. הנטל מוטל לפתחו של הטוען לכך להוכיח כי האלמנה התנתקה ממשפחתו של בן הזוג שנפטר (הילד או הנכד של יהודי); ואולם הנחת המוצא היא ש"</w:t>
      </w:r>
      <w:r w:rsidRPr="000009A2">
        <w:rPr>
          <w:rFonts w:ascii="Century" w:hAnsi="Century" w:cs="Miriam" w:hint="eastAsia"/>
          <w:b/>
          <w:spacing w:val="0"/>
          <w:szCs w:val="24"/>
          <w:rtl/>
        </w:rPr>
        <w:t>אלמנה</w:t>
      </w:r>
      <w:r w:rsidRPr="000009A2">
        <w:rPr>
          <w:rFonts w:ascii="Century" w:hAnsi="Century" w:cs="Miriam"/>
          <w:b/>
          <w:spacing w:val="0"/>
          <w:szCs w:val="24"/>
          <w:rtl/>
        </w:rPr>
        <w:t xml:space="preserve"> </w:t>
      </w:r>
      <w:r w:rsidRPr="000009A2">
        <w:rPr>
          <w:rFonts w:ascii="Century" w:hAnsi="Century" w:cs="Miriam" w:hint="eastAsia"/>
          <w:b/>
          <w:spacing w:val="0"/>
          <w:szCs w:val="24"/>
          <w:rtl/>
        </w:rPr>
        <w:t>איננה</w:t>
      </w:r>
      <w:r w:rsidRPr="000009A2">
        <w:rPr>
          <w:rFonts w:ascii="Century" w:hAnsi="Century" w:cs="Miriam"/>
          <w:b/>
          <w:spacing w:val="0"/>
          <w:szCs w:val="24"/>
          <w:rtl/>
        </w:rPr>
        <w:t xml:space="preserve"> </w:t>
      </w:r>
      <w:r w:rsidRPr="000009A2">
        <w:rPr>
          <w:rFonts w:ascii="Century" w:hAnsi="Century" w:cs="Miriam" w:hint="eastAsia"/>
          <w:b/>
          <w:spacing w:val="0"/>
          <w:szCs w:val="24"/>
          <w:rtl/>
        </w:rPr>
        <w:t>גרושה</w:t>
      </w:r>
      <w:r w:rsidRPr="000009A2">
        <w:rPr>
          <w:rFonts w:ascii="Century" w:hAnsi="Century" w:cs="Miriam"/>
          <w:b/>
          <w:spacing w:val="0"/>
          <w:szCs w:val="24"/>
          <w:rtl/>
        </w:rPr>
        <w:t xml:space="preserve"> </w:t>
      </w:r>
      <w:r w:rsidRPr="000009A2">
        <w:rPr>
          <w:rFonts w:ascii="Century" w:hAnsi="Century" w:cs="Miriam" w:hint="eastAsia"/>
          <w:b/>
          <w:spacing w:val="0"/>
          <w:szCs w:val="24"/>
          <w:rtl/>
        </w:rPr>
        <w:t>והמנוח</w:t>
      </w:r>
      <w:r w:rsidRPr="000009A2">
        <w:rPr>
          <w:rFonts w:ascii="Century" w:hAnsi="Century" w:cs="Miriam"/>
          <w:b/>
          <w:spacing w:val="0"/>
          <w:szCs w:val="24"/>
          <w:rtl/>
        </w:rPr>
        <w:t xml:space="preserve"> </w:t>
      </w:r>
      <w:r w:rsidRPr="000009A2">
        <w:rPr>
          <w:rFonts w:ascii="Century" w:hAnsi="Century" w:cs="Miriam" w:hint="eastAsia"/>
          <w:b/>
          <w:spacing w:val="0"/>
          <w:szCs w:val="24"/>
          <w:rtl/>
        </w:rPr>
        <w:t>איננו</w:t>
      </w:r>
      <w:r w:rsidRPr="000009A2">
        <w:rPr>
          <w:rFonts w:ascii="Century" w:hAnsi="Century" w:cs="Miriam"/>
          <w:b/>
          <w:spacing w:val="0"/>
          <w:szCs w:val="24"/>
          <w:rtl/>
        </w:rPr>
        <w:t xml:space="preserve"> </w:t>
      </w:r>
      <w:r w:rsidRPr="000009A2">
        <w:rPr>
          <w:rFonts w:ascii="Century" w:hAnsi="Century" w:cs="Miriam" w:hint="eastAsia"/>
          <w:b/>
          <w:spacing w:val="0"/>
          <w:szCs w:val="24"/>
          <w:rtl/>
        </w:rPr>
        <w:t>בעלה</w:t>
      </w:r>
      <w:r w:rsidRPr="000009A2">
        <w:rPr>
          <w:rFonts w:ascii="Century" w:hAnsi="Century" w:cs="Miriam"/>
          <w:b/>
          <w:spacing w:val="0"/>
          <w:szCs w:val="24"/>
          <w:rtl/>
        </w:rPr>
        <w:t xml:space="preserve"> </w:t>
      </w:r>
      <w:r w:rsidRPr="000009A2">
        <w:rPr>
          <w:rFonts w:ascii="Century" w:hAnsi="Century" w:cs="Miriam" w:hint="eastAsia"/>
          <w:b/>
          <w:spacing w:val="0"/>
          <w:szCs w:val="24"/>
          <w:rtl/>
        </w:rPr>
        <w:t>לשעבר</w:t>
      </w:r>
      <w:r w:rsidRPr="000009A2">
        <w:rPr>
          <w:rFonts w:ascii="Century" w:hAnsi="Century" w:cs="Miriam"/>
          <w:b/>
          <w:spacing w:val="0"/>
          <w:szCs w:val="24"/>
          <w:rtl/>
        </w:rPr>
        <w:t xml:space="preserve">, </w:t>
      </w:r>
      <w:r w:rsidRPr="000009A2">
        <w:rPr>
          <w:rFonts w:ascii="Century" w:hAnsi="Century" w:cs="Miriam" w:hint="eastAsia"/>
          <w:b/>
          <w:spacing w:val="0"/>
          <w:szCs w:val="24"/>
          <w:rtl/>
        </w:rPr>
        <w:t>הוא</w:t>
      </w:r>
      <w:r w:rsidRPr="000009A2">
        <w:rPr>
          <w:rFonts w:ascii="Century" w:hAnsi="Century" w:cs="Miriam"/>
          <w:b/>
          <w:spacing w:val="0"/>
          <w:szCs w:val="24"/>
          <w:rtl/>
        </w:rPr>
        <w:t xml:space="preserve"> </w:t>
      </w:r>
      <w:r w:rsidRPr="000009A2">
        <w:rPr>
          <w:rFonts w:ascii="Century" w:hAnsi="Century" w:cs="Miriam" w:hint="eastAsia"/>
          <w:b/>
          <w:spacing w:val="0"/>
          <w:szCs w:val="24"/>
          <w:rtl/>
        </w:rPr>
        <w:t>בעלה</w:t>
      </w:r>
      <w:r w:rsidRPr="000009A2">
        <w:rPr>
          <w:rFonts w:ascii="Century" w:hAnsi="Century" w:cs="Miriam"/>
          <w:b/>
          <w:spacing w:val="0"/>
          <w:szCs w:val="24"/>
          <w:rtl/>
        </w:rPr>
        <w:t xml:space="preserve"> </w:t>
      </w:r>
      <w:r w:rsidRPr="000009A2">
        <w:rPr>
          <w:rFonts w:ascii="Century" w:hAnsi="Century" w:cs="Miriam" w:hint="eastAsia"/>
          <w:b/>
          <w:spacing w:val="0"/>
          <w:szCs w:val="24"/>
          <w:rtl/>
        </w:rPr>
        <w:t>המנוח</w:t>
      </w:r>
      <w:r>
        <w:rPr>
          <w:rFonts w:ascii="Century" w:hAnsi="Century" w:hint="cs"/>
          <w:rtl/>
        </w:rPr>
        <w:t>" (סעיף 3 לדבריי בפסק הדין נושא הדיון הנוסף)</w:t>
      </w:r>
      <w:r w:rsidRPr="000009A2">
        <w:rPr>
          <w:rFonts w:ascii="Century" w:hAnsi="Century"/>
          <w:rtl/>
        </w:rPr>
        <w:t>.</w:t>
      </w:r>
    </w:p>
    <w:p w:rsidR="00A86E90" w:rsidRDefault="00A86E90" w:rsidP="00872589">
      <w:pPr>
        <w:pStyle w:val="Ruller41"/>
        <w:rPr>
          <w:rtl/>
        </w:rPr>
      </w:pPr>
    </w:p>
    <w:p w:rsidR="00A86E90" w:rsidRDefault="00A86E90" w:rsidP="00A86E90">
      <w:pPr>
        <w:pStyle w:val="Ruller41"/>
        <w:rPr>
          <w:rtl/>
        </w:rPr>
      </w:pPr>
    </w:p>
    <w:tbl>
      <w:tblPr>
        <w:bidiVisual/>
        <w:tblW w:w="8363" w:type="dxa"/>
        <w:tblLook w:val="01E0" w:firstRow="1" w:lastRow="1" w:firstColumn="1" w:lastColumn="1" w:noHBand="0" w:noVBand="0"/>
      </w:tblPr>
      <w:tblGrid>
        <w:gridCol w:w="2783"/>
        <w:gridCol w:w="2797"/>
        <w:gridCol w:w="2783"/>
      </w:tblGrid>
      <w:tr w:rsidR="00A86E90" w:rsidRPr="00267280" w:rsidTr="00F97246">
        <w:tc>
          <w:tcPr>
            <w:tcW w:w="2783" w:type="dxa"/>
            <w:shd w:val="clear" w:color="auto" w:fill="auto"/>
          </w:tcPr>
          <w:p w:rsidR="00A86E90" w:rsidRPr="00267280" w:rsidRDefault="00A86E90" w:rsidP="00F97246">
            <w:pPr>
              <w:pStyle w:val="Ruller41"/>
              <w:jc w:val="center"/>
              <w:rPr>
                <w:rtl/>
              </w:rPr>
            </w:pPr>
          </w:p>
        </w:tc>
        <w:tc>
          <w:tcPr>
            <w:tcW w:w="2797" w:type="dxa"/>
            <w:shd w:val="clear" w:color="auto" w:fill="auto"/>
          </w:tcPr>
          <w:p w:rsidR="00A86E90" w:rsidRPr="00267280" w:rsidRDefault="00A86E90" w:rsidP="00F97246">
            <w:pPr>
              <w:pStyle w:val="Ruller41"/>
              <w:jc w:val="center"/>
              <w:rPr>
                <w:rtl/>
              </w:rPr>
            </w:pPr>
          </w:p>
        </w:tc>
        <w:tc>
          <w:tcPr>
            <w:tcW w:w="2783" w:type="dxa"/>
            <w:shd w:val="clear" w:color="auto" w:fill="auto"/>
          </w:tcPr>
          <w:p w:rsidR="00A86E90" w:rsidRPr="00267280" w:rsidRDefault="00A86E90" w:rsidP="00F97246">
            <w:pPr>
              <w:pStyle w:val="Ruller41"/>
              <w:jc w:val="right"/>
              <w:rPr>
                <w:rtl/>
              </w:rPr>
            </w:pPr>
            <w:r>
              <w:rPr>
                <w:rFonts w:hint="cs"/>
                <w:rtl/>
              </w:rPr>
              <w:t>ש ו פ ט ת (בדימ')</w:t>
            </w:r>
          </w:p>
        </w:tc>
      </w:tr>
    </w:tbl>
    <w:p w:rsidR="00A86E90" w:rsidRDefault="00A86E90" w:rsidP="00A86E90">
      <w:pPr>
        <w:pStyle w:val="Ruller41"/>
        <w:rPr>
          <w:rtl/>
        </w:rPr>
      </w:pPr>
    </w:p>
    <w:p w:rsidR="00A86E90" w:rsidRDefault="00A86E90" w:rsidP="00872589">
      <w:pPr>
        <w:pStyle w:val="Ruller41"/>
        <w:rPr>
          <w:rtl/>
        </w:rPr>
      </w:pPr>
    </w:p>
    <w:p w:rsidR="00255DAE" w:rsidRPr="00503A3E" w:rsidRDefault="00255DAE" w:rsidP="00255DAE">
      <w:pPr>
        <w:pStyle w:val="BODYVERDICT"/>
        <w:rPr>
          <w:rFonts w:cs="Miriam"/>
          <w:sz w:val="24"/>
          <w:szCs w:val="24"/>
          <w:u w:val="single"/>
          <w:rtl/>
        </w:rPr>
      </w:pPr>
      <w:r>
        <w:rPr>
          <w:rFonts w:cs="Miriam"/>
          <w:sz w:val="24"/>
          <w:szCs w:val="24"/>
          <w:u w:val="single"/>
          <w:rtl/>
        </w:rPr>
        <w:t>השופטת ד' ברק-ארז:</w:t>
      </w:r>
    </w:p>
    <w:p w:rsidR="00255DAE" w:rsidRPr="00573D6C" w:rsidRDefault="00255DAE" w:rsidP="00255DAE">
      <w:pPr>
        <w:pStyle w:val="Ruller41"/>
        <w:jc w:val="center"/>
        <w:rPr>
          <w:b/>
          <w:bCs/>
          <w:u w:val="single"/>
          <w:rtl/>
        </w:rPr>
      </w:pPr>
    </w:p>
    <w:p w:rsidR="00255DAE" w:rsidRDefault="00255DAE" w:rsidP="00255DAE">
      <w:pPr>
        <w:pStyle w:val="Ruller41"/>
        <w:rPr>
          <w:rtl/>
        </w:rPr>
      </w:pPr>
      <w:r>
        <w:rPr>
          <w:rFonts w:hint="cs"/>
          <w:rtl/>
        </w:rPr>
        <w:t>1.</w:t>
      </w:r>
      <w:r>
        <w:rPr>
          <w:rFonts w:hint="cs"/>
          <w:rtl/>
        </w:rPr>
        <w:tab/>
        <w:t>האם אלמנה של מי שהיה זכאי שבות כבן או כנכד של יהודי היא זכאית שבות? והוא הדין באלמן, בשינויים המחויבים? אני סבורה שתשובה חיובית לשאלה זו מתיישבת עם לשון החוק, ונגזרת הן מתכליתו ומההיסטוריה החקיקתית שלו, והן מהתפיסה החברתית והתרבותית הרווחת ביחס למוסד המשפחה.</w:t>
      </w:r>
    </w:p>
    <w:p w:rsidR="00255DAE" w:rsidRDefault="00255DAE" w:rsidP="00255DAE">
      <w:pPr>
        <w:pStyle w:val="Ruller41"/>
        <w:rPr>
          <w:rtl/>
        </w:rPr>
      </w:pPr>
    </w:p>
    <w:p w:rsidR="00255DAE" w:rsidRDefault="00255DAE" w:rsidP="00255DAE">
      <w:pPr>
        <w:pStyle w:val="Ruller41"/>
        <w:rPr>
          <w:rtl/>
        </w:rPr>
      </w:pPr>
      <w:r>
        <w:rPr>
          <w:rFonts w:hint="cs"/>
          <w:rtl/>
        </w:rPr>
        <w:lastRenderedPageBreak/>
        <w:t xml:space="preserve">2. </w:t>
      </w:r>
      <w:r>
        <w:rPr>
          <w:rFonts w:hint="cs"/>
          <w:rtl/>
        </w:rPr>
        <w:tab/>
        <w:t xml:space="preserve">בעיקרו של דבר, אני מסכימה לפסק דינו של חברי ממלא מקום הנשיא </w:t>
      </w:r>
      <w:r w:rsidRPr="00573D6C">
        <w:rPr>
          <w:rFonts w:ascii="Century" w:hAnsi="Century" w:cs="Miriam" w:hint="cs"/>
          <w:b/>
          <w:spacing w:val="0"/>
          <w:szCs w:val="24"/>
          <w:rtl/>
        </w:rPr>
        <w:t>ע' פוגלמן</w:t>
      </w:r>
      <w:r>
        <w:rPr>
          <w:rFonts w:hint="cs"/>
          <w:rtl/>
        </w:rPr>
        <w:t xml:space="preserve">, על כלל נימוקיו, כמו גם לדברים שהוסיפה חברתי השופטת (בדימ') </w:t>
      </w:r>
      <w:r w:rsidRPr="00ED3645">
        <w:rPr>
          <w:rFonts w:ascii="Century" w:hAnsi="Century" w:cs="Miriam"/>
          <w:b/>
          <w:spacing w:val="0"/>
          <w:szCs w:val="24"/>
          <w:rtl/>
        </w:rPr>
        <w:t>ע' ברון</w:t>
      </w:r>
      <w:r>
        <w:rPr>
          <w:rFonts w:hint="cs"/>
          <w:rtl/>
        </w:rPr>
        <w:t>, ועל כן אסתפק במספר הערות תמציתיות ביחס לגישתי.</w:t>
      </w:r>
    </w:p>
    <w:p w:rsidR="00255DAE" w:rsidRDefault="00255DAE" w:rsidP="00255DAE">
      <w:pPr>
        <w:pStyle w:val="Ruller41"/>
        <w:rPr>
          <w:rtl/>
        </w:rPr>
      </w:pPr>
    </w:p>
    <w:p w:rsidR="00255DAE" w:rsidRDefault="00255DAE" w:rsidP="00255DAE">
      <w:pPr>
        <w:pStyle w:val="Ruller41"/>
        <w:rPr>
          <w:rtl/>
        </w:rPr>
      </w:pPr>
      <w:r>
        <w:rPr>
          <w:rFonts w:hint="cs"/>
          <w:rtl/>
        </w:rPr>
        <w:t xml:space="preserve">3. </w:t>
      </w:r>
      <w:r>
        <w:rPr>
          <w:rtl/>
        </w:rPr>
        <w:tab/>
      </w:r>
      <w:r w:rsidRPr="000D6510">
        <w:rPr>
          <w:rFonts w:ascii="Century" w:hAnsi="Century" w:cs="Miriam" w:hint="cs"/>
          <w:b/>
          <w:spacing w:val="0"/>
          <w:szCs w:val="24"/>
          <w:rtl/>
        </w:rPr>
        <w:t>לשון החוק</w:t>
      </w:r>
      <w:r w:rsidRPr="000D6510">
        <w:rPr>
          <w:rFonts w:hint="cs"/>
          <w:rtl/>
        </w:rPr>
        <w:t xml:space="preserve"> </w:t>
      </w:r>
      <w:r>
        <w:rPr>
          <w:rtl/>
        </w:rPr>
        <w:t>–</w:t>
      </w:r>
      <w:r>
        <w:rPr>
          <w:rFonts w:hint="cs"/>
          <w:rtl/>
        </w:rPr>
        <w:t xml:space="preserve"> נקודת המוצא לפרשנות החוק נמצאת תמיד בלשונו. בהקשר הנוכחי, סעיף 4א לחוק השבות, התש"י-1950 (להלן: </w:t>
      </w:r>
      <w:r w:rsidRPr="000D6510">
        <w:rPr>
          <w:rFonts w:ascii="Century" w:hAnsi="Century" w:cs="Miriam" w:hint="cs"/>
          <w:b/>
          <w:spacing w:val="0"/>
          <w:szCs w:val="24"/>
          <w:rtl/>
        </w:rPr>
        <w:t>חוק השבות</w:t>
      </w:r>
      <w:r>
        <w:rPr>
          <w:rFonts w:hint="cs"/>
          <w:rtl/>
        </w:rPr>
        <w:t xml:space="preserve">) מקנה זכויות שבות ל"ילד" ול"נכד" של יהודי, כמו גם ל"בן זוג" של יהודי או ל"בן זוג של ילד ושל נכד של יהודי", והוא עושה כן ללא כל מדרג פנימי ביניהם. זכויותיהם של כלל הנזכרים בסעיף זה נגזרות </w:t>
      </w:r>
      <w:r w:rsidRPr="001C50B5">
        <w:rPr>
          <w:rFonts w:ascii="Century" w:hAnsi="Century" w:cs="Miriam" w:hint="eastAsia"/>
          <w:b/>
          <w:spacing w:val="0"/>
          <w:szCs w:val="24"/>
          <w:rtl/>
        </w:rPr>
        <w:t>במישרין</w:t>
      </w:r>
      <w:r>
        <w:rPr>
          <w:rFonts w:hint="cs"/>
          <w:rtl/>
        </w:rPr>
        <w:t xml:space="preserve"> מיהדותו של הסב, הוא אותו "יהודי לפי חוק זה" כאמור בסעיף 4א(א) לחוק השבות. המחוקק מתייחס לסב המשפחה כמי שמכוח יהדותו שלו נוצרת זכותם של יתר בני המשפחה הנזכרים בסעיף קטן (א). מכאן עולה, כי מי שנישאו לבן או לנכד של יהודי אינם מאבדים את זכאותם עם מותו של בן הזוג, שהרי זכותם ניתנה להם באופן ישיר ועצמאי מכוח יהדותו של סב המשפחה, ולא "מכלי שני", כלומר מכוח זכותו של בן הזוג שנפטר. על כך יש להוסיף, כי בדומה לחברי ממלא מקום הנשיא </w:t>
      </w:r>
      <w:r w:rsidRPr="001C50B5">
        <w:rPr>
          <w:rFonts w:ascii="Century" w:hAnsi="Century" w:cs="Miriam" w:hint="eastAsia"/>
          <w:b/>
          <w:spacing w:val="0"/>
          <w:szCs w:val="24"/>
          <w:rtl/>
        </w:rPr>
        <w:t>פוגלמן</w:t>
      </w:r>
      <w:r>
        <w:rPr>
          <w:rFonts w:hint="cs"/>
          <w:rtl/>
        </w:rPr>
        <w:t xml:space="preserve">, אף אני סבורה שבמישור הטקסטואלי, לשון החוק אינה שוללת את האפשרות שאלמן או אלמנה יבואו בגדר המונח "בן זוג" או בת זוג". אדרבה, ניתן לראות כי גם בהקשרים חקיקתיים אחרים יש שהמונח "בן זוג" משמש לכנות גם את מי שבאותה עת כבר התאלמן. קל להדגים את הדברים מסעיף 11 לחוק הירושה, התשכ"ה-1965 (להלן: </w:t>
      </w:r>
      <w:r w:rsidRPr="001C50B5">
        <w:rPr>
          <w:rFonts w:ascii="Century" w:hAnsi="Century" w:cs="Miriam"/>
          <w:b/>
          <w:spacing w:val="0"/>
          <w:szCs w:val="24"/>
          <w:rtl/>
        </w:rPr>
        <w:t>חוק הירושה</w:t>
      </w:r>
      <w:r>
        <w:rPr>
          <w:rFonts w:hint="cs"/>
          <w:rtl/>
        </w:rPr>
        <w:t>) שמסדיר את "זכות הירושה של בן-זוג". פשיטא ש"בן-זוג" אינו חדל להיות "בן-זוג" בשל אירוע המוות. וכך גם בהקשרים חקיקתיים נוספים, כדוגמת חוק האנטומיה והפתולוגיה, התשי"ג-1953, שמקנה זכויות התנגדות לנתיחה למי שהוא "בן-משפחה", מונח שמוגדר בסעיף 1 לחוק ככולל גם "בן-זוג". אין צריך לומר שבמקרה זה בן הזוג הוא בעליל מי שהוא אלמן או אלמנה באותה עת.</w:t>
      </w:r>
    </w:p>
    <w:p w:rsidR="00255DAE" w:rsidRDefault="00255DAE" w:rsidP="00255DAE">
      <w:pPr>
        <w:pStyle w:val="Ruller41"/>
        <w:rPr>
          <w:rtl/>
        </w:rPr>
      </w:pPr>
    </w:p>
    <w:p w:rsidR="00255DAE" w:rsidRDefault="00255DAE" w:rsidP="00255DAE">
      <w:pPr>
        <w:pStyle w:val="Ruller41"/>
        <w:rPr>
          <w:rtl/>
        </w:rPr>
      </w:pPr>
      <w:r>
        <w:rPr>
          <w:rFonts w:hint="cs"/>
          <w:rtl/>
        </w:rPr>
        <w:t xml:space="preserve">4. </w:t>
      </w:r>
      <w:r>
        <w:rPr>
          <w:rFonts w:hint="cs"/>
          <w:rtl/>
        </w:rPr>
        <w:tab/>
        <w:t xml:space="preserve">האם יש דבר מה בלשון החוק שבפנינו המלמד אחרת? חברי השופט </w:t>
      </w:r>
      <w:r w:rsidRPr="008728A9">
        <w:rPr>
          <w:rFonts w:ascii="Century" w:hAnsi="Century" w:cs="Miriam"/>
          <w:b/>
          <w:spacing w:val="0"/>
          <w:szCs w:val="24"/>
          <w:rtl/>
        </w:rPr>
        <w:t>נ' סולברג</w:t>
      </w:r>
      <w:r>
        <w:rPr>
          <w:rFonts w:hint="cs"/>
          <w:rtl/>
        </w:rPr>
        <w:t xml:space="preserve"> סבור כך, בהמשך לדעת המיעוט של חברי השופט </w:t>
      </w:r>
      <w:r w:rsidRPr="008728A9">
        <w:rPr>
          <w:rFonts w:ascii="Century" w:hAnsi="Century" w:cs="Miriam"/>
          <w:b/>
          <w:spacing w:val="0"/>
          <w:szCs w:val="24"/>
          <w:rtl/>
        </w:rPr>
        <w:t>ד' מינץ</w:t>
      </w:r>
      <w:r w:rsidRPr="0010590C">
        <w:rPr>
          <w:rFonts w:hint="cs"/>
          <w:rtl/>
        </w:rPr>
        <w:t xml:space="preserve"> </w:t>
      </w:r>
      <w:r>
        <w:rPr>
          <w:rFonts w:hint="cs"/>
          <w:rtl/>
        </w:rPr>
        <w:t>בפסק הדין מושא הדיון הנוסף. לצורך כך הם תומכים יתדותיהם בהוראת סעיף 4א(ב) המורה כי "אין נפקא מינה אם יהודי שמכוחו נתבעת זכות לפי סעיף קטן (א) עודו בחיים או לאו ואם עלה ארצה או לאו". לשיטתם, התייחסותו של סעיף זה לכך שהזכות אינה פוקעת עם מותו של "</w:t>
      </w:r>
      <w:r w:rsidRPr="002646EC">
        <w:rPr>
          <w:rFonts w:hint="eastAsia"/>
          <w:rtl/>
        </w:rPr>
        <w:t>יהודי</w:t>
      </w:r>
      <w:r w:rsidRPr="002646EC">
        <w:rPr>
          <w:rtl/>
        </w:rPr>
        <w:t xml:space="preserve"> </w:t>
      </w:r>
      <w:r w:rsidRPr="002646EC">
        <w:rPr>
          <w:rFonts w:hint="eastAsia"/>
          <w:rtl/>
        </w:rPr>
        <w:t>שמכוחו</w:t>
      </w:r>
      <w:r w:rsidRPr="002646EC">
        <w:rPr>
          <w:rtl/>
        </w:rPr>
        <w:t xml:space="preserve"> </w:t>
      </w:r>
      <w:r w:rsidRPr="002646EC">
        <w:rPr>
          <w:rFonts w:hint="eastAsia"/>
          <w:rtl/>
        </w:rPr>
        <w:t>נתבעת</w:t>
      </w:r>
      <w:r w:rsidRPr="002646EC">
        <w:rPr>
          <w:rtl/>
        </w:rPr>
        <w:t xml:space="preserve"> </w:t>
      </w:r>
      <w:r w:rsidRPr="002646EC">
        <w:rPr>
          <w:rFonts w:hint="eastAsia"/>
          <w:rtl/>
        </w:rPr>
        <w:t>זכות</w:t>
      </w:r>
      <w:r>
        <w:rPr>
          <w:rFonts w:hint="cs"/>
          <w:rtl/>
        </w:rPr>
        <w:t xml:space="preserve">" מלמדת שהזכות דווקא כן פוקעת עם מותו של הבן או הנכד של אותו יהודי, בבחינת מכלל ההן נשמע הלאו. דעתי שונה. אני סבורה כי המחוקק לא התייחס בסעיף זה לבן או לנכד של יהודי מן הטעם הפשוט שהם אינם מי שמכוחם נתבעת הזכות. ברי אפוא שמותם אינו משפיע על מי שתובעים את זכותם מכוח יהדותו של סב המשפחה. לשונו של סעיף 4א(ב) מכוונת להעברת מסר אחר ופשוט: זכויותיהם של זכאי </w:t>
      </w:r>
      <w:r>
        <w:rPr>
          <w:rFonts w:hint="cs"/>
          <w:rtl/>
        </w:rPr>
        <w:lastRenderedPageBreak/>
        <w:t xml:space="preserve">השבות שאינם "יהודים" כהגדרתו של מונח זה בחוק, אלא רק צאצאיו של יהודי </w:t>
      </w:r>
      <w:r w:rsidRPr="001C50B5">
        <w:rPr>
          <w:rFonts w:ascii="Century" w:hAnsi="Century" w:cs="Miriam" w:hint="eastAsia"/>
          <w:b/>
          <w:spacing w:val="0"/>
          <w:szCs w:val="24"/>
          <w:rtl/>
        </w:rPr>
        <w:t>או</w:t>
      </w:r>
      <w:r w:rsidRPr="001C50B5">
        <w:rPr>
          <w:rFonts w:ascii="Century" w:hAnsi="Century" w:cs="Miriam"/>
          <w:b/>
          <w:spacing w:val="0"/>
          <w:szCs w:val="24"/>
          <w:rtl/>
        </w:rPr>
        <w:t xml:space="preserve"> </w:t>
      </w:r>
      <w:r w:rsidRPr="001C50B5">
        <w:rPr>
          <w:rFonts w:ascii="Century" w:hAnsi="Century" w:cs="Miriam" w:hint="eastAsia"/>
          <w:b/>
          <w:spacing w:val="0"/>
          <w:szCs w:val="24"/>
          <w:rtl/>
        </w:rPr>
        <w:t>בני</w:t>
      </w:r>
      <w:r w:rsidRPr="001C50B5">
        <w:rPr>
          <w:rFonts w:ascii="Century" w:hAnsi="Century" w:cs="Miriam"/>
          <w:b/>
          <w:spacing w:val="0"/>
          <w:szCs w:val="24"/>
          <w:rtl/>
        </w:rPr>
        <w:t xml:space="preserve"> </w:t>
      </w:r>
      <w:r w:rsidRPr="001C50B5">
        <w:rPr>
          <w:rFonts w:ascii="Century" w:hAnsi="Century" w:cs="Miriam" w:hint="eastAsia"/>
          <w:b/>
          <w:spacing w:val="0"/>
          <w:szCs w:val="24"/>
          <w:rtl/>
        </w:rPr>
        <w:t>זוגם</w:t>
      </w:r>
      <w:r>
        <w:rPr>
          <w:rFonts w:hint="cs"/>
          <w:rtl/>
        </w:rPr>
        <w:t>,</w:t>
      </w:r>
      <w:r w:rsidRPr="002646EC">
        <w:rPr>
          <w:rFonts w:hint="cs"/>
          <w:rtl/>
        </w:rPr>
        <w:t xml:space="preserve"> </w:t>
      </w:r>
      <w:r>
        <w:rPr>
          <w:rFonts w:hint="cs"/>
          <w:rtl/>
        </w:rPr>
        <w:t xml:space="preserve">אינן מותנות בכך שסב המשפחה עודו בחיים או עלה ארצה. במלים אחרות, הסעיף מבהיר את הכוונה להעניק זכויות שבות לצאצאים ולבני זוגם (עד דור שלישי) באופן בלתי תלוי במסלול חייו של סב המשפחה. אין מדובר בהקניית זכות עלייה רק למי שמלווים את סב המשפחה בעלותו ארצה, אלא בזכויות המוקנות להם באופן עצמאי, בגדר זכות אבות. </w:t>
      </w:r>
    </w:p>
    <w:p w:rsidR="00255DAE" w:rsidRDefault="00255DAE" w:rsidP="00255DAE">
      <w:pPr>
        <w:pStyle w:val="Ruller41"/>
        <w:rPr>
          <w:rtl/>
        </w:rPr>
      </w:pPr>
    </w:p>
    <w:p w:rsidR="00255DAE" w:rsidRDefault="00255DAE" w:rsidP="00255DAE">
      <w:pPr>
        <w:pStyle w:val="Ruller41"/>
        <w:rPr>
          <w:rtl/>
        </w:rPr>
      </w:pPr>
      <w:r>
        <w:rPr>
          <w:rFonts w:hint="cs"/>
          <w:rtl/>
        </w:rPr>
        <w:t xml:space="preserve">5. </w:t>
      </w:r>
      <w:r>
        <w:rPr>
          <w:rtl/>
        </w:rPr>
        <w:tab/>
      </w:r>
      <w:r>
        <w:rPr>
          <w:rFonts w:hint="cs"/>
          <w:rtl/>
        </w:rPr>
        <w:t>עמדתי היא אפוא שלשון החוק תומכת בבירור בתוצאתו של פסק הדין מושא הדיון הנוסף. בשלב זה, אוסיף ואסביר, כי לשיטתי פנייה לבחינת תכלית החוק ולהיסטוריה החקיקתית שלו תומכות אף הן בתוצאה זו. לא זו בלבד, תוצאה זו מתיישבת היטב גם עם התפיסה החברתית והתרבותית הרווחת ביחס למוסד המשפחה.</w:t>
      </w:r>
    </w:p>
    <w:p w:rsidR="00255DAE" w:rsidRDefault="00255DAE" w:rsidP="00255DAE">
      <w:pPr>
        <w:pStyle w:val="Ruller41"/>
        <w:rPr>
          <w:rtl/>
        </w:rPr>
      </w:pPr>
    </w:p>
    <w:p w:rsidR="00255DAE" w:rsidRDefault="00255DAE" w:rsidP="00255DAE">
      <w:pPr>
        <w:pStyle w:val="Ruller41"/>
        <w:rPr>
          <w:rtl/>
        </w:rPr>
      </w:pPr>
      <w:r>
        <w:rPr>
          <w:rFonts w:hint="cs"/>
          <w:rtl/>
        </w:rPr>
        <w:t xml:space="preserve">6. </w:t>
      </w:r>
      <w:r>
        <w:rPr>
          <w:rFonts w:hint="cs"/>
          <w:rtl/>
        </w:rPr>
        <w:tab/>
      </w:r>
      <w:r w:rsidRPr="000D6510">
        <w:rPr>
          <w:rFonts w:ascii="Century" w:hAnsi="Century" w:cs="Miriam" w:hint="cs"/>
          <w:b/>
          <w:spacing w:val="0"/>
          <w:szCs w:val="24"/>
          <w:rtl/>
        </w:rPr>
        <w:t>תכלית החוק וההיסטוריה החקיקתית שלו</w:t>
      </w:r>
      <w:r w:rsidRPr="000D6510">
        <w:rPr>
          <w:rFonts w:hint="cs"/>
          <w:rtl/>
        </w:rPr>
        <w:t xml:space="preserve"> </w:t>
      </w:r>
      <w:r>
        <w:rPr>
          <w:rtl/>
        </w:rPr>
        <w:t>–</w:t>
      </w:r>
      <w:r>
        <w:rPr>
          <w:rFonts w:hint="cs"/>
          <w:rtl/>
        </w:rPr>
        <w:t xml:space="preserve"> מעטים הם דברי החקיקה שהרקע לחקיקתם והתכלית שאותה הם נועדו להשיג ברורים כמו אלה של סעיף 4א לחוק השבות. סעיף זה נוסף לחוק השבות כחלק מהסדר מורכב שנועד לתת מענה כולל למחלוקת החברתית והפוליטית </w:t>
      </w:r>
      <w:r w:rsidRPr="000D6510">
        <w:rPr>
          <w:rFonts w:ascii="Century" w:hAnsi="Century" w:hint="cs"/>
          <w:rtl/>
        </w:rPr>
        <w:t xml:space="preserve">שהתגלעה לאחר </w:t>
      </w:r>
      <w:r>
        <w:rPr>
          <w:rFonts w:ascii="Century" w:hAnsi="Century" w:hint="cs"/>
          <w:rtl/>
        </w:rPr>
        <w:t xml:space="preserve">שניתן </w:t>
      </w:r>
      <w:r w:rsidRPr="000D6510">
        <w:rPr>
          <w:rFonts w:ascii="Century" w:hAnsi="Century" w:hint="cs"/>
          <w:rtl/>
        </w:rPr>
        <w:t>פסק דינו של בית משפט זה בבג"</w:t>
      </w:r>
      <w:r>
        <w:rPr>
          <w:rFonts w:ascii="Century" w:hAnsi="Century" w:hint="cs"/>
          <w:rtl/>
        </w:rPr>
        <w:t>ץ</w:t>
      </w:r>
      <w:r w:rsidRPr="000D6510">
        <w:rPr>
          <w:rFonts w:ascii="Century" w:hAnsi="Century" w:hint="cs"/>
          <w:rtl/>
        </w:rPr>
        <w:t xml:space="preserve"> 58/68 </w:t>
      </w:r>
      <w:r w:rsidRPr="000D6510">
        <w:rPr>
          <w:rFonts w:ascii="Century" w:hAnsi="Century" w:cs="Miriam" w:hint="cs"/>
          <w:b/>
          <w:spacing w:val="0"/>
          <w:szCs w:val="24"/>
          <w:rtl/>
        </w:rPr>
        <w:t>שליט נ' שר הפנים</w:t>
      </w:r>
      <w:r w:rsidRPr="000D6510">
        <w:rPr>
          <w:rFonts w:ascii="Century" w:hAnsi="Century" w:hint="cs"/>
          <w:rtl/>
        </w:rPr>
        <w:t xml:space="preserve">, </w:t>
      </w:r>
      <w:r w:rsidRPr="000D6510">
        <w:rPr>
          <w:rFonts w:ascii="Century" w:hAnsi="Century"/>
          <w:rtl/>
        </w:rPr>
        <w:t>פ"ד כג(2) 477</w:t>
      </w:r>
      <w:r>
        <w:rPr>
          <w:rFonts w:ascii="Century" w:hAnsi="Century" w:hint="cs"/>
          <w:rtl/>
        </w:rPr>
        <w:t xml:space="preserve"> (1970) (להלן: עניין </w:t>
      </w:r>
      <w:r w:rsidRPr="001C50B5">
        <w:rPr>
          <w:rFonts w:ascii="Century" w:hAnsi="Century" w:cs="Miriam" w:hint="eastAsia"/>
          <w:b/>
          <w:spacing w:val="0"/>
          <w:szCs w:val="24"/>
          <w:rtl/>
        </w:rPr>
        <w:t>שליט</w:t>
      </w:r>
      <w:r>
        <w:rPr>
          <w:rFonts w:ascii="Century" w:hAnsi="Century" w:hint="cs"/>
          <w:rtl/>
        </w:rPr>
        <w:t xml:space="preserve">). </w:t>
      </w:r>
      <w:r>
        <w:rPr>
          <w:rFonts w:hint="cs"/>
          <w:rtl/>
        </w:rPr>
        <w:t xml:space="preserve">הדברים ידועים ומפורסמים, ולכן די יהיה לחזור ולהזכיר בקצרה, כי פסק הדין בעניין </w:t>
      </w:r>
      <w:r w:rsidRPr="0051262C">
        <w:rPr>
          <w:rFonts w:ascii="Century" w:hAnsi="Century" w:cs="Miriam" w:hint="eastAsia"/>
          <w:b/>
          <w:spacing w:val="0"/>
          <w:szCs w:val="24"/>
          <w:rtl/>
        </w:rPr>
        <w:t>שליט</w:t>
      </w:r>
      <w:r>
        <w:rPr>
          <w:rFonts w:hint="cs"/>
          <w:rtl/>
        </w:rPr>
        <w:t xml:space="preserve"> קבע שאף ילדיו של יהודי שאמם אינה יהודיה יכולים להיות מוכרים כיהודים לעניין זכאותם לעלות ארצה מכוח חוק השבות. הגדרה זו של המונח "יהודי" בחוק השבות עוררה מחלוקת, וכך נמצא פתרון של פשרה. לפי פשרה זו חוק השבות תוקן בשנת 1970 כך שהמונח "יהודי" הוגדר בצמצום באופן שיחול רק על מי שאמו יהודיה או התגייר, ולצד זאת יוקנו זכויות שבות מלאות גם לילד ולנכד של יהודי, כמו גם לבני זוגם. תיקונו של חוק השבות היה מבוסס אפוא על משוואה ברורה </w:t>
      </w:r>
      <w:r>
        <w:rPr>
          <w:rtl/>
        </w:rPr>
        <w:t>–</w:t>
      </w:r>
      <w:r>
        <w:rPr>
          <w:rFonts w:hint="cs"/>
          <w:rtl/>
        </w:rPr>
        <w:t xml:space="preserve"> שינוי בצד הסימבולי באשר לשאלה "מיהו יהודי", מבלי לגרוע מן הזכויות המהותיות המעניקות זכות זו לבן זוג של יהודי, כמו גם לילד ונכד של יהודי, ובני זוגם. לפיכך, אי-החלת הזכאות לשבות על בן זוג של ילד או נכד של יהודי משנה באופן רטרואקטיבי את משמעותו של התיקון. מבחינה זו, מנקודת מבטי, הפרשנות ההיסטורית של התיקון החקיקתי שונה מזו של חברי השופט </w:t>
      </w:r>
      <w:r w:rsidRPr="00981705">
        <w:rPr>
          <w:rFonts w:ascii="Century" w:hAnsi="Century" w:cs="Miriam" w:hint="cs"/>
          <w:b/>
          <w:spacing w:val="0"/>
          <w:szCs w:val="24"/>
          <w:rtl/>
        </w:rPr>
        <w:t>סולברג</w:t>
      </w:r>
      <w:r>
        <w:rPr>
          <w:rFonts w:hint="cs"/>
          <w:rtl/>
        </w:rPr>
        <w:t>. הקניית הזכויות לפי סעיף 4א לא הייתה אך תוספת של רובד לחוק השבות, אלא חלק מ"עסקת חבילה" מובהקת, במישור הציבורי והערכי.</w:t>
      </w:r>
    </w:p>
    <w:p w:rsidR="00255DAE" w:rsidRDefault="00255DAE" w:rsidP="00255DAE">
      <w:pPr>
        <w:pStyle w:val="Ruller41"/>
        <w:rPr>
          <w:rtl/>
        </w:rPr>
      </w:pPr>
    </w:p>
    <w:p w:rsidR="00255DAE" w:rsidRDefault="00255DAE" w:rsidP="00255DAE">
      <w:pPr>
        <w:pStyle w:val="Ruller41"/>
        <w:rPr>
          <w:rtl/>
        </w:rPr>
      </w:pPr>
      <w:r>
        <w:rPr>
          <w:rFonts w:hint="cs"/>
          <w:rtl/>
        </w:rPr>
        <w:t xml:space="preserve">7. </w:t>
      </w:r>
      <w:r>
        <w:rPr>
          <w:rFonts w:hint="cs"/>
          <w:rtl/>
        </w:rPr>
        <w:tab/>
        <w:t>כך גם עולה בבירור מקריאת דברי ההסבר להצעת חוק השבות (תיקון מס' 2), התש"ל-1970. וכך נכתב בהם:</w:t>
      </w:r>
    </w:p>
    <w:p w:rsidR="00255DAE" w:rsidRDefault="00255DAE" w:rsidP="00255DAE">
      <w:pPr>
        <w:pStyle w:val="Ruller41"/>
        <w:rPr>
          <w:rtl/>
        </w:rPr>
      </w:pPr>
    </w:p>
    <w:p w:rsidR="00255DAE" w:rsidRDefault="00255DAE" w:rsidP="00255DAE">
      <w:pPr>
        <w:pStyle w:val="Ruller5"/>
        <w:rPr>
          <w:rtl/>
        </w:rPr>
      </w:pPr>
      <w:r>
        <w:rPr>
          <w:rFonts w:hint="cs"/>
          <w:rtl/>
        </w:rPr>
        <w:lastRenderedPageBreak/>
        <w:t>"בעקבות החלטתו של בית המשפט העליון בהרכבו המלא בבג"צ 58/68, ב' שליט נגד שר הפנים ואח', מציעה הממשלה את ההצעות הבאות:</w:t>
      </w:r>
    </w:p>
    <w:p w:rsidR="00255DAE" w:rsidRDefault="00255DAE" w:rsidP="00255DAE">
      <w:pPr>
        <w:pStyle w:val="Ruller5"/>
      </w:pPr>
      <w:r>
        <w:rPr>
          <w:rFonts w:hint="cs"/>
          <w:rtl/>
        </w:rPr>
        <w:t>(א) להגדיר את המונח 'יהודי' לענין חוק השבות;</w:t>
      </w:r>
    </w:p>
    <w:p w:rsidR="00255DAE" w:rsidRDefault="00255DAE" w:rsidP="00255DAE">
      <w:pPr>
        <w:pStyle w:val="Ruller5"/>
      </w:pPr>
      <w:r>
        <w:rPr>
          <w:rFonts w:hint="cs"/>
          <w:rtl/>
        </w:rPr>
        <w:t>(ב) להעניק את זכות העליה ואת הזכויות הנובעות ממנה או קשורות בה לבני המשפחה של יהודי, אף אם הם עצמם אינם יהודים לפי ההגדרה האמורה;</w:t>
      </w:r>
    </w:p>
    <w:p w:rsidR="00255DAE" w:rsidRDefault="00255DAE" w:rsidP="00255DAE">
      <w:pPr>
        <w:pStyle w:val="Ruller5"/>
      </w:pPr>
      <w:r>
        <w:rPr>
          <w:rFonts w:hint="cs"/>
          <w:rtl/>
        </w:rPr>
        <w:t>(ג) להבהיר שבמרשם האוכלוסין יש לרשום אדם כיהודי רק אם הוא יהודי לפי המבחן האמור בפסקה (א) לעיל.</w:t>
      </w:r>
    </w:p>
    <w:p w:rsidR="00255DAE" w:rsidRDefault="00255DAE" w:rsidP="00255DAE">
      <w:pPr>
        <w:pStyle w:val="Ruller5"/>
        <w:rPr>
          <w:rtl/>
        </w:rPr>
      </w:pPr>
      <w:r>
        <w:rPr>
          <w:rFonts w:hint="cs"/>
          <w:rtl/>
        </w:rPr>
        <w:t>החוק המוצע בא לקיים את ההצעות האמורות".</w:t>
      </w:r>
    </w:p>
    <w:p w:rsidR="00255DAE" w:rsidRDefault="00255DAE" w:rsidP="00255DAE">
      <w:pPr>
        <w:pStyle w:val="Ruller41"/>
        <w:rPr>
          <w:rtl/>
        </w:rPr>
      </w:pPr>
    </w:p>
    <w:p w:rsidR="00255DAE" w:rsidRDefault="00255DAE" w:rsidP="00255DAE">
      <w:pPr>
        <w:pStyle w:val="Ruller41"/>
        <w:rPr>
          <w:rtl/>
        </w:rPr>
      </w:pPr>
      <w:r>
        <w:rPr>
          <w:rtl/>
        </w:rPr>
        <w:tab/>
      </w:r>
      <w:r>
        <w:rPr>
          <w:rFonts w:hint="cs"/>
          <w:rtl/>
        </w:rPr>
        <w:t xml:space="preserve">הדברים הם חדים וחלקים: שינוי ההגדרה שבחוק כנגד הענקת מלוא הזכויות </w:t>
      </w:r>
      <w:r>
        <w:rPr>
          <w:rtl/>
        </w:rPr>
        <w:t>–</w:t>
      </w:r>
      <w:r>
        <w:rPr>
          <w:rFonts w:hint="cs"/>
          <w:rtl/>
        </w:rPr>
        <w:t xml:space="preserve"> הן לצאצאים (עד דרגת נכד) והן לבני זוג. כל זאת, ללא תלות בשאלה האם בן המשפחה היהודי עוד בחיים (ביחס לכלל הזכאים).</w:t>
      </w:r>
    </w:p>
    <w:p w:rsidR="00255DAE" w:rsidRDefault="00255DAE" w:rsidP="00255DAE">
      <w:pPr>
        <w:pStyle w:val="Ruller41"/>
        <w:rPr>
          <w:rtl/>
        </w:rPr>
      </w:pPr>
    </w:p>
    <w:p w:rsidR="00255DAE" w:rsidRDefault="00255DAE" w:rsidP="00255DAE">
      <w:pPr>
        <w:pStyle w:val="Ruller41"/>
        <w:rPr>
          <w:rtl/>
        </w:rPr>
      </w:pPr>
      <w:r>
        <w:rPr>
          <w:rFonts w:hint="cs"/>
          <w:rtl/>
        </w:rPr>
        <w:t xml:space="preserve">8. </w:t>
      </w:r>
      <w:r>
        <w:rPr>
          <w:rFonts w:hint="cs"/>
          <w:rtl/>
        </w:rPr>
        <w:tab/>
        <w:t xml:space="preserve">חרף המגבלות הטבועות בהתחקות אחר תכלית החקיקה בהסתמך על דברי הכנסת לבדם, עיון בהם מעלה כי בניגוד לעמדת חבריי השופטים </w:t>
      </w:r>
      <w:r w:rsidRPr="00E06130">
        <w:rPr>
          <w:rFonts w:ascii="Century" w:hAnsi="Century" w:cs="Miriam" w:hint="eastAsia"/>
          <w:b/>
          <w:spacing w:val="0"/>
          <w:szCs w:val="24"/>
          <w:rtl/>
        </w:rPr>
        <w:t>סולברג</w:t>
      </w:r>
      <w:r w:rsidRPr="00E06130">
        <w:rPr>
          <w:rFonts w:ascii="Century" w:hAnsi="Century" w:cs="Miriam"/>
          <w:b/>
          <w:spacing w:val="0"/>
          <w:szCs w:val="24"/>
          <w:rtl/>
        </w:rPr>
        <w:t xml:space="preserve"> </w:t>
      </w:r>
      <w:r>
        <w:rPr>
          <w:rFonts w:hint="cs"/>
          <w:rtl/>
        </w:rPr>
        <w:t>ו-</w:t>
      </w:r>
      <w:r w:rsidRPr="00E06130">
        <w:rPr>
          <w:rFonts w:ascii="Century" w:hAnsi="Century" w:cs="Miriam" w:hint="eastAsia"/>
          <w:b/>
          <w:spacing w:val="0"/>
          <w:szCs w:val="24"/>
          <w:rtl/>
        </w:rPr>
        <w:t>מינץ</w:t>
      </w:r>
      <w:r>
        <w:rPr>
          <w:rFonts w:hint="cs"/>
          <w:rtl/>
        </w:rPr>
        <w:t>, קשה לייחס למחוקקים כוונה שלא להותיר את זכות השבות על כנה לבן זוג של בן או נכד של יהודי במקרה של מות הבן או הנכד. מנגד, ראוי לציין כי עולה בבירור מדבריהם של כמה וכמה מחברי הכנסת שנטלו חלק בדיונים על התיקון לחוק השבות, כי מה שעמד לנגד עיניהם הוא הבטחת זכותם של בני המשפחה שאינם יהודים לשבות, חרף העובדה שאינם מלווים באב או סב המשפחה. כבר במסגרת הקריאה הראשונה הביא שר המשפטים דאז, יעקב שמשון שפירא, את הדוגמה הבאה: "בחור יהודי נשא לו בחורה אוקראינית, ונולד להם בן, האב נפל במלחמת העולם השנייה והאם האוקראינית חינכה את הבן ברוח אבותיה... אני חושב שהבחור הזה אינו יהודי. אבל אני חושב שאם הבחור הזה רוצה לבוא לארץ... אני רוצה שיבוא לארץ בזכות, על-פי חוק השבות ושיהיה אזרח" (</w:t>
      </w:r>
      <w:r w:rsidRPr="00ED3645">
        <w:rPr>
          <w:rFonts w:ascii="Century" w:hAnsi="Century" w:hint="eastAsia"/>
          <w:rtl/>
        </w:rPr>
        <w:t>ד</w:t>
      </w:r>
      <w:r w:rsidRPr="00ED3645">
        <w:rPr>
          <w:rFonts w:ascii="Century" w:hAnsi="Century"/>
          <w:rtl/>
        </w:rPr>
        <w:t>"</w:t>
      </w:r>
      <w:r w:rsidRPr="00ED3645">
        <w:rPr>
          <w:rFonts w:ascii="Century" w:hAnsi="Century" w:hint="eastAsia"/>
          <w:rtl/>
        </w:rPr>
        <w:t>כ</w:t>
      </w:r>
      <w:r w:rsidRPr="00ED3645">
        <w:rPr>
          <w:rFonts w:ascii="Century" w:hAnsi="Century"/>
          <w:rtl/>
        </w:rPr>
        <w:t xml:space="preserve"> 56, 781 (</w:t>
      </w:r>
      <w:r w:rsidRPr="00ED3645">
        <w:rPr>
          <w:rFonts w:ascii="Century" w:hAnsi="Century" w:hint="eastAsia"/>
          <w:rtl/>
        </w:rPr>
        <w:t>התש</w:t>
      </w:r>
      <w:r w:rsidRPr="00ED3645">
        <w:rPr>
          <w:rFonts w:ascii="Century" w:hAnsi="Century"/>
          <w:rtl/>
        </w:rPr>
        <w:t>"</w:t>
      </w:r>
      <w:r w:rsidRPr="00ED3645">
        <w:rPr>
          <w:rFonts w:ascii="Century" w:hAnsi="Century" w:hint="eastAsia"/>
          <w:rtl/>
        </w:rPr>
        <w:t>ל</w:t>
      </w:r>
      <w:r w:rsidRPr="00ED3645">
        <w:rPr>
          <w:rFonts w:ascii="Century" w:hAnsi="Century"/>
          <w:rtl/>
        </w:rPr>
        <w:t>)</w:t>
      </w:r>
      <w:r>
        <w:rPr>
          <w:rFonts w:hint="cs"/>
          <w:rtl/>
        </w:rPr>
        <w:t xml:space="preserve">). אין מחלוקת כי דוגמה זו עוסקת בבן שאינו יהודי על-פי ההלכה, ולא בבת-זוגו כמו בסוגיה הנדונה בפנינו. יחד עם זאת, יש בדוגמה זו כדי לחדד את תכלית קיומו של סעיף 4א(ב) </w:t>
      </w:r>
      <w:r>
        <w:rPr>
          <w:rtl/>
        </w:rPr>
        <w:t>–</w:t>
      </w:r>
      <w:r>
        <w:rPr>
          <w:rFonts w:hint="cs"/>
          <w:rtl/>
        </w:rPr>
        <w:t xml:space="preserve"> ככזה שנועד להקנות זכויות ל</w:t>
      </w:r>
      <w:r w:rsidRPr="00ED3645">
        <w:rPr>
          <w:rFonts w:ascii="Century" w:hAnsi="Century" w:cs="Miriam" w:hint="eastAsia"/>
          <w:b/>
          <w:spacing w:val="0"/>
          <w:szCs w:val="24"/>
          <w:rtl/>
        </w:rPr>
        <w:t>כלל</w:t>
      </w:r>
      <w:r w:rsidRPr="00ED3645">
        <w:rPr>
          <w:rFonts w:ascii="Century" w:hAnsi="Century" w:cs="Miriam"/>
          <w:b/>
          <w:spacing w:val="0"/>
          <w:szCs w:val="24"/>
          <w:rtl/>
        </w:rPr>
        <w:t xml:space="preserve"> המנויים </w:t>
      </w:r>
      <w:r>
        <w:rPr>
          <w:rFonts w:hint="cs"/>
          <w:rtl/>
        </w:rPr>
        <w:t xml:space="preserve">בסעיף 4א(ב), שכאמור לשון החוק אינה יוצרת ביניהם מדרג </w:t>
      </w:r>
      <w:r>
        <w:rPr>
          <w:rtl/>
        </w:rPr>
        <w:t>–</w:t>
      </w:r>
      <w:r>
        <w:rPr>
          <w:rFonts w:hint="cs"/>
          <w:rtl/>
        </w:rPr>
        <w:t xml:space="preserve"> בין שסב המשפחה עודו חי ועולה עמם לארץ ובין אם לאו. לא זו אף זו, במהלך הקריאה השנייה והשלישית, לאחר הכנת נוסח החוק בוועדת חוקה חוק ומשפט, ציין חבר הכנסת ישראל שלמה בן-מאיר, יושב ראש הוועדה באותה עת, ביחס לסעיף הנדון כאן "אין נפקא מינה אם יהודי שמכוחו נתבעת זכות לפי סעיף קטן (א) עודו בחיים או לאו ואם עלה ארצה או לאו" כך: "זכות זו ניתנת לאנשים בשל קירבתם לעמנו, ולא מתוך בואם יחד עם איש מסויים" (</w:t>
      </w:r>
      <w:r w:rsidRPr="00A96A27">
        <w:rPr>
          <w:rFonts w:ascii="Century" w:hAnsi="Century" w:hint="eastAsia"/>
          <w:rtl/>
        </w:rPr>
        <w:t>ד</w:t>
      </w:r>
      <w:r w:rsidRPr="00A96A27">
        <w:rPr>
          <w:rFonts w:ascii="Century" w:hAnsi="Century"/>
          <w:rtl/>
        </w:rPr>
        <w:t>"</w:t>
      </w:r>
      <w:r w:rsidRPr="00A96A27">
        <w:rPr>
          <w:rFonts w:ascii="Century" w:hAnsi="Century" w:hint="eastAsia"/>
          <w:rtl/>
        </w:rPr>
        <w:t>כ</w:t>
      </w:r>
      <w:r w:rsidRPr="00E64E26">
        <w:rPr>
          <w:rFonts w:hint="cs"/>
          <w:rtl/>
        </w:rPr>
        <w:t xml:space="preserve"> </w:t>
      </w:r>
      <w:r>
        <w:rPr>
          <w:rFonts w:hint="cs"/>
          <w:rtl/>
        </w:rPr>
        <w:t>57, 1119 (התש"ל)).</w:t>
      </w:r>
    </w:p>
    <w:p w:rsidR="00255DAE" w:rsidRDefault="00255DAE" w:rsidP="00255DAE">
      <w:pPr>
        <w:pStyle w:val="Ruller41"/>
        <w:rPr>
          <w:rtl/>
        </w:rPr>
      </w:pPr>
    </w:p>
    <w:p w:rsidR="00255DAE" w:rsidRPr="00BC1B4F" w:rsidRDefault="00255DAE" w:rsidP="00255DAE">
      <w:pPr>
        <w:pStyle w:val="Ruller41"/>
        <w:rPr>
          <w:sz w:val="24"/>
          <w:szCs w:val="24"/>
          <w:rtl/>
        </w:rPr>
      </w:pPr>
      <w:r>
        <w:rPr>
          <w:rFonts w:hint="cs"/>
          <w:rtl/>
        </w:rPr>
        <w:lastRenderedPageBreak/>
        <w:t>9.</w:t>
      </w:r>
      <w:r>
        <w:rPr>
          <w:rtl/>
        </w:rPr>
        <w:tab/>
      </w:r>
      <w:r w:rsidRPr="00DC7E08">
        <w:rPr>
          <w:rFonts w:ascii="Century" w:hAnsi="Century" w:cs="Miriam" w:hint="cs"/>
          <w:b/>
          <w:spacing w:val="0"/>
          <w:szCs w:val="24"/>
          <w:rtl/>
        </w:rPr>
        <w:t>התפיסה החברתית והתרבותית ביחס למוסד המשפחה</w:t>
      </w:r>
      <w:r w:rsidRPr="00DC7E08">
        <w:rPr>
          <w:rFonts w:hint="cs"/>
          <w:rtl/>
        </w:rPr>
        <w:t xml:space="preserve"> </w:t>
      </w:r>
      <w:r>
        <w:rPr>
          <w:rtl/>
        </w:rPr>
        <w:t>–</w:t>
      </w:r>
      <w:r>
        <w:rPr>
          <w:rFonts w:hint="cs"/>
          <w:rtl/>
        </w:rPr>
        <w:t xml:space="preserve"> אני סבורה שעל המשפט לשקף את המציאות החברתית שבה הוא נטוע. לפיכך, בשלב זה אבקש להפנות את תשומת הלב לממד נוסף של ההליך שבפנינו: הממד האנושי והחברתי, שמנקודת מבטי משמש בסיס נוסף לפרשנות הדין. התפיסה החברתית המושרשת ביחס למוסד המשפחה רואה בקשר בין בני המשפחה הגרעינית עניין מהותי ובעל משמעות לא רק בחייהם, אלא גם לאחר מותם. בן או בת זוג של אדם שנפטר הם מי שקשרו את מסלול חייהם עמו, לעתים לאורך שנים רבות. קשר זה אינו נעלם בעקבות המוות. לעתים, תחושת השייכות והקשר אף מועצמים לאחר אירוע טרגי כזה. קבלת הטענה שמותו של אדם "מאיין" את מעמדם של האלמן או האלמנה כבן או כבת זוג מנוכרת לטעמי להבנה החברתית הרווחת ביחס למוסד המשפחה, ולמשמעות של זוגיות נמשכת (ראו למשל: </w:t>
      </w:r>
      <w:r w:rsidRPr="006F3084">
        <w:rPr>
          <w:rFonts w:asciiTheme="majorBidi" w:hAnsiTheme="majorBidi" w:cstheme="majorBidi"/>
          <w:color w:val="333333"/>
          <w:sz w:val="24"/>
          <w:szCs w:val="24"/>
          <w:shd w:val="clear" w:color="auto" w:fill="FFFFFF"/>
        </w:rPr>
        <w:t>L</w:t>
      </w:r>
      <w:r w:rsidRPr="00BC1B4F">
        <w:rPr>
          <w:rFonts w:asciiTheme="majorBidi" w:hAnsiTheme="majorBidi" w:cstheme="majorBidi"/>
          <w:color w:val="333333"/>
          <w:sz w:val="24"/>
          <w:szCs w:val="24"/>
          <w:shd w:val="clear" w:color="auto" w:fill="FFFFFF"/>
        </w:rPr>
        <w:t xml:space="preserve">. E. Thomas, R.C. DiGiulio, &amp; N.W. Sheehan, </w:t>
      </w:r>
      <w:r w:rsidRPr="00BC1B4F">
        <w:rPr>
          <w:rFonts w:asciiTheme="majorBidi" w:hAnsiTheme="majorBidi" w:cstheme="majorBidi"/>
          <w:i/>
          <w:iCs/>
          <w:color w:val="333333"/>
          <w:sz w:val="24"/>
          <w:szCs w:val="24"/>
          <w:shd w:val="clear" w:color="auto" w:fill="FFFFFF"/>
        </w:rPr>
        <w:t>Identity Loss and Psychological Crisis in Widowhood: A Re-Evaluation</w:t>
      </w:r>
      <w:r>
        <w:rPr>
          <w:rFonts w:asciiTheme="majorBidi" w:hAnsiTheme="majorBidi" w:cstheme="majorBidi"/>
          <w:color w:val="333333"/>
          <w:sz w:val="24"/>
          <w:szCs w:val="24"/>
          <w:shd w:val="clear" w:color="auto" w:fill="FFFFFF"/>
        </w:rPr>
        <w:t>,</w:t>
      </w:r>
      <w:r w:rsidRPr="00BC1B4F">
        <w:rPr>
          <w:rFonts w:asciiTheme="majorBidi" w:hAnsiTheme="majorBidi" w:cstheme="majorBidi"/>
          <w:color w:val="333333"/>
          <w:sz w:val="24"/>
          <w:szCs w:val="24"/>
          <w:shd w:val="clear" w:color="auto" w:fill="FFFFFF"/>
        </w:rPr>
        <w:t xml:space="preserve"> 26(3) </w:t>
      </w:r>
      <w:r w:rsidRPr="00BC1B4F">
        <w:rPr>
          <w:rStyle w:val="af4"/>
          <w:rFonts w:asciiTheme="majorBidi" w:hAnsiTheme="majorBidi" w:cstheme="majorBidi"/>
          <w:smallCaps/>
          <w:color w:val="333333"/>
          <w:sz w:val="24"/>
          <w:shd w:val="clear" w:color="auto" w:fill="FFFFFF"/>
        </w:rPr>
        <w:t>Int'l J. of Aging &amp; Human Development</w:t>
      </w:r>
      <w:r w:rsidRPr="00BC1B4F">
        <w:rPr>
          <w:rStyle w:val="af4"/>
          <w:rFonts w:asciiTheme="majorBidi" w:hAnsiTheme="majorBidi" w:cstheme="majorBidi"/>
          <w:color w:val="333333"/>
          <w:sz w:val="24"/>
          <w:shd w:val="clear" w:color="auto" w:fill="FFFFFF"/>
        </w:rPr>
        <w:t xml:space="preserve">, </w:t>
      </w:r>
      <w:r w:rsidRPr="00BC1B4F">
        <w:rPr>
          <w:rFonts w:asciiTheme="majorBidi" w:hAnsiTheme="majorBidi" w:cstheme="majorBidi"/>
          <w:color w:val="333333"/>
          <w:sz w:val="24"/>
          <w:szCs w:val="24"/>
          <w:shd w:val="clear" w:color="auto" w:fill="FFFFFF"/>
        </w:rPr>
        <w:t>225 (1988)</w:t>
      </w:r>
      <w:r w:rsidRPr="00E57C5D">
        <w:rPr>
          <w:rFonts w:ascii="Century" w:hAnsi="Century"/>
          <w:rtl/>
        </w:rPr>
        <w:t>).</w:t>
      </w:r>
    </w:p>
    <w:p w:rsidR="00255DAE" w:rsidRDefault="00255DAE" w:rsidP="00255DAE">
      <w:pPr>
        <w:pStyle w:val="Ruller41"/>
        <w:rPr>
          <w:rtl/>
        </w:rPr>
      </w:pPr>
    </w:p>
    <w:p w:rsidR="00255DAE" w:rsidRDefault="00255DAE" w:rsidP="00216C97">
      <w:pPr>
        <w:pStyle w:val="Ruller41"/>
        <w:rPr>
          <w:rtl/>
        </w:rPr>
      </w:pPr>
      <w:r>
        <w:rPr>
          <w:rFonts w:hint="cs"/>
          <w:rtl/>
        </w:rPr>
        <w:t xml:space="preserve">10. </w:t>
      </w:r>
      <w:r>
        <w:rPr>
          <w:rtl/>
        </w:rPr>
        <w:tab/>
      </w:r>
      <w:r>
        <w:rPr>
          <w:rFonts w:hint="cs"/>
          <w:rtl/>
        </w:rPr>
        <w:t xml:space="preserve">בהמשך לכך, מערכות דינים שלמות במשפט הישראלי מכירות במעמדם החזק של האלמן או האלמנה לעניין זכויות ירושה וזכויות סוציאליות אחרות. אי-הכרה במעמדם של בני הזוג של זכאי שבות שנפטרו יכולה לכאורה להצביע על מחיקה רטרואקטיבית של המשמעות שהייתה לחייהם המשותפים, ולא היא. </w:t>
      </w:r>
    </w:p>
    <w:p w:rsidR="003107BD" w:rsidRDefault="003107BD" w:rsidP="00216C97">
      <w:pPr>
        <w:pStyle w:val="Ruller41"/>
        <w:rPr>
          <w:rtl/>
        </w:rPr>
      </w:pPr>
    </w:p>
    <w:p w:rsidR="00255DAE" w:rsidRPr="00CD0C69" w:rsidRDefault="00255DAE" w:rsidP="00255DAE">
      <w:pPr>
        <w:pStyle w:val="Ruller41"/>
        <w:rPr>
          <w:rtl/>
        </w:rPr>
      </w:pPr>
      <w:r>
        <w:rPr>
          <w:rFonts w:hint="cs"/>
          <w:rtl/>
        </w:rPr>
        <w:t xml:space="preserve">11. </w:t>
      </w:r>
      <w:r>
        <w:rPr>
          <w:rtl/>
        </w:rPr>
        <w:tab/>
      </w:r>
      <w:r>
        <w:rPr>
          <w:rFonts w:hint="cs"/>
          <w:rtl/>
        </w:rPr>
        <w:t>מנקודת מבטי, עמדה הרואה בבת זוג של אדם שנפטר חלק בלתי נפרד ממשפחתו אף לאחר מותו, מבטאת היטב אף התפיסה המשתקפת במורשת התרבותית היהודית, ובמובן זה, יש לה מקום אף בגדר ההשראה הפרשנית מן האמור בחוק יסודות המשפט, התש"ם-1980. מן המפורסמות הוא שאלמנה זכאית למזונות מן העיזבון במשך שנים לאחר מותו של בן זוגה, הן על-פי המקובל במשפט העברי (שולחן ערוך, אבן העזר, סימן צג, סעיף ג), והן בגדרו של חוק הירושה (בסעיף 56 לו). אכן, במישור ההלכתי עמדה זו של דיני הירושה חלה על נישואין בין יהודים וביחס לאלמנה בלבד (להבדיל מאלמן), אך במישור הרעיוני הם משקפים תפיסה ברורה ביחס למחויבות המשפחתית הנמשכת למערכת יחסים זוגית, גם לאחר מותו של אדם. תפיסה זו מודגמת היטב אגב קריאה חוזרת במגילת רות. כידוע לכול, רות בחרה להילוות לחמותה נעמי בחזרתה לארץ ישראל ובכך לקשור את עתידן לאחר שנפטר בן זוגה. אינני חושבת שניתן לחשוב על דוגמה מובהקת יותר לכך שהמוות, גם אם הוא סוף החיים, אינו סופו של מוסד המשפחה.</w:t>
      </w:r>
    </w:p>
    <w:p w:rsidR="00255DAE" w:rsidRDefault="00255DAE" w:rsidP="00255DAE">
      <w:pPr>
        <w:pStyle w:val="Ruller41"/>
        <w:rPr>
          <w:rtl/>
        </w:rPr>
      </w:pPr>
    </w:p>
    <w:tbl>
      <w:tblPr>
        <w:bidiVisual/>
        <w:tblW w:w="8363" w:type="dxa"/>
        <w:tblLook w:val="01E0" w:firstRow="1" w:lastRow="1" w:firstColumn="1" w:lastColumn="1" w:noHBand="0" w:noVBand="0"/>
      </w:tblPr>
      <w:tblGrid>
        <w:gridCol w:w="2783"/>
        <w:gridCol w:w="2797"/>
        <w:gridCol w:w="2783"/>
      </w:tblGrid>
      <w:tr w:rsidR="00255DAE" w:rsidRPr="00267280" w:rsidTr="00F97246">
        <w:tc>
          <w:tcPr>
            <w:tcW w:w="2783" w:type="dxa"/>
            <w:shd w:val="clear" w:color="auto" w:fill="auto"/>
          </w:tcPr>
          <w:p w:rsidR="00255DAE" w:rsidRPr="00267280" w:rsidRDefault="00255DAE" w:rsidP="00F97246">
            <w:pPr>
              <w:pStyle w:val="Ruller41"/>
              <w:jc w:val="center"/>
              <w:rPr>
                <w:rtl/>
              </w:rPr>
            </w:pPr>
          </w:p>
        </w:tc>
        <w:tc>
          <w:tcPr>
            <w:tcW w:w="2797" w:type="dxa"/>
            <w:shd w:val="clear" w:color="auto" w:fill="auto"/>
          </w:tcPr>
          <w:p w:rsidR="00255DAE" w:rsidRPr="00267280" w:rsidRDefault="00255DAE" w:rsidP="00F97246">
            <w:pPr>
              <w:pStyle w:val="Ruller41"/>
              <w:jc w:val="center"/>
              <w:rPr>
                <w:rtl/>
              </w:rPr>
            </w:pPr>
          </w:p>
        </w:tc>
        <w:tc>
          <w:tcPr>
            <w:tcW w:w="2783" w:type="dxa"/>
            <w:shd w:val="clear" w:color="auto" w:fill="auto"/>
          </w:tcPr>
          <w:p w:rsidR="00255DAE" w:rsidRPr="00267280" w:rsidRDefault="00255DAE" w:rsidP="00F97246">
            <w:pPr>
              <w:pStyle w:val="Ruller41"/>
              <w:jc w:val="right"/>
              <w:rPr>
                <w:rtl/>
              </w:rPr>
            </w:pPr>
            <w:r>
              <w:rPr>
                <w:rFonts w:hint="cs"/>
                <w:rtl/>
              </w:rPr>
              <w:t>ש ו פ ט ת</w:t>
            </w:r>
          </w:p>
        </w:tc>
      </w:tr>
    </w:tbl>
    <w:p w:rsidR="00255DAE" w:rsidRDefault="00255DAE" w:rsidP="00872589">
      <w:pPr>
        <w:pStyle w:val="Ruller41"/>
        <w:rPr>
          <w:rtl/>
        </w:rPr>
      </w:pPr>
    </w:p>
    <w:p w:rsidR="00872589" w:rsidRPr="00AE6D65" w:rsidRDefault="00872589" w:rsidP="00A51FAE">
      <w:pPr>
        <w:pStyle w:val="Ruller41"/>
        <w:rPr>
          <w:rtl/>
        </w:rPr>
      </w:pPr>
    </w:p>
    <w:p w:rsidR="00D8481A" w:rsidRPr="00503A3E" w:rsidRDefault="00D8481A" w:rsidP="00D8481A">
      <w:pPr>
        <w:pStyle w:val="BODYVERDICT"/>
        <w:rPr>
          <w:rFonts w:cs="Miriam"/>
          <w:sz w:val="24"/>
          <w:szCs w:val="24"/>
          <w:u w:val="single"/>
          <w:rtl/>
        </w:rPr>
      </w:pPr>
      <w:r>
        <w:rPr>
          <w:rFonts w:cs="Miriam"/>
          <w:sz w:val="24"/>
          <w:szCs w:val="24"/>
          <w:u w:val="single"/>
          <w:rtl/>
        </w:rPr>
        <w:t>השופטת י' וילנר:</w:t>
      </w:r>
    </w:p>
    <w:p w:rsidR="00D8481A" w:rsidRDefault="00D8481A" w:rsidP="00D8481A">
      <w:pPr>
        <w:pStyle w:val="Ruller41"/>
        <w:rPr>
          <w:b/>
          <w:bCs/>
          <w:u w:val="single"/>
          <w:rtl/>
        </w:rPr>
      </w:pPr>
    </w:p>
    <w:p w:rsidR="00D8481A" w:rsidRDefault="00D8481A" w:rsidP="00D8481A">
      <w:pPr>
        <w:pStyle w:val="Ruller41"/>
        <w:rPr>
          <w:rFonts w:ascii="Century" w:hAnsi="Century"/>
          <w:shd w:val="clear" w:color="auto" w:fill="FFFFFF"/>
          <w:rtl/>
        </w:rPr>
      </w:pPr>
      <w:r>
        <w:rPr>
          <w:rFonts w:hint="cs"/>
          <w:rtl/>
        </w:rPr>
        <w:t>1</w:t>
      </w:r>
      <w:r>
        <w:rPr>
          <w:rFonts w:ascii="Century" w:hAnsi="Century" w:hint="cs"/>
          <w:shd w:val="clear" w:color="auto" w:fill="FFFFFF"/>
          <w:rtl/>
        </w:rPr>
        <w:t>.</w:t>
      </w:r>
      <w:r w:rsidRPr="009329E0">
        <w:rPr>
          <w:rFonts w:ascii="Century" w:hAnsi="Century" w:hint="cs"/>
          <w:shd w:val="clear" w:color="auto" w:fill="FFFFFF"/>
          <w:rtl/>
        </w:rPr>
        <w:tab/>
      </w:r>
      <w:r>
        <w:rPr>
          <w:rFonts w:hint="cs"/>
          <w:rtl/>
        </w:rPr>
        <w:t xml:space="preserve">כמפורט בחוות-דעתם של חבריי, השאלה הטעונה הכרעה בענייננו היא, אם המונח </w:t>
      </w:r>
      <w:r>
        <w:rPr>
          <w:rFonts w:ascii="Century" w:hAnsi="Century" w:hint="cs"/>
          <w:shd w:val="clear" w:color="auto" w:fill="FFFFFF"/>
          <w:rtl/>
        </w:rPr>
        <w:t xml:space="preserve">"בן-זוג" של ילד ושל נכד של יהודי (להלן יכונו הילד והנכד: </w:t>
      </w:r>
      <w:r>
        <w:rPr>
          <w:rFonts w:ascii="Century" w:hAnsi="Century" w:cs="Miriam" w:hint="cs"/>
          <w:b/>
          <w:spacing w:val="0"/>
          <w:szCs w:val="24"/>
          <w:shd w:val="clear" w:color="auto" w:fill="FFFFFF"/>
          <w:rtl/>
        </w:rPr>
        <w:t>צאצא</w:t>
      </w:r>
      <w:r>
        <w:rPr>
          <w:rFonts w:ascii="Century" w:hAnsi="Century" w:hint="cs"/>
          <w:shd w:val="clear" w:color="auto" w:fill="FFFFFF"/>
          <w:rtl/>
        </w:rPr>
        <w:t>), שבסעיף 4א(א) ל</w:t>
      </w:r>
      <w:r>
        <w:rPr>
          <w:rFonts w:hint="cs"/>
          <w:rtl/>
        </w:rPr>
        <w:t xml:space="preserve">חוק השבות, התש"י-1950 (להלן גם: </w:t>
      </w:r>
      <w:r w:rsidRPr="001F7226">
        <w:rPr>
          <w:rFonts w:ascii="Century" w:hAnsi="Century" w:cs="Miriam" w:hint="cs"/>
          <w:b/>
          <w:spacing w:val="0"/>
          <w:szCs w:val="24"/>
          <w:rtl/>
        </w:rPr>
        <w:t>החוק</w:t>
      </w:r>
      <w:r>
        <w:rPr>
          <w:rFonts w:hint="cs"/>
          <w:rtl/>
        </w:rPr>
        <w:t>), כולל גם "אלמן" ו"אלמנה".</w:t>
      </w:r>
      <w:r>
        <w:rPr>
          <w:rFonts w:ascii="Century" w:hAnsi="Century" w:hint="cs"/>
          <w:shd w:val="clear" w:color="auto" w:fill="FFFFFF"/>
          <w:rtl/>
        </w:rPr>
        <w:t xml:space="preserve"> </w:t>
      </w:r>
    </w:p>
    <w:p w:rsidR="00D8481A" w:rsidRDefault="00D8481A" w:rsidP="00D8481A">
      <w:pPr>
        <w:pStyle w:val="Ruller41"/>
        <w:rPr>
          <w:rFonts w:ascii="Century" w:hAnsi="Century"/>
          <w:shd w:val="clear" w:color="auto" w:fill="FFFFFF"/>
          <w:rtl/>
        </w:rPr>
      </w:pPr>
    </w:p>
    <w:p w:rsidR="00D8481A" w:rsidRDefault="00D8481A" w:rsidP="00D8481A">
      <w:pPr>
        <w:pStyle w:val="Ruller41"/>
        <w:rPr>
          <w:rFonts w:ascii="Century" w:hAnsi="Century"/>
          <w:shd w:val="clear" w:color="auto" w:fill="FFFFFF"/>
          <w:rtl/>
        </w:rPr>
      </w:pPr>
      <w:r>
        <w:rPr>
          <w:rFonts w:ascii="Century" w:hAnsi="Century"/>
          <w:shd w:val="clear" w:color="auto" w:fill="FFFFFF"/>
          <w:rtl/>
        </w:rPr>
        <w:tab/>
      </w:r>
      <w:r>
        <w:rPr>
          <w:rFonts w:hint="cs"/>
          <w:rtl/>
        </w:rPr>
        <w:t xml:space="preserve">במחלוקת שנפלה בין חבריי בשאלה זו, אני </w:t>
      </w:r>
      <w:r w:rsidRPr="0050403B">
        <w:rPr>
          <w:rFonts w:hint="eastAsia"/>
          <w:rtl/>
        </w:rPr>
        <w:t>מצטרפת</w:t>
      </w:r>
      <w:r w:rsidRPr="0050403B">
        <w:rPr>
          <w:rtl/>
        </w:rPr>
        <w:t xml:space="preserve"> </w:t>
      </w:r>
      <w:r>
        <w:rPr>
          <w:rFonts w:hint="cs"/>
          <w:rtl/>
        </w:rPr>
        <w:t xml:space="preserve">לעמדתו של חברי, השופט </w:t>
      </w:r>
      <w:r w:rsidRPr="00B9762B">
        <w:rPr>
          <w:rFonts w:ascii="Century" w:hAnsi="Century" w:cs="Miriam" w:hint="cs"/>
          <w:b/>
          <w:spacing w:val="0"/>
          <w:szCs w:val="24"/>
          <w:rtl/>
        </w:rPr>
        <w:t>נ' סולברג</w:t>
      </w:r>
      <w:r>
        <w:rPr>
          <w:rFonts w:hint="cs"/>
          <w:rtl/>
        </w:rPr>
        <w:t>, ולעיקרי הנמקותיו; ולהלן אוסיף הערות מספר משל עצמי.</w:t>
      </w:r>
    </w:p>
    <w:p w:rsidR="00D8481A" w:rsidRDefault="00D8481A" w:rsidP="00D8481A">
      <w:pPr>
        <w:pStyle w:val="Ruller41"/>
        <w:rPr>
          <w:rFonts w:ascii="Century" w:hAnsi="Century" w:cs="Miriam"/>
          <w:b/>
          <w:spacing w:val="0"/>
          <w:szCs w:val="24"/>
          <w:shd w:val="clear" w:color="auto" w:fill="FFFFFF"/>
          <w:rtl/>
        </w:rPr>
      </w:pPr>
    </w:p>
    <w:p w:rsidR="00D8481A" w:rsidRPr="0088373C" w:rsidRDefault="00D8481A" w:rsidP="00D8481A">
      <w:pPr>
        <w:pStyle w:val="Ruller41"/>
        <w:rPr>
          <w:rFonts w:ascii="Century" w:hAnsi="Century"/>
          <w:shd w:val="clear" w:color="auto" w:fill="FFFFFF"/>
          <w:rtl/>
        </w:rPr>
      </w:pPr>
      <w:r>
        <w:rPr>
          <w:rFonts w:ascii="Century" w:hAnsi="Century" w:hint="cs"/>
          <w:shd w:val="clear" w:color="auto" w:fill="FFFFFF"/>
          <w:rtl/>
        </w:rPr>
        <w:t>2</w:t>
      </w:r>
      <w:r w:rsidRPr="0088373C">
        <w:rPr>
          <w:rFonts w:ascii="Century" w:hAnsi="Century"/>
          <w:shd w:val="clear" w:color="auto" w:fill="FFFFFF"/>
          <w:rtl/>
        </w:rPr>
        <w:t>.</w:t>
      </w:r>
      <w:r w:rsidRPr="0088373C">
        <w:rPr>
          <w:rFonts w:ascii="Century" w:hAnsi="Century"/>
          <w:shd w:val="clear" w:color="auto" w:fill="FFFFFF"/>
          <w:rtl/>
        </w:rPr>
        <w:tab/>
      </w:r>
      <w:r w:rsidRPr="0088373C">
        <w:rPr>
          <w:rFonts w:ascii="Century" w:hAnsi="Century" w:hint="eastAsia"/>
          <w:shd w:val="clear" w:color="auto" w:fill="FFFFFF"/>
          <w:rtl/>
        </w:rPr>
        <w:t>לשם</w:t>
      </w:r>
      <w:r w:rsidRPr="0088373C">
        <w:rPr>
          <w:rFonts w:ascii="Century" w:hAnsi="Century"/>
          <w:shd w:val="clear" w:color="auto" w:fill="FFFFFF"/>
          <w:rtl/>
        </w:rPr>
        <w:t xml:space="preserve"> </w:t>
      </w:r>
      <w:r w:rsidRPr="0088373C">
        <w:rPr>
          <w:rFonts w:ascii="Century" w:hAnsi="Century" w:hint="eastAsia"/>
          <w:shd w:val="clear" w:color="auto" w:fill="FFFFFF"/>
          <w:rtl/>
        </w:rPr>
        <w:t>הנוחות</w:t>
      </w:r>
      <w:r>
        <w:rPr>
          <w:rFonts w:ascii="Century" w:hAnsi="Century" w:hint="cs"/>
          <w:shd w:val="clear" w:color="auto" w:fill="FFFFFF"/>
          <w:rtl/>
        </w:rPr>
        <w:t>, אציג אף אני את ההוראות הרלוונטיות מסעיף 4א לחוק, כלשונן:</w:t>
      </w:r>
    </w:p>
    <w:p w:rsidR="00D8481A" w:rsidRPr="004942C1" w:rsidRDefault="00D8481A" w:rsidP="00D8481A">
      <w:pPr>
        <w:pStyle w:val="Ruller5"/>
      </w:pPr>
    </w:p>
    <w:p w:rsidR="00D8481A" w:rsidRPr="004942C1" w:rsidRDefault="00D8481A" w:rsidP="00D8481A">
      <w:pPr>
        <w:pStyle w:val="Ruller5"/>
      </w:pPr>
      <w:r>
        <w:rPr>
          <w:rFonts w:hint="cs"/>
          <w:rtl/>
        </w:rPr>
        <w:t xml:space="preserve">4א. (א) </w:t>
      </w:r>
      <w:r w:rsidRPr="004942C1">
        <w:rPr>
          <w:rtl/>
        </w:rPr>
        <w:t>הזכויות של יהודי לפי חוק זה והזכויות של עולה לפי חוק האזרחות, תשי"ב-1952, וכן הזכויות של עולה לפי כל חיקוק אחר, מוקנות גם לילד ולנכד של יהודי,</w:t>
      </w:r>
      <w:r w:rsidRPr="00D22077">
        <w:rPr>
          <w:rFonts w:ascii="Century" w:hAnsi="Century"/>
          <w:rtl/>
        </w:rPr>
        <w:t xml:space="preserve"> לבן זוג </w:t>
      </w:r>
      <w:r w:rsidRPr="004942C1">
        <w:rPr>
          <w:rtl/>
        </w:rPr>
        <w:t xml:space="preserve">של יהודי </w:t>
      </w:r>
      <w:r w:rsidRPr="00D22077">
        <w:rPr>
          <w:rFonts w:ascii="Century" w:hAnsi="Century" w:cs="Miriam"/>
          <w:b/>
          <w:spacing w:val="0"/>
          <w:szCs w:val="24"/>
          <w:rtl/>
        </w:rPr>
        <w:t>ולבן זוג</w:t>
      </w:r>
      <w:r w:rsidRPr="00D22077">
        <w:rPr>
          <w:rtl/>
        </w:rPr>
        <w:t xml:space="preserve"> </w:t>
      </w:r>
      <w:r w:rsidRPr="004942C1">
        <w:rPr>
          <w:rtl/>
        </w:rPr>
        <w:t>של ילד ושל נכד של יהודי; להוצי</w:t>
      </w:r>
      <w:r>
        <w:rPr>
          <w:rtl/>
        </w:rPr>
        <w:t>א אדם שהיה יהודי והמיר דתו מרצו</w:t>
      </w:r>
      <w:r>
        <w:rPr>
          <w:rFonts w:hint="cs"/>
          <w:rtl/>
        </w:rPr>
        <w:t>ן.</w:t>
      </w:r>
    </w:p>
    <w:p w:rsidR="00D8481A" w:rsidRPr="00925BAF" w:rsidRDefault="00D8481A" w:rsidP="00D8481A">
      <w:pPr>
        <w:pStyle w:val="Ruller5"/>
        <w:rPr>
          <w:rtl/>
        </w:rPr>
      </w:pPr>
    </w:p>
    <w:p w:rsidR="00D8481A" w:rsidRPr="004942C1" w:rsidRDefault="00D8481A" w:rsidP="00D8481A">
      <w:pPr>
        <w:pStyle w:val="Ruller5"/>
      </w:pPr>
      <w:r>
        <w:rPr>
          <w:rFonts w:hint="cs"/>
          <w:rtl/>
        </w:rPr>
        <w:t xml:space="preserve">(ב) </w:t>
      </w:r>
      <w:r w:rsidRPr="004942C1">
        <w:rPr>
          <w:rtl/>
        </w:rPr>
        <w:t xml:space="preserve">אין נפקא מינה אם יהודי שמכוחו נתבעת זכות לפי סעיף קטן (א) עודו </w:t>
      </w:r>
      <w:r>
        <w:rPr>
          <w:rtl/>
        </w:rPr>
        <w:t>בחיים או לאו ואם עלה ארצה או לא</w:t>
      </w:r>
      <w:r>
        <w:rPr>
          <w:rFonts w:hint="cs"/>
          <w:rtl/>
        </w:rPr>
        <w:t>ו.</w:t>
      </w:r>
    </w:p>
    <w:p w:rsidR="00D8481A" w:rsidRPr="00925BAF" w:rsidRDefault="00D8481A" w:rsidP="00D8481A">
      <w:pPr>
        <w:pStyle w:val="Ruller5"/>
        <w:spacing w:after="240"/>
        <w:rPr>
          <w:shd w:val="clear" w:color="auto" w:fill="FFFFFF"/>
          <w:rtl/>
        </w:rPr>
      </w:pPr>
    </w:p>
    <w:p w:rsidR="00D8481A" w:rsidRDefault="00D8481A" w:rsidP="00D8481A">
      <w:pPr>
        <w:pStyle w:val="Ruller41"/>
        <w:rPr>
          <w:rFonts w:ascii="Century" w:hAnsi="Century"/>
          <w:shd w:val="clear" w:color="auto" w:fill="FFFFFF"/>
          <w:rtl/>
        </w:rPr>
      </w:pPr>
      <w:r>
        <w:rPr>
          <w:rFonts w:ascii="Century" w:hAnsi="Century" w:hint="cs"/>
          <w:shd w:val="clear" w:color="auto" w:fill="FFFFFF"/>
          <w:rtl/>
        </w:rPr>
        <w:t>3.</w:t>
      </w:r>
      <w:r>
        <w:rPr>
          <w:rFonts w:ascii="Century" w:hAnsi="Century"/>
          <w:shd w:val="clear" w:color="auto" w:fill="FFFFFF"/>
          <w:rtl/>
        </w:rPr>
        <w:tab/>
      </w:r>
      <w:r>
        <w:rPr>
          <w:rFonts w:ascii="Century" w:hAnsi="Century" w:hint="cs"/>
          <w:shd w:val="clear" w:color="auto" w:fill="FFFFFF"/>
          <w:rtl/>
        </w:rPr>
        <w:t xml:space="preserve">ככלל, המונח "בן-זוג", בלשון טבעית ופשוטה, מתייחס למי שמצוי בהווה במערכת זוגית חיה וקיימת. במקרה של פירוק המערכת הזוגית, מכונים בני הזוג "בני זוג לשעבר", ובמקרה של פטירת אחד מבני הזוג, מכונה בן הזוג שנותר בחיים "אלמן". בהתאם לאמור, דומה כי המונח "בן-זוג" של צאצא, שבסעיף 4א לעיל, משמעותו הטבעית והפשוטה היא "בן-זוג" אשר מצוי, </w:t>
      </w:r>
      <w:r w:rsidRPr="004906BD">
        <w:rPr>
          <w:rFonts w:ascii="Century" w:hAnsi="Century" w:cs="Miriam" w:hint="eastAsia"/>
          <w:b/>
          <w:spacing w:val="0"/>
          <w:szCs w:val="24"/>
          <w:shd w:val="clear" w:color="auto" w:fill="FFFFFF"/>
          <w:rtl/>
        </w:rPr>
        <w:t>בהווה</w:t>
      </w:r>
      <w:r>
        <w:rPr>
          <w:rFonts w:ascii="Century" w:hAnsi="Century" w:hint="cs"/>
          <w:shd w:val="clear" w:color="auto" w:fill="FFFFFF"/>
          <w:rtl/>
        </w:rPr>
        <w:t xml:space="preserve">, במערכת יחסים זוגית עם הצאצא. </w:t>
      </w:r>
    </w:p>
    <w:p w:rsidR="00D8481A" w:rsidRDefault="00D8481A" w:rsidP="00D8481A">
      <w:pPr>
        <w:pStyle w:val="Ruller41"/>
        <w:rPr>
          <w:rFonts w:ascii="Century" w:hAnsi="Century"/>
          <w:shd w:val="clear" w:color="auto" w:fill="FFFFFF"/>
          <w:rtl/>
        </w:rPr>
      </w:pPr>
    </w:p>
    <w:p w:rsidR="00D8481A" w:rsidRDefault="00D8481A" w:rsidP="00D8481A">
      <w:pPr>
        <w:pStyle w:val="Ruller41"/>
        <w:rPr>
          <w:rFonts w:ascii="Century" w:hAnsi="Century"/>
          <w:shd w:val="clear" w:color="auto" w:fill="FFFFFF"/>
          <w:rtl/>
        </w:rPr>
      </w:pPr>
      <w:r>
        <w:rPr>
          <w:rFonts w:ascii="Century" w:hAnsi="Century"/>
          <w:shd w:val="clear" w:color="auto" w:fill="FFFFFF"/>
          <w:rtl/>
        </w:rPr>
        <w:tab/>
      </w:r>
      <w:r>
        <w:rPr>
          <w:rFonts w:ascii="Century" w:hAnsi="Century" w:hint="cs"/>
          <w:shd w:val="clear" w:color="auto" w:fill="FFFFFF"/>
          <w:rtl/>
        </w:rPr>
        <w:t>עם זאת, אין להתעלם מכך שהמונח המשפטי "בן-זוג" עשוי במקרים מסוימים להתייחס אף לאלמן, כפי שציינו חבריי בחוות-דעתם. לפיכך, על השאלה הפרשנית בענייננו להיות מוכרעת, בעיקרו של דבר, בהתאם לתכלית החוק ולמהותו; ולכך אפנה כעת.</w:t>
      </w:r>
    </w:p>
    <w:p w:rsidR="00D8481A" w:rsidRDefault="00D8481A" w:rsidP="00D8481A">
      <w:pPr>
        <w:pStyle w:val="Ruller41"/>
        <w:rPr>
          <w:rtl/>
        </w:rPr>
      </w:pPr>
    </w:p>
    <w:p w:rsidR="00D8481A" w:rsidRDefault="00D8481A" w:rsidP="00D8481A">
      <w:pPr>
        <w:pStyle w:val="Ruller41"/>
        <w:rPr>
          <w:rtl/>
        </w:rPr>
      </w:pPr>
      <w:r>
        <w:rPr>
          <w:rFonts w:hint="cs"/>
          <w:rtl/>
        </w:rPr>
        <w:t>4.</w:t>
      </w:r>
      <w:r>
        <w:rPr>
          <w:rFonts w:hint="cs"/>
          <w:rtl/>
        </w:rPr>
        <w:tab/>
        <w:t xml:space="preserve">כבר במגילת העצמאות, אשר בה הוכרז על הקמת מדינת ישראל, נכללה התחייבות המדינה להיות "פתוחה לעליה יהודית ולקיבוץ גלויות"; ולמעשה, שורשיה של התחייבות זו יונקים ממקורות עתיקים בהרבה ממגילת העצמאות. כנלמד משמו, עקרון </w:t>
      </w:r>
      <w:r w:rsidRPr="004A329A">
        <w:rPr>
          <w:rFonts w:ascii="Century" w:hAnsi="Century" w:hint="cs"/>
          <w:b/>
          <w:spacing w:val="0"/>
          <w:rtl/>
        </w:rPr>
        <w:t>השבות</w:t>
      </w:r>
      <w:r>
        <w:rPr>
          <w:rFonts w:hint="cs"/>
          <w:rtl/>
        </w:rPr>
        <w:t xml:space="preserve"> מבוסס על התפיסה שלפיה העם היהודי </w:t>
      </w:r>
      <w:r w:rsidRPr="000B7B3C">
        <w:rPr>
          <w:rFonts w:ascii="Century" w:hAnsi="Century" w:cs="Miriam" w:hint="cs"/>
          <w:b/>
          <w:spacing w:val="0"/>
          <w:szCs w:val="24"/>
          <w:rtl/>
        </w:rPr>
        <w:t>שב</w:t>
      </w:r>
      <w:r>
        <w:rPr>
          <w:rFonts w:hint="cs"/>
          <w:rtl/>
        </w:rPr>
        <w:t xml:space="preserve"> לארצו, כדי לממש בה את זכותו להגדרה עצמית, ולהגשים בה את הזיקה המהותית, העמוקה והמתמשכת שלו לארץ </w:t>
      </w:r>
      <w:r>
        <w:rPr>
          <w:rFonts w:hint="cs"/>
          <w:rtl/>
        </w:rPr>
        <w:lastRenderedPageBreak/>
        <w:t xml:space="preserve">ישראל, </w:t>
      </w:r>
      <w:r w:rsidRPr="007772A3">
        <w:rPr>
          <w:rFonts w:ascii="Century" w:hAnsi="Century" w:hint="cs"/>
          <w:rtl/>
        </w:rPr>
        <w:t>אשר "</w:t>
      </w:r>
      <w:r w:rsidRPr="007772A3">
        <w:rPr>
          <w:rFonts w:ascii="Century" w:hAnsi="Century"/>
          <w:shd w:val="clear" w:color="auto" w:fill="FFFFFF"/>
          <w:rtl/>
        </w:rPr>
        <w:t>בה עוצבה דמותו הרוחנית, הדתית והמדינית</w:t>
      </w:r>
      <w:r w:rsidRPr="007772A3">
        <w:rPr>
          <w:rFonts w:ascii="Century" w:hAnsi="Century" w:hint="cs"/>
          <w:rtl/>
        </w:rPr>
        <w:t>"</w:t>
      </w:r>
      <w:r>
        <w:rPr>
          <w:rFonts w:ascii="Century" w:hAnsi="Century" w:hint="cs"/>
          <w:rtl/>
        </w:rPr>
        <w:t>,</w:t>
      </w:r>
      <w:r w:rsidRPr="007772A3">
        <w:rPr>
          <w:rFonts w:ascii="Century" w:hAnsi="Century" w:hint="cs"/>
          <w:rtl/>
        </w:rPr>
        <w:t xml:space="preserve"> ואשר לה שמר העם היהודי </w:t>
      </w:r>
      <w:r>
        <w:rPr>
          <w:rFonts w:ascii="Century" w:hAnsi="Century" w:hint="cs"/>
          <w:rtl/>
        </w:rPr>
        <w:t>"</w:t>
      </w:r>
      <w:r w:rsidRPr="007772A3">
        <w:rPr>
          <w:rFonts w:ascii="Century" w:hAnsi="Century" w:hint="cs"/>
          <w:rtl/>
        </w:rPr>
        <w:t>אמונים</w:t>
      </w:r>
      <w:r>
        <w:rPr>
          <w:rFonts w:ascii="Century" w:hAnsi="Century" w:hint="cs"/>
          <w:rtl/>
        </w:rPr>
        <w:t xml:space="preserve"> </w:t>
      </w:r>
      <w:r w:rsidRPr="007772A3">
        <w:rPr>
          <w:rFonts w:ascii="Century" w:hAnsi="Century"/>
          <w:shd w:val="clear" w:color="auto" w:fill="FFFFFF"/>
          <w:rtl/>
        </w:rPr>
        <w:t>בכל ארצות פזוריו, ולא חדל מתפילה ומתקוה לשוב לארצו ולחדש בתוכה את חירותו המדינית</w:t>
      </w:r>
      <w:r>
        <w:rPr>
          <w:rFonts w:ascii="Century" w:hAnsi="Century" w:hint="cs"/>
          <w:shd w:val="clear" w:color="auto" w:fill="FFFFFF"/>
          <w:rtl/>
        </w:rPr>
        <w:t>"</w:t>
      </w:r>
      <w:r w:rsidRPr="007772A3">
        <w:rPr>
          <w:rFonts w:ascii="Century" w:hAnsi="Century" w:hint="cs"/>
          <w:shd w:val="clear" w:color="auto" w:fill="FFFFFF"/>
          <w:rtl/>
        </w:rPr>
        <w:t>, כלשונה של מגילת העצמאות.</w:t>
      </w:r>
      <w:r>
        <w:rPr>
          <w:rFonts w:ascii="Century" w:hAnsi="Century" w:hint="cs"/>
          <w:shd w:val="clear" w:color="auto" w:fill="FFFFFF"/>
          <w:rtl/>
        </w:rPr>
        <w:t xml:space="preserve"> </w:t>
      </w:r>
    </w:p>
    <w:p w:rsidR="00D8481A" w:rsidRDefault="00D8481A" w:rsidP="00D8481A">
      <w:pPr>
        <w:pStyle w:val="Ruller41"/>
        <w:rPr>
          <w:rtl/>
        </w:rPr>
      </w:pPr>
    </w:p>
    <w:p w:rsidR="00D8481A" w:rsidRDefault="00D8481A" w:rsidP="00D8481A">
      <w:pPr>
        <w:pStyle w:val="Ruller41"/>
        <w:rPr>
          <w:rFonts w:ascii="Century" w:hAnsi="Century"/>
          <w:shd w:val="clear" w:color="auto" w:fill="FFFFFF"/>
          <w:rtl/>
        </w:rPr>
      </w:pPr>
      <w:r>
        <w:rPr>
          <w:rtl/>
        </w:rPr>
        <w:tab/>
      </w:r>
      <w:r>
        <w:rPr>
          <w:rFonts w:hint="cs"/>
          <w:rtl/>
        </w:rPr>
        <w:t xml:space="preserve">ההתחייבות האמורה של מדינת ישראל כלפי יהודי התפוצות עוגנה בחוק השבות, שבמסגרתו נקבע כי </w:t>
      </w:r>
      <w:r w:rsidRPr="004A329A">
        <w:rPr>
          <w:rtl/>
        </w:rPr>
        <w:t xml:space="preserve">"כל </w:t>
      </w:r>
      <w:r w:rsidRPr="004A329A">
        <w:rPr>
          <w:rFonts w:hint="eastAsia"/>
          <w:rtl/>
        </w:rPr>
        <w:t>יהודי</w:t>
      </w:r>
      <w:r w:rsidRPr="004A329A">
        <w:rPr>
          <w:rtl/>
        </w:rPr>
        <w:t xml:space="preserve"> </w:t>
      </w:r>
      <w:r w:rsidRPr="004A329A">
        <w:rPr>
          <w:rFonts w:hint="eastAsia"/>
          <w:rtl/>
        </w:rPr>
        <w:t>זכאי</w:t>
      </w:r>
      <w:r w:rsidRPr="00210EFD">
        <w:rPr>
          <w:rtl/>
        </w:rPr>
        <w:t xml:space="preserve"> </w:t>
      </w:r>
      <w:r w:rsidRPr="00210EFD">
        <w:rPr>
          <w:rFonts w:hint="eastAsia"/>
          <w:rtl/>
        </w:rPr>
        <w:t>לעלות</w:t>
      </w:r>
      <w:r w:rsidRPr="004C1710">
        <w:rPr>
          <w:rtl/>
        </w:rPr>
        <w:t xml:space="preserve"> </w:t>
      </w:r>
      <w:r w:rsidRPr="00550388">
        <w:rPr>
          <w:rFonts w:hint="eastAsia"/>
          <w:rtl/>
        </w:rPr>
        <w:t>ארצה</w:t>
      </w:r>
      <w:r w:rsidRPr="004A329A">
        <w:rPr>
          <w:rFonts w:hint="cs"/>
          <w:rtl/>
        </w:rPr>
        <w:t>"</w:t>
      </w:r>
      <w:r>
        <w:rPr>
          <w:rFonts w:hint="cs"/>
          <w:rtl/>
        </w:rPr>
        <w:t xml:space="preserve"> (סעיף 1 לחוק); ואף זכתה למעמד חוקתי בחוק-יסוד: ישראל </w:t>
      </w:r>
      <w:r>
        <w:rPr>
          <w:rtl/>
        </w:rPr>
        <w:t>–</w:t>
      </w:r>
      <w:r>
        <w:rPr>
          <w:rFonts w:hint="cs"/>
          <w:rtl/>
        </w:rPr>
        <w:t xml:space="preserve"> מדינת הלאום של </w:t>
      </w:r>
      <w:r w:rsidRPr="002D3ABB">
        <w:rPr>
          <w:rFonts w:ascii="Century" w:hAnsi="Century" w:hint="cs"/>
          <w:rtl/>
        </w:rPr>
        <w:t xml:space="preserve">העם היהודי, המורה כי </w:t>
      </w:r>
      <w:r>
        <w:rPr>
          <w:rFonts w:ascii="Century" w:hAnsi="Century" w:hint="cs"/>
          <w:rtl/>
        </w:rPr>
        <w:t>"</w:t>
      </w:r>
      <w:r w:rsidRPr="002D3ABB">
        <w:rPr>
          <w:rFonts w:ascii="Century" w:hAnsi="Century"/>
          <w:shd w:val="clear" w:color="auto" w:fill="FFFFFF"/>
          <w:rtl/>
        </w:rPr>
        <w:t>המדינה תהיה פתוחה לעלייה יהודית ולקיבוץ גלוי</w:t>
      </w:r>
      <w:r>
        <w:rPr>
          <w:rFonts w:ascii="Century" w:hAnsi="Century" w:hint="cs"/>
          <w:shd w:val="clear" w:color="auto" w:fill="FFFFFF"/>
          <w:rtl/>
        </w:rPr>
        <w:t xml:space="preserve">ות" (סעיף 5 לחוק היסוד). </w:t>
      </w:r>
    </w:p>
    <w:p w:rsidR="00D8481A" w:rsidRDefault="00D8481A" w:rsidP="00D8481A">
      <w:pPr>
        <w:pStyle w:val="Ruller41"/>
        <w:rPr>
          <w:rFonts w:ascii="Century" w:hAnsi="Century"/>
          <w:shd w:val="clear" w:color="auto" w:fill="FFFFFF"/>
          <w:rtl/>
        </w:rPr>
      </w:pPr>
    </w:p>
    <w:p w:rsidR="00D8481A" w:rsidRDefault="00D8481A" w:rsidP="00D8481A">
      <w:pPr>
        <w:pStyle w:val="Ruller41"/>
        <w:rPr>
          <w:rtl/>
        </w:rPr>
      </w:pPr>
      <w:r>
        <w:rPr>
          <w:rFonts w:ascii="Century" w:hAnsi="Century"/>
          <w:shd w:val="clear" w:color="auto" w:fill="FFFFFF"/>
          <w:rtl/>
        </w:rPr>
        <w:tab/>
      </w:r>
      <w:r>
        <w:rPr>
          <w:rFonts w:ascii="Century" w:hAnsi="Century" w:hint="cs"/>
          <w:shd w:val="clear" w:color="auto" w:fill="FFFFFF"/>
          <w:rtl/>
        </w:rPr>
        <w:t xml:space="preserve">אם כן, במדינת ישראל מממש העם היהודי את </w:t>
      </w:r>
      <w:r w:rsidRPr="00624397">
        <w:rPr>
          <w:rFonts w:ascii="Century" w:hAnsi="Century" w:hint="cs"/>
          <w:shd w:val="clear" w:color="auto" w:fill="FFFFFF"/>
          <w:rtl/>
        </w:rPr>
        <w:t>"</w:t>
      </w:r>
      <w:r w:rsidRPr="002050B7">
        <w:rPr>
          <w:rFonts w:ascii="Century" w:hAnsi="Century"/>
          <w:rtl/>
        </w:rPr>
        <w:t>זכותו הטבעית, התרבותי</w:t>
      </w:r>
      <w:r>
        <w:rPr>
          <w:rFonts w:ascii="Century" w:hAnsi="Century"/>
          <w:rtl/>
        </w:rPr>
        <w:t>ת, הדתית וההיסטורית להגדרה עצמ</w:t>
      </w:r>
      <w:r>
        <w:rPr>
          <w:rFonts w:ascii="Century" w:hAnsi="Century" w:hint="cs"/>
          <w:rtl/>
        </w:rPr>
        <w:t xml:space="preserve">ית" (כלשונו של סעיף 1 לחוק-יסוד: ישראל </w:t>
      </w:r>
      <w:r>
        <w:rPr>
          <w:rFonts w:ascii="Century" w:hAnsi="Century"/>
          <w:rtl/>
        </w:rPr>
        <w:t>–</w:t>
      </w:r>
      <w:r>
        <w:rPr>
          <w:rFonts w:ascii="Century" w:hAnsi="Century" w:hint="cs"/>
          <w:rtl/>
        </w:rPr>
        <w:t xml:space="preserve"> מדינת הלאום של העם היהודי); ואכן, </w:t>
      </w:r>
      <w:r w:rsidRPr="007772A3">
        <w:rPr>
          <w:rFonts w:ascii="Century" w:hAnsi="Century" w:hint="cs"/>
          <w:rtl/>
        </w:rPr>
        <w:t>"מד</w:t>
      </w:r>
      <w:r>
        <w:rPr>
          <w:rFonts w:hint="cs"/>
          <w:rtl/>
        </w:rPr>
        <w:t xml:space="preserve">ינת ישראל [...] מעניקה ליהודים החיים בה את היתרונות הייחודיים המתאפשרים רק במקום שבו מתממשת הזכות להגדרה עצמית מדינתית מלאה" (רות גביזון </w:t>
      </w:r>
      <w:r>
        <w:rPr>
          <w:rFonts w:cs="Miriam" w:hint="cs"/>
          <w:b/>
          <w:spacing w:val="0"/>
          <w:szCs w:val="24"/>
          <w:rtl/>
        </w:rPr>
        <w:t>שישים</w:t>
      </w:r>
      <w:r>
        <w:rPr>
          <w:rFonts w:cs="Miriam" w:hint="cs"/>
          <w:b/>
          <w:spacing w:val="0"/>
          <w:szCs w:val="24"/>
        </w:rPr>
        <w:t xml:space="preserve"> </w:t>
      </w:r>
      <w:r>
        <w:rPr>
          <w:rFonts w:cs="Miriam" w:hint="cs"/>
          <w:b/>
          <w:spacing w:val="0"/>
          <w:szCs w:val="24"/>
          <w:rtl/>
        </w:rPr>
        <w:t>שנה</w:t>
      </w:r>
      <w:r>
        <w:rPr>
          <w:rFonts w:cs="Miriam" w:hint="cs"/>
          <w:b/>
          <w:spacing w:val="0"/>
          <w:szCs w:val="24"/>
        </w:rPr>
        <w:t xml:space="preserve"> </w:t>
      </w:r>
      <w:r>
        <w:rPr>
          <w:rFonts w:cs="Miriam" w:hint="cs"/>
          <w:b/>
          <w:spacing w:val="0"/>
          <w:szCs w:val="24"/>
          <w:rtl/>
        </w:rPr>
        <w:t>לחוק</w:t>
      </w:r>
      <w:r>
        <w:rPr>
          <w:rFonts w:cs="Miriam" w:hint="cs"/>
          <w:b/>
          <w:spacing w:val="0"/>
          <w:szCs w:val="24"/>
        </w:rPr>
        <w:t xml:space="preserve"> </w:t>
      </w:r>
      <w:r>
        <w:rPr>
          <w:rFonts w:cs="Miriam" w:hint="cs"/>
          <w:b/>
          <w:spacing w:val="0"/>
          <w:szCs w:val="24"/>
          <w:rtl/>
        </w:rPr>
        <w:t>השבות: היסטוריה, אידאולוגיה, הצדקה</w:t>
      </w:r>
      <w:r>
        <w:rPr>
          <w:rFonts w:ascii="Century" w:hAnsi="Century" w:hint="cs"/>
          <w:rtl/>
        </w:rPr>
        <w:t xml:space="preserve">, עמ' </w:t>
      </w:r>
      <w:r>
        <w:rPr>
          <w:rFonts w:hint="cs"/>
          <w:rtl/>
        </w:rPr>
        <w:t>30-29 (מרכז מציל"ה למחשבה ציונית, יהודית, ליברלית והומניסטית, 2009)).</w:t>
      </w:r>
    </w:p>
    <w:p w:rsidR="00D8481A" w:rsidRDefault="00D8481A" w:rsidP="00D8481A">
      <w:pPr>
        <w:pStyle w:val="Ruller41"/>
        <w:rPr>
          <w:rtl/>
        </w:rPr>
      </w:pPr>
    </w:p>
    <w:p w:rsidR="00D8481A" w:rsidRDefault="00D8481A" w:rsidP="00D8481A">
      <w:pPr>
        <w:pStyle w:val="Ruller41"/>
        <w:rPr>
          <w:rtl/>
        </w:rPr>
      </w:pPr>
      <w:r>
        <w:rPr>
          <w:rtl/>
        </w:rPr>
        <w:tab/>
      </w:r>
      <w:r>
        <w:rPr>
          <w:rFonts w:hint="cs"/>
          <w:rtl/>
        </w:rPr>
        <w:t xml:space="preserve">חוק השבות מבטא, אפוא, את התחייבות המדינה כלפי יהודי התפוצות ואת הקשר העמוק של העם היהודי לארץ ישראל. </w:t>
      </w:r>
      <w:r w:rsidRPr="00D15DF4">
        <w:rPr>
          <w:rFonts w:ascii="Century" w:hAnsi="Century" w:cs="Miriam" w:hint="eastAsia"/>
          <w:b/>
          <w:spacing w:val="0"/>
          <w:szCs w:val="24"/>
          <w:rtl/>
        </w:rPr>
        <w:t>תכליתו</w:t>
      </w:r>
      <w:r w:rsidRPr="00D15DF4">
        <w:rPr>
          <w:rtl/>
        </w:rPr>
        <w:t xml:space="preserve"> היא ל</w:t>
      </w:r>
      <w:r w:rsidRPr="00D15DF4">
        <w:rPr>
          <w:rFonts w:hint="eastAsia"/>
          <w:rtl/>
        </w:rPr>
        <w:t>אפשר</w:t>
      </w:r>
      <w:r w:rsidRPr="00D15DF4">
        <w:rPr>
          <w:rtl/>
        </w:rPr>
        <w:t xml:space="preserve"> לכל יהודי לעלות </w:t>
      </w:r>
      <w:r>
        <w:rPr>
          <w:rFonts w:hint="cs"/>
          <w:rtl/>
        </w:rPr>
        <w:t>לארץ</w:t>
      </w:r>
      <w:r w:rsidRPr="00D15DF4">
        <w:rPr>
          <w:rtl/>
        </w:rPr>
        <w:t xml:space="preserve">; ולהצטרף </w:t>
      </w:r>
      <w:r w:rsidRPr="00D15DF4">
        <w:rPr>
          <w:rFonts w:hint="eastAsia"/>
          <w:rtl/>
        </w:rPr>
        <w:t>למפעל</w:t>
      </w:r>
      <w:r w:rsidRPr="00D15DF4">
        <w:rPr>
          <w:rtl/>
        </w:rPr>
        <w:t xml:space="preserve"> </w:t>
      </w:r>
      <w:r w:rsidRPr="00D15DF4">
        <w:rPr>
          <w:rFonts w:hint="eastAsia"/>
          <w:rtl/>
        </w:rPr>
        <w:t>התחייה</w:t>
      </w:r>
      <w:r w:rsidRPr="00D15DF4">
        <w:rPr>
          <w:rtl/>
        </w:rPr>
        <w:t xml:space="preserve"> הלאומית </w:t>
      </w:r>
      <w:r w:rsidRPr="00D15DF4">
        <w:rPr>
          <w:rFonts w:hint="eastAsia"/>
          <w:rtl/>
        </w:rPr>
        <w:t>של</w:t>
      </w:r>
      <w:r w:rsidRPr="00D15DF4">
        <w:rPr>
          <w:rtl/>
        </w:rPr>
        <w:t xml:space="preserve"> </w:t>
      </w:r>
      <w:r w:rsidRPr="00D15DF4">
        <w:rPr>
          <w:rFonts w:hint="eastAsia"/>
          <w:rtl/>
        </w:rPr>
        <w:t>עם</w:t>
      </w:r>
      <w:r w:rsidRPr="00D15DF4">
        <w:rPr>
          <w:rtl/>
        </w:rPr>
        <w:t xml:space="preserve"> </w:t>
      </w:r>
      <w:r w:rsidRPr="00D15DF4">
        <w:rPr>
          <w:rFonts w:hint="eastAsia"/>
          <w:rtl/>
        </w:rPr>
        <w:t>ישראל</w:t>
      </w:r>
      <w:r w:rsidRPr="00D15DF4">
        <w:rPr>
          <w:rtl/>
        </w:rPr>
        <w:t xml:space="preserve"> בארצו,</w:t>
      </w:r>
      <w:r>
        <w:rPr>
          <w:rFonts w:hint="cs"/>
          <w:rtl/>
        </w:rPr>
        <w:t xml:space="preserve"> בחלוף כאלפיים שנות גלות. </w:t>
      </w:r>
    </w:p>
    <w:p w:rsidR="00D8481A" w:rsidRDefault="00D8481A" w:rsidP="00D8481A">
      <w:pPr>
        <w:pStyle w:val="Ruller41"/>
        <w:rPr>
          <w:rtl/>
        </w:rPr>
      </w:pPr>
    </w:p>
    <w:p w:rsidR="00D8481A" w:rsidDel="004B041F" w:rsidRDefault="00D8481A" w:rsidP="00D8481A">
      <w:pPr>
        <w:pStyle w:val="Ruller41"/>
        <w:rPr>
          <w:rtl/>
        </w:rPr>
      </w:pPr>
      <w:r>
        <w:rPr>
          <w:rFonts w:hint="cs"/>
          <w:rtl/>
        </w:rPr>
        <w:t>5.</w:t>
      </w:r>
      <w:r>
        <w:rPr>
          <w:rtl/>
        </w:rPr>
        <w:tab/>
      </w:r>
      <w:r>
        <w:rPr>
          <w:rFonts w:hint="cs"/>
          <w:rtl/>
        </w:rPr>
        <w:t xml:space="preserve">דומה כי </w:t>
      </w:r>
      <w:r w:rsidDel="004B041F">
        <w:rPr>
          <w:rFonts w:hint="cs"/>
          <w:rtl/>
        </w:rPr>
        <w:t xml:space="preserve">בשנותיה הראשונות של המדינה, מי </w:t>
      </w:r>
      <w:r>
        <w:rPr>
          <w:rFonts w:hint="cs"/>
          <w:rtl/>
        </w:rPr>
        <w:t>שביקשו</w:t>
      </w:r>
      <w:r w:rsidDel="004B041F">
        <w:rPr>
          <w:rFonts w:hint="cs"/>
          <w:rtl/>
        </w:rPr>
        <w:t xml:space="preserve"> לעלות לישראל היו בעיקר אנשים עם קשר ממשי לעם היהודי ורצון להשתלב במדינתו, באופן </w:t>
      </w:r>
      <w:r>
        <w:rPr>
          <w:rFonts w:hint="cs"/>
          <w:rtl/>
        </w:rPr>
        <w:t>המ</w:t>
      </w:r>
      <w:r w:rsidDel="004B041F">
        <w:rPr>
          <w:rFonts w:hint="cs"/>
          <w:rtl/>
        </w:rPr>
        <w:t>גשים את מהותו של חוק השבות</w:t>
      </w:r>
      <w:r>
        <w:rPr>
          <w:rFonts w:hint="cs"/>
          <w:rtl/>
        </w:rPr>
        <w:t xml:space="preserve">. לפיכך, </w:t>
      </w:r>
      <w:r w:rsidDel="004B041F">
        <w:rPr>
          <w:rFonts w:hint="cs"/>
          <w:rtl/>
        </w:rPr>
        <w:t xml:space="preserve">לא התעורר צורך ממשי להגדיר מיהו ה"יהודי" אשר זכאי לעלות לישראל מכוח </w:t>
      </w:r>
      <w:r>
        <w:rPr>
          <w:rFonts w:hint="cs"/>
          <w:rtl/>
        </w:rPr>
        <w:t>חוק</w:t>
      </w:r>
      <w:r w:rsidDel="004B041F">
        <w:rPr>
          <w:rFonts w:hint="cs"/>
          <w:rtl/>
        </w:rPr>
        <w:t xml:space="preserve"> השבות (ראו: </w:t>
      </w:r>
      <w:r w:rsidRPr="005D7796" w:rsidDel="004B041F">
        <w:rPr>
          <w:rFonts w:ascii="Century" w:hAnsi="Century" w:cs="Miriam" w:hint="eastAsia"/>
          <w:b/>
          <w:spacing w:val="0"/>
          <w:szCs w:val="24"/>
          <w:rtl/>
        </w:rPr>
        <w:t>גביזון</w:t>
      </w:r>
      <w:r w:rsidDel="004B041F">
        <w:rPr>
          <w:rFonts w:hint="cs"/>
          <w:rtl/>
        </w:rPr>
        <w:t>, בעמ' 44). אולם, ברבות השנים, הפכה מדינת ישראל ליעד אטרקטיבי עבור מהגרים, משיקולים שאינם קשורים</w:t>
      </w:r>
      <w:r>
        <w:rPr>
          <w:rFonts w:hint="cs"/>
          <w:rtl/>
        </w:rPr>
        <w:t xml:space="preserve"> בהכרח</w:t>
      </w:r>
      <w:r w:rsidDel="004B041F">
        <w:rPr>
          <w:rFonts w:hint="cs"/>
          <w:rtl/>
        </w:rPr>
        <w:t xml:space="preserve"> לרציונל שבבסיס חוק השבות, באופן שהגביר את הצורך להגדיר מי זכאי לעלות לישראל מכוח חוק השבות (ראו: שם). </w:t>
      </w:r>
      <w:r>
        <w:rPr>
          <w:rFonts w:hint="cs"/>
          <w:rtl/>
        </w:rPr>
        <w:t xml:space="preserve">ואכן, </w:t>
      </w:r>
      <w:r w:rsidDel="004B041F">
        <w:rPr>
          <w:rFonts w:hint="cs"/>
          <w:rtl/>
        </w:rPr>
        <w:t xml:space="preserve">בשנת 1970, </w:t>
      </w:r>
      <w:r>
        <w:rPr>
          <w:rFonts w:hint="cs"/>
          <w:rtl/>
        </w:rPr>
        <w:t>ו</w:t>
      </w:r>
      <w:r w:rsidDel="004B041F">
        <w:rPr>
          <w:rFonts w:hint="cs"/>
          <w:rtl/>
        </w:rPr>
        <w:t>על רקע פסק הדין שניתן ב</w:t>
      </w:r>
      <w:r w:rsidRPr="00784C6F" w:rsidDel="004B041F">
        <w:rPr>
          <w:rtl/>
        </w:rPr>
        <w:t xml:space="preserve">בג"ץ 58/68 </w:t>
      </w:r>
      <w:r w:rsidRPr="00784C6F" w:rsidDel="004B041F">
        <w:rPr>
          <w:rFonts w:ascii="Century" w:hAnsi="Century" w:cs="Miriam"/>
          <w:b/>
          <w:spacing w:val="0"/>
          <w:szCs w:val="24"/>
          <w:rtl/>
        </w:rPr>
        <w:t>שליט נ' שר הפנים</w:t>
      </w:r>
      <w:r w:rsidRPr="00784C6F" w:rsidDel="004B041F">
        <w:rPr>
          <w:rtl/>
        </w:rPr>
        <w:t>, פ"ד כג(2) 477 (1970)</w:t>
      </w:r>
      <w:r w:rsidDel="004B041F">
        <w:rPr>
          <w:rFonts w:hint="cs"/>
          <w:rtl/>
        </w:rPr>
        <w:t xml:space="preserve">, </w:t>
      </w:r>
      <w:r>
        <w:rPr>
          <w:rFonts w:hint="cs"/>
          <w:rtl/>
        </w:rPr>
        <w:t xml:space="preserve">אמר המחוקק את דברו בסוגיה </w:t>
      </w:r>
      <w:r w:rsidDel="004B041F">
        <w:rPr>
          <w:rFonts w:hint="cs"/>
          <w:rtl/>
        </w:rPr>
        <w:t xml:space="preserve">במסגרת תיקון מס' 2 לחוק (להלן גם: </w:t>
      </w:r>
      <w:r w:rsidRPr="004747F9" w:rsidDel="004B041F">
        <w:rPr>
          <w:rFonts w:ascii="Century" w:hAnsi="Century" w:cs="Miriam" w:hint="cs"/>
          <w:b/>
          <w:spacing w:val="0"/>
          <w:szCs w:val="24"/>
          <w:rtl/>
        </w:rPr>
        <w:t>התיקון</w:t>
      </w:r>
      <w:r w:rsidDel="004B041F">
        <w:rPr>
          <w:rFonts w:hint="cs"/>
          <w:rtl/>
        </w:rPr>
        <w:t xml:space="preserve">), </w:t>
      </w:r>
      <w:r>
        <w:rPr>
          <w:rFonts w:hint="cs"/>
          <w:rtl/>
        </w:rPr>
        <w:t>ו</w:t>
      </w:r>
      <w:r w:rsidDel="004B041F">
        <w:rPr>
          <w:rFonts w:hint="cs"/>
          <w:rtl/>
        </w:rPr>
        <w:t>הוסיף את סעיף 4א לחוק, אשר הוצג לעיל</w:t>
      </w:r>
      <w:r>
        <w:rPr>
          <w:rFonts w:hint="cs"/>
          <w:rtl/>
        </w:rPr>
        <w:t xml:space="preserve"> וניצב במוקד דיוננו</w:t>
      </w:r>
      <w:r w:rsidDel="004B041F">
        <w:rPr>
          <w:rFonts w:hint="cs"/>
          <w:rtl/>
        </w:rPr>
        <w:t>; ואת סעיף 4ב לחוק, אשר מגדיר כי לעניין חוק השבות, יהודי הוא "מי שנולד לאם יהודיה או שנתגייר, והוא אינו בן דת אחרת".</w:t>
      </w:r>
    </w:p>
    <w:p w:rsidR="00D8481A" w:rsidRDefault="00D8481A" w:rsidP="00D8481A">
      <w:pPr>
        <w:pStyle w:val="Ruller41"/>
        <w:rPr>
          <w:rtl/>
        </w:rPr>
      </w:pPr>
    </w:p>
    <w:p w:rsidR="00D8481A" w:rsidRDefault="00D8481A" w:rsidP="00D8481A">
      <w:pPr>
        <w:pStyle w:val="Ruller41"/>
        <w:rPr>
          <w:rtl/>
        </w:rPr>
      </w:pPr>
      <w:r>
        <w:rPr>
          <w:rFonts w:hint="cs"/>
          <w:rtl/>
        </w:rPr>
        <w:lastRenderedPageBreak/>
        <w:t>6.</w:t>
      </w:r>
      <w:r>
        <w:rPr>
          <w:rFonts w:hint="cs"/>
          <w:rtl/>
        </w:rPr>
        <w:tab/>
        <w:t xml:space="preserve">הנה כי כן, חוק השבות מעגן את התחייבות המדינה שלפיה לכל יהודי קיימת זכות לעלות לארץ ישראל; והתיקון האמור לחוק, נועד לקבוע את היקף הזכאים לזכות זו. </w:t>
      </w:r>
    </w:p>
    <w:p w:rsidR="00D8481A" w:rsidRDefault="00D8481A" w:rsidP="00D8481A">
      <w:pPr>
        <w:pStyle w:val="Ruller41"/>
        <w:rPr>
          <w:rtl/>
        </w:rPr>
      </w:pPr>
    </w:p>
    <w:p w:rsidR="00D8481A" w:rsidRDefault="00D8481A" w:rsidP="00D8481A">
      <w:pPr>
        <w:pStyle w:val="Ruller41"/>
        <w:rPr>
          <w:rFonts w:ascii="Century" w:hAnsi="Century"/>
          <w:shd w:val="clear" w:color="auto" w:fill="FFFFFF"/>
          <w:rtl/>
        </w:rPr>
      </w:pPr>
      <w:r>
        <w:rPr>
          <w:rFonts w:hint="cs"/>
          <w:rtl/>
        </w:rPr>
        <w:t>7.</w:t>
      </w:r>
      <w:r>
        <w:rPr>
          <w:rtl/>
        </w:rPr>
        <w:tab/>
      </w:r>
      <w:r>
        <w:rPr>
          <w:rFonts w:hint="cs"/>
          <w:rtl/>
        </w:rPr>
        <w:t xml:space="preserve">על רקע האמור, נשוב לשאלה הצריכה הכרעה בענייננו, אשר נוגעת לפרשנות התיקון </w:t>
      </w:r>
      <w:r>
        <w:rPr>
          <w:rFonts w:hint="eastAsia"/>
          <w:rtl/>
        </w:rPr>
        <w:t>–</w:t>
      </w:r>
      <w:r>
        <w:rPr>
          <w:rFonts w:hint="cs"/>
          <w:rtl/>
        </w:rPr>
        <w:t xml:space="preserve"> האם המונח </w:t>
      </w:r>
      <w:r>
        <w:rPr>
          <w:rFonts w:ascii="Century" w:hAnsi="Century" w:hint="cs"/>
          <w:shd w:val="clear" w:color="auto" w:fill="FFFFFF"/>
          <w:rtl/>
        </w:rPr>
        <w:t>"בן-זוג" של צאצא שבסעיף 4א(א) ל</w:t>
      </w:r>
      <w:r>
        <w:rPr>
          <w:rFonts w:hint="cs"/>
          <w:rtl/>
        </w:rPr>
        <w:t>חוק, כולל גם "אלמן</w:t>
      </w:r>
      <w:r>
        <w:rPr>
          <w:rFonts w:ascii="Century" w:hAnsi="Century" w:hint="cs"/>
          <w:shd w:val="clear" w:color="auto" w:fill="FFFFFF"/>
          <w:rtl/>
        </w:rPr>
        <w:t>" ו"אלמנה"?</w:t>
      </w:r>
    </w:p>
    <w:p w:rsidR="00D8481A" w:rsidRDefault="00D8481A" w:rsidP="00D8481A">
      <w:pPr>
        <w:pStyle w:val="Ruller41"/>
        <w:rPr>
          <w:rtl/>
        </w:rPr>
      </w:pPr>
    </w:p>
    <w:p w:rsidR="00D8481A" w:rsidRDefault="00D8481A" w:rsidP="00D8481A">
      <w:pPr>
        <w:pStyle w:val="Ruller41"/>
        <w:rPr>
          <w:rtl/>
        </w:rPr>
      </w:pPr>
      <w:r>
        <w:rPr>
          <w:rFonts w:hint="cs"/>
          <w:rtl/>
        </w:rPr>
        <w:t>8.</w:t>
      </w:r>
      <w:r>
        <w:rPr>
          <w:rFonts w:hint="cs"/>
          <w:rtl/>
        </w:rPr>
        <w:tab/>
        <w:t xml:space="preserve">במסגרת פרשנות הוראות התיקון, יש לשוב ולהעמיד לנגד עינינו את תכליתו של חוק השבות, מהותו </w:t>
      </w:r>
      <w:r w:rsidRPr="008A179F">
        <w:rPr>
          <w:rFonts w:hint="eastAsia"/>
          <w:rtl/>
        </w:rPr>
        <w:t>ומכלול</w:t>
      </w:r>
      <w:r w:rsidRPr="008A179F">
        <w:rPr>
          <w:rtl/>
        </w:rPr>
        <w:t xml:space="preserve"> </w:t>
      </w:r>
      <w:r w:rsidRPr="008A179F">
        <w:rPr>
          <w:rFonts w:hint="eastAsia"/>
          <w:rtl/>
        </w:rPr>
        <w:t>הוראותיו</w:t>
      </w:r>
      <w:r>
        <w:rPr>
          <w:rFonts w:hint="cs"/>
          <w:rtl/>
        </w:rPr>
        <w:t>, שכן התיקון הוא בבחינת ענף אשר יונק את חיותו מגזע העץ, הוא חוק השבות</w:t>
      </w:r>
      <w:r w:rsidRPr="006854FD">
        <w:rPr>
          <w:rFonts w:hint="cs"/>
          <w:rtl/>
        </w:rPr>
        <w:t>;</w:t>
      </w:r>
      <w:r>
        <w:rPr>
          <w:rFonts w:hint="cs"/>
          <w:rtl/>
        </w:rPr>
        <w:t xml:space="preserve"> כמתואר בלשונו היפה של השופט </w:t>
      </w:r>
      <w:r>
        <w:rPr>
          <w:rFonts w:ascii="Century" w:hAnsi="Century" w:cs="Miriam" w:hint="cs"/>
          <w:b/>
          <w:spacing w:val="0"/>
          <w:szCs w:val="24"/>
          <w:rtl/>
        </w:rPr>
        <w:t>מ'</w:t>
      </w:r>
      <w:r>
        <w:rPr>
          <w:rFonts w:hint="cs"/>
          <w:rtl/>
        </w:rPr>
        <w:t xml:space="preserve"> </w:t>
      </w:r>
      <w:r w:rsidRPr="00BB75A0">
        <w:rPr>
          <w:rFonts w:ascii="Century" w:hAnsi="Century" w:cs="Miriam" w:hint="cs"/>
          <w:b/>
          <w:spacing w:val="0"/>
          <w:szCs w:val="24"/>
          <w:rtl/>
        </w:rPr>
        <w:t>חשין</w:t>
      </w:r>
      <w:r>
        <w:rPr>
          <w:rFonts w:hint="cs"/>
          <w:rtl/>
        </w:rPr>
        <w:t>:</w:t>
      </w:r>
    </w:p>
    <w:p w:rsidR="00D8481A" w:rsidRDefault="00D8481A" w:rsidP="00D8481A">
      <w:pPr>
        <w:pStyle w:val="Ruller5"/>
        <w:rPr>
          <w:rFonts w:ascii="FrankRuehl" w:hAnsi="FrankRuehl"/>
          <w:sz w:val="24"/>
          <w:rtl/>
        </w:rPr>
      </w:pPr>
    </w:p>
    <w:p w:rsidR="00D8481A" w:rsidRPr="00364943" w:rsidRDefault="00D8481A" w:rsidP="00D8481A">
      <w:pPr>
        <w:pStyle w:val="Ruller5"/>
        <w:rPr>
          <w:rFonts w:ascii="Century" w:hAnsi="Century"/>
          <w:rtl/>
        </w:rPr>
      </w:pPr>
      <w:r>
        <w:rPr>
          <w:rFonts w:ascii="FrankRuehl" w:hAnsi="FrankRuehl" w:hint="cs"/>
          <w:sz w:val="24"/>
          <w:rtl/>
        </w:rPr>
        <w:t>"</w:t>
      </w:r>
      <w:r w:rsidRPr="00713B75">
        <w:rPr>
          <w:rFonts w:ascii="FrankRuehl" w:hAnsi="FrankRuehl"/>
          <w:sz w:val="24"/>
          <w:rtl/>
        </w:rPr>
        <w:t>הוראת סעיף 4א, לא יהא זה נכון וראוי אם ייאמר עליה כי לבדד תשכון וכי בהוראות-חוק אחרות לא תִּתְחַשַׂב. בחפירות ארכאולוגיה, לוּ מצאנו חרס עתיק ועליו חרות סעיף 4א – והחרס לבדד, בלי ראשית בלי אחרית, בלא הקשר להוראות שלפניו ושלאחריו, כמו חי הוא הנושא-את-עצמו – אפשר פירשנוהו כך ואפשר פירשנוהו אחרת. ואולם לא כך הם פני הדברים. סעיף 4א נשתל בגוף חוק השבות בכוונת-מכַוֵון להופכו אבר חי בגוף. חוק השבות זורם בו והוא זורם בחוק השבות. לרקע זה, לא יהא זה לא נכון ולא ראוי אם ננתקהו ממקומו, נחזיק אותו בין אצבעותינו, ונקרב אותו אל האור לבוחנו לעצמו, לבדד</w:t>
      </w:r>
      <w:r>
        <w:rPr>
          <w:rFonts w:hint="cs"/>
          <w:rtl/>
        </w:rPr>
        <w:t>" (בג"ץ 2355/98</w:t>
      </w:r>
      <w:r w:rsidRPr="00364943">
        <w:rPr>
          <w:rFonts w:ascii="Century" w:hAnsi="Century" w:hint="cs"/>
          <w:rtl/>
        </w:rPr>
        <w:t xml:space="preserve"> </w:t>
      </w:r>
      <w:r w:rsidRPr="00364943">
        <w:rPr>
          <w:rFonts w:ascii="Century" w:hAnsi="Century" w:cs="Miriam" w:hint="cs"/>
          <w:b/>
          <w:spacing w:val="0"/>
          <w:szCs w:val="24"/>
          <w:rtl/>
        </w:rPr>
        <w:t>סטמקה נ' שר הפנים</w:t>
      </w:r>
      <w:r w:rsidRPr="00364943">
        <w:rPr>
          <w:rFonts w:ascii="Century" w:hAnsi="Century" w:hint="cs"/>
          <w:rtl/>
        </w:rPr>
        <w:t xml:space="preserve">, פ"ד נג(2) 728, </w:t>
      </w:r>
      <w:r>
        <w:rPr>
          <w:rFonts w:ascii="Century" w:hAnsi="Century" w:hint="cs"/>
          <w:rtl/>
        </w:rPr>
        <w:t xml:space="preserve">עמ' 750 </w:t>
      </w:r>
      <w:r w:rsidRPr="00364943">
        <w:rPr>
          <w:rFonts w:ascii="Century" w:hAnsi="Century" w:hint="cs"/>
          <w:rtl/>
        </w:rPr>
        <w:t>(1999)</w:t>
      </w:r>
      <w:r>
        <w:rPr>
          <w:rFonts w:ascii="Century" w:hAnsi="Century" w:hint="cs"/>
          <w:rtl/>
        </w:rPr>
        <w:t>).</w:t>
      </w:r>
    </w:p>
    <w:p w:rsidR="00D8481A" w:rsidRDefault="00D8481A" w:rsidP="00D8481A">
      <w:pPr>
        <w:pStyle w:val="Ruller41"/>
        <w:rPr>
          <w:rtl/>
        </w:rPr>
      </w:pPr>
    </w:p>
    <w:p w:rsidR="00D8481A" w:rsidRDefault="00D8481A" w:rsidP="00D8481A">
      <w:pPr>
        <w:pStyle w:val="Ruller41"/>
        <w:rPr>
          <w:rtl/>
        </w:rPr>
      </w:pPr>
      <w:r>
        <w:rPr>
          <w:rFonts w:ascii="Century" w:hAnsi="Century" w:hint="cs"/>
          <w:rtl/>
        </w:rPr>
        <w:tab/>
      </w:r>
      <w:r>
        <w:rPr>
          <w:rFonts w:hint="cs"/>
          <w:rtl/>
        </w:rPr>
        <w:t xml:space="preserve">אם כן, קביעת היקף תחולתה של הזכות לשבות </w:t>
      </w:r>
      <w:r>
        <w:rPr>
          <w:rFonts w:ascii="Century" w:hAnsi="Century" w:hint="cs"/>
          <w:rtl/>
        </w:rPr>
        <w:t>לפי</w:t>
      </w:r>
      <w:r>
        <w:rPr>
          <w:rFonts w:hint="cs"/>
          <w:rtl/>
        </w:rPr>
        <w:t xml:space="preserve"> התיקון לחוק, צריך שתיעשה על בסיס מקורותיה של זכות זו ותכליתו של חוק השבות </w:t>
      </w:r>
      <w:r>
        <w:rPr>
          <w:rtl/>
        </w:rPr>
        <w:t>–</w:t>
      </w:r>
      <w:r>
        <w:rPr>
          <w:rFonts w:hint="cs"/>
          <w:rtl/>
        </w:rPr>
        <w:t xml:space="preserve"> </w:t>
      </w:r>
      <w:r w:rsidRPr="00D15DF4">
        <w:rPr>
          <w:rFonts w:ascii="Century" w:hAnsi="Century" w:cs="Miriam" w:hint="eastAsia"/>
          <w:b/>
          <w:spacing w:val="0"/>
          <w:szCs w:val="24"/>
          <w:rtl/>
        </w:rPr>
        <w:t>שיבת</w:t>
      </w:r>
      <w:r w:rsidRPr="00D15DF4">
        <w:rPr>
          <w:rFonts w:ascii="Century" w:hAnsi="Century" w:cs="Miriam"/>
          <w:b/>
          <w:spacing w:val="0"/>
          <w:szCs w:val="24"/>
          <w:rtl/>
        </w:rPr>
        <w:t xml:space="preserve"> </w:t>
      </w:r>
      <w:r w:rsidRPr="00D15DF4">
        <w:rPr>
          <w:rFonts w:ascii="Century" w:hAnsi="Century" w:cs="Miriam" w:hint="eastAsia"/>
          <w:b/>
          <w:spacing w:val="0"/>
          <w:szCs w:val="24"/>
          <w:rtl/>
        </w:rPr>
        <w:t>ציון</w:t>
      </w:r>
      <w:r>
        <w:rPr>
          <w:rFonts w:hint="cs"/>
          <w:rtl/>
        </w:rPr>
        <w:t>. בתוך כך, עלינו להציב לנגד עינינו את ההצדקות של עקרון השבות, ובראשן "קיבוץ גלויות, הגדרה עצמית יהודית ותקומת העם היהודי במולדתו ההיסטורית" (</w:t>
      </w:r>
      <w:r w:rsidRPr="00D15DF4">
        <w:rPr>
          <w:rFonts w:ascii="Century" w:hAnsi="Century" w:cs="Miriam" w:hint="eastAsia"/>
          <w:b/>
          <w:spacing w:val="0"/>
          <w:szCs w:val="24"/>
          <w:rtl/>
        </w:rPr>
        <w:t>גביזון</w:t>
      </w:r>
      <w:r>
        <w:rPr>
          <w:rFonts w:hint="cs"/>
          <w:rtl/>
        </w:rPr>
        <w:t xml:space="preserve">, בעמ' 44). </w:t>
      </w:r>
    </w:p>
    <w:p w:rsidR="00D8481A" w:rsidRPr="00FF5ABE" w:rsidRDefault="00D8481A" w:rsidP="00D8481A">
      <w:pPr>
        <w:pStyle w:val="Ruller41"/>
        <w:rPr>
          <w:rFonts w:ascii="Century" w:hAnsi="Century" w:cs="Miriam"/>
          <w:b/>
          <w:spacing w:val="0"/>
          <w:szCs w:val="24"/>
          <w:rtl/>
        </w:rPr>
      </w:pPr>
    </w:p>
    <w:p w:rsidR="00D8481A" w:rsidRDefault="00D8481A" w:rsidP="00D8481A">
      <w:pPr>
        <w:pStyle w:val="Ruller41"/>
        <w:rPr>
          <w:rtl/>
        </w:rPr>
      </w:pPr>
      <w:r>
        <w:rPr>
          <w:rFonts w:hint="cs"/>
          <w:rtl/>
        </w:rPr>
        <w:t>9.</w:t>
      </w:r>
      <w:r>
        <w:rPr>
          <w:rFonts w:hint="cs"/>
          <w:rtl/>
        </w:rPr>
        <w:tab/>
        <w:t xml:space="preserve">אם כן, ולנוכח האמור, נבחן את תכליותיו של התיקון, ובפרט את אלו של סעיף 4א לחוק, שעניינו כאמור הרחבת מעגל הזכאים לשבות, גם למי שאינו יהודי כהגדרתו בסעיף </w:t>
      </w:r>
      <w:r w:rsidRPr="0044466B">
        <w:rPr>
          <w:rtl/>
        </w:rPr>
        <w:t>4ב</w:t>
      </w:r>
      <w:r>
        <w:rPr>
          <w:rFonts w:hint="cs"/>
          <w:rtl/>
        </w:rPr>
        <w:t xml:space="preserve"> לחוק. בית משפט זה כבר עמד על תכליות אלו (ראו למשל: </w:t>
      </w:r>
      <w:r w:rsidRPr="0049116A">
        <w:rPr>
          <w:rFonts w:hint="eastAsia"/>
          <w:rtl/>
        </w:rPr>
        <w:t>בג</w:t>
      </w:r>
      <w:r w:rsidRPr="0049116A">
        <w:rPr>
          <w:rtl/>
        </w:rPr>
        <w:t>"</w:t>
      </w:r>
      <w:r w:rsidRPr="0049116A">
        <w:rPr>
          <w:rFonts w:hint="eastAsia"/>
          <w:rtl/>
        </w:rPr>
        <w:t>ץ</w:t>
      </w:r>
      <w:r w:rsidRPr="0049116A">
        <w:rPr>
          <w:rtl/>
        </w:rPr>
        <w:t xml:space="preserve"> 6247/04 </w:t>
      </w:r>
      <w:r w:rsidRPr="00C2223F">
        <w:rPr>
          <w:rFonts w:ascii="Century" w:hAnsi="Century" w:cs="Miriam" w:hint="eastAsia"/>
          <w:b/>
          <w:spacing w:val="0"/>
          <w:szCs w:val="24"/>
          <w:rtl/>
        </w:rPr>
        <w:t>גורודצקי</w:t>
      </w:r>
      <w:r w:rsidRPr="00C2223F">
        <w:rPr>
          <w:rFonts w:ascii="Century" w:hAnsi="Century" w:cs="Miriam"/>
          <w:b/>
          <w:spacing w:val="0"/>
          <w:szCs w:val="24"/>
          <w:rtl/>
        </w:rPr>
        <w:t xml:space="preserve"> </w:t>
      </w:r>
      <w:r w:rsidRPr="00C2223F">
        <w:rPr>
          <w:rFonts w:ascii="Century" w:hAnsi="Century" w:cs="Miriam" w:hint="eastAsia"/>
          <w:b/>
          <w:spacing w:val="0"/>
          <w:szCs w:val="24"/>
          <w:rtl/>
        </w:rPr>
        <w:t>נ</w:t>
      </w:r>
      <w:r w:rsidRPr="00C2223F">
        <w:rPr>
          <w:rFonts w:ascii="Century" w:hAnsi="Century" w:cs="Miriam"/>
          <w:b/>
          <w:spacing w:val="0"/>
          <w:szCs w:val="24"/>
          <w:rtl/>
        </w:rPr>
        <w:t xml:space="preserve">' </w:t>
      </w:r>
      <w:r w:rsidRPr="00C2223F">
        <w:rPr>
          <w:rFonts w:ascii="Century" w:hAnsi="Century" w:cs="Miriam" w:hint="eastAsia"/>
          <w:b/>
          <w:spacing w:val="0"/>
          <w:szCs w:val="24"/>
          <w:rtl/>
        </w:rPr>
        <w:t>שר</w:t>
      </w:r>
      <w:r w:rsidRPr="00C2223F">
        <w:rPr>
          <w:rFonts w:ascii="Century" w:hAnsi="Century" w:cs="Miriam"/>
          <w:b/>
          <w:spacing w:val="0"/>
          <w:szCs w:val="24"/>
          <w:rtl/>
        </w:rPr>
        <w:t xml:space="preserve"> </w:t>
      </w:r>
      <w:r w:rsidRPr="00C2223F">
        <w:rPr>
          <w:rFonts w:ascii="Century" w:hAnsi="Century" w:cs="Miriam" w:hint="eastAsia"/>
          <w:b/>
          <w:spacing w:val="0"/>
          <w:szCs w:val="24"/>
          <w:rtl/>
        </w:rPr>
        <w:t>הפנים</w:t>
      </w:r>
      <w:r>
        <w:rPr>
          <w:rFonts w:hint="cs"/>
          <w:rtl/>
        </w:rPr>
        <w:t xml:space="preserve">, פס' 33 לפסק-דינה של השופטת </w:t>
      </w:r>
      <w:r w:rsidRPr="001A3806">
        <w:rPr>
          <w:rFonts w:ascii="Century" w:hAnsi="Century" w:cs="Miriam" w:hint="cs"/>
          <w:b/>
          <w:spacing w:val="0"/>
          <w:szCs w:val="24"/>
          <w:rtl/>
        </w:rPr>
        <w:t>ע' ארבל</w:t>
      </w:r>
      <w:r w:rsidRPr="003B35C0">
        <w:rPr>
          <w:rtl/>
        </w:rPr>
        <w:t xml:space="preserve"> (23.</w:t>
      </w:r>
      <w:r w:rsidRPr="003B35C0">
        <w:rPr>
          <w:rFonts w:hint="cs"/>
          <w:rtl/>
        </w:rPr>
        <w:t>3.</w:t>
      </w:r>
      <w:r w:rsidRPr="003B35C0">
        <w:rPr>
          <w:rtl/>
        </w:rPr>
        <w:t>2010)</w:t>
      </w:r>
      <w:r>
        <w:rPr>
          <w:rFonts w:hint="cs"/>
          <w:rtl/>
        </w:rPr>
        <w:t xml:space="preserve">), ובחינת הפסיקה בנושא מלמדת כי ניתן לסווגן, בעיקרו של דבר, לשתי "תכליות-אב" (בעניין זה ראו גם בפס' 27 בחוות-דעתו של חברי, השופט </w:t>
      </w:r>
      <w:r w:rsidRPr="0088373C">
        <w:rPr>
          <w:rFonts w:ascii="Century" w:hAnsi="Century" w:cs="Miriam" w:hint="eastAsia"/>
          <w:b/>
          <w:spacing w:val="0"/>
          <w:szCs w:val="24"/>
          <w:rtl/>
        </w:rPr>
        <w:t>סולברג</w:t>
      </w:r>
      <w:r>
        <w:rPr>
          <w:rFonts w:hint="cs"/>
          <w:rtl/>
        </w:rPr>
        <w:t xml:space="preserve">, אשר התייחס ל"הבדל </w:t>
      </w:r>
      <w:r w:rsidRPr="00D90D84">
        <w:rPr>
          <w:rFonts w:hint="cs"/>
          <w:rtl/>
        </w:rPr>
        <w:t>שבין טעמי זכאות עצמיים, אינטרינזיים, לבין טעמי זכאות מכשירניים, אינסטרומנטליים</w:t>
      </w:r>
      <w:r>
        <w:rPr>
          <w:rFonts w:hint="cs"/>
          <w:rtl/>
        </w:rPr>
        <w:t xml:space="preserve">"; </w:t>
      </w:r>
      <w:r>
        <w:rPr>
          <w:rFonts w:hint="cs"/>
          <w:rtl/>
        </w:rPr>
        <w:lastRenderedPageBreak/>
        <w:t xml:space="preserve">וכן ראו: </w:t>
      </w:r>
      <w:r w:rsidRPr="00784C6F">
        <w:rPr>
          <w:rFonts w:ascii="Century" w:hAnsi="Century"/>
          <w:rtl/>
        </w:rPr>
        <w:t xml:space="preserve">אשר מעוז "הבן הנשכח: על סעיף 4א(א) לחוק השבות ועל השמטה שבהיסח דעת" </w:t>
      </w:r>
      <w:r w:rsidRPr="00784C6F">
        <w:rPr>
          <w:rFonts w:ascii="Century" w:hAnsi="Century" w:cs="Miriam"/>
          <w:b/>
          <w:spacing w:val="0"/>
          <w:szCs w:val="24"/>
          <w:rtl/>
        </w:rPr>
        <w:t>הפרקליט</w:t>
      </w:r>
      <w:r w:rsidRPr="00784C6F">
        <w:rPr>
          <w:rFonts w:ascii="Century" w:hAnsi="Century"/>
          <w:rtl/>
        </w:rPr>
        <w:t xml:space="preserve"> לח </w:t>
      </w:r>
      <w:r>
        <w:rPr>
          <w:rFonts w:ascii="Century" w:hAnsi="Century" w:hint="cs"/>
          <w:rtl/>
        </w:rPr>
        <w:t>637, עמ' 640</w:t>
      </w:r>
      <w:r w:rsidRPr="00784C6F">
        <w:rPr>
          <w:rFonts w:ascii="Century" w:hAnsi="Century"/>
          <w:rtl/>
        </w:rPr>
        <w:t xml:space="preserve"> (</w:t>
      </w:r>
      <w:r>
        <w:rPr>
          <w:rFonts w:ascii="Century" w:hAnsi="Century" w:hint="cs"/>
          <w:rtl/>
        </w:rPr>
        <w:t>תשמ"ח-תשמ"ט</w:t>
      </w:r>
      <w:r w:rsidRPr="00784C6F">
        <w:rPr>
          <w:rFonts w:ascii="Century" w:hAnsi="Century"/>
          <w:rtl/>
        </w:rPr>
        <w:t>)</w:t>
      </w:r>
      <w:r>
        <w:rPr>
          <w:rFonts w:hint="cs"/>
          <w:rtl/>
        </w:rPr>
        <w:t>).</w:t>
      </w:r>
    </w:p>
    <w:p w:rsidR="00D8481A" w:rsidRDefault="00D8481A" w:rsidP="00D8481A">
      <w:pPr>
        <w:pStyle w:val="Ruller41"/>
        <w:rPr>
          <w:rtl/>
        </w:rPr>
      </w:pPr>
    </w:p>
    <w:p w:rsidR="00D8481A" w:rsidRDefault="00D8481A" w:rsidP="00D8481A">
      <w:pPr>
        <w:pStyle w:val="Ruller41"/>
        <w:rPr>
          <w:rtl/>
        </w:rPr>
      </w:pPr>
      <w:r>
        <w:rPr>
          <w:rtl/>
        </w:rPr>
        <w:tab/>
      </w:r>
      <w:r>
        <w:rPr>
          <w:rFonts w:ascii="Century" w:hAnsi="Century" w:cs="Miriam" w:hint="cs"/>
          <w:b/>
          <w:spacing w:val="0"/>
          <w:szCs w:val="24"/>
          <w:rtl/>
        </w:rPr>
        <w:t>ראשית</w:t>
      </w:r>
      <w:r>
        <w:rPr>
          <w:rFonts w:hint="cs"/>
          <w:rtl/>
        </w:rPr>
        <w:t xml:space="preserve">, הרחבת מעגל הזכאים לשבות נועדה לעודד עליית </w:t>
      </w:r>
      <w:r w:rsidRPr="00885FF5">
        <w:rPr>
          <w:rFonts w:ascii="Century" w:hAnsi="Century" w:cs="Miriam" w:hint="eastAsia"/>
          <w:b/>
          <w:spacing w:val="0"/>
          <w:szCs w:val="24"/>
          <w:rtl/>
        </w:rPr>
        <w:t>יהודים</w:t>
      </w:r>
      <w:r>
        <w:rPr>
          <w:rFonts w:hint="cs"/>
          <w:rtl/>
        </w:rPr>
        <w:t xml:space="preserve"> לישראל, בהתאם לתכלית חוק השבות, על דרך מתן אפשרות גם לבני משפחתם הקרובים לעלות עמם לארץ </w:t>
      </w:r>
      <w:r w:rsidRPr="0044466B">
        <w:rPr>
          <w:rFonts w:hint="eastAsia"/>
          <w:rtl/>
        </w:rPr>
        <w:t>ולקבל</w:t>
      </w:r>
      <w:r w:rsidRPr="0044466B">
        <w:rPr>
          <w:rtl/>
        </w:rPr>
        <w:t xml:space="preserve"> </w:t>
      </w:r>
      <w:r w:rsidRPr="0044466B">
        <w:rPr>
          <w:rFonts w:hint="eastAsia"/>
          <w:rtl/>
        </w:rPr>
        <w:t>אזרחות</w:t>
      </w:r>
      <w:r w:rsidRPr="0044466B">
        <w:rPr>
          <w:rtl/>
        </w:rPr>
        <w:t xml:space="preserve"> </w:t>
      </w:r>
      <w:r>
        <w:rPr>
          <w:rFonts w:hint="cs"/>
          <w:rtl/>
        </w:rPr>
        <w:t xml:space="preserve">באופן מיידי. כך, עליית יהודים ארצה לא תהא כרוכה בפיצול התא המשפחתי, אשר עלול להניא את היהודי מלממש את זכותו לעלות לארץ. </w:t>
      </w:r>
      <w:r w:rsidRPr="00782F15">
        <w:rPr>
          <w:rFonts w:ascii="Century" w:hAnsi="Century" w:cs="Miriam" w:hint="cs"/>
          <w:b/>
          <w:spacing w:val="0"/>
          <w:szCs w:val="24"/>
          <w:rtl/>
        </w:rPr>
        <w:t>זוהי תכליתו העיקרית של התיקון</w:t>
      </w:r>
      <w:r>
        <w:rPr>
          <w:rFonts w:hint="cs"/>
          <w:rtl/>
        </w:rPr>
        <w:t xml:space="preserve">, אשר בתורו נועד להגשים את מטרתו העיקרית של חוק השבות </w:t>
      </w:r>
      <w:r>
        <w:rPr>
          <w:rFonts w:hint="eastAsia"/>
          <w:rtl/>
        </w:rPr>
        <w:t>–</w:t>
      </w:r>
      <w:r>
        <w:rPr>
          <w:rFonts w:hint="cs"/>
          <w:rtl/>
        </w:rPr>
        <w:t xml:space="preserve"> עליית יהודים לארץ ישראל (ראו: בג"ץ 1188/10 </w:t>
      </w:r>
      <w:r w:rsidRPr="0068552F">
        <w:rPr>
          <w:rFonts w:ascii="Century" w:hAnsi="Century" w:cs="Miriam" w:hint="cs"/>
          <w:b/>
          <w:spacing w:val="0"/>
          <w:szCs w:val="24"/>
          <w:rtl/>
        </w:rPr>
        <w:t>פוזרסקי נ' משרד הפנים</w:t>
      </w:r>
      <w:r>
        <w:rPr>
          <w:rFonts w:hint="cs"/>
          <w:rtl/>
        </w:rPr>
        <w:t xml:space="preserve">, </w:t>
      </w:r>
      <w:r w:rsidRPr="007117CE">
        <w:rPr>
          <w:rFonts w:ascii="Century" w:hAnsi="Century" w:hint="cs"/>
          <w:rtl/>
        </w:rPr>
        <w:t>פס' 25 לפסק-דינה של המשנָה</w:t>
      </w:r>
      <w:r>
        <w:rPr>
          <w:rFonts w:hint="cs"/>
          <w:rtl/>
        </w:rPr>
        <w:t xml:space="preserve"> לנשיא </w:t>
      </w:r>
      <w:r w:rsidRPr="00E7227B">
        <w:rPr>
          <w:rFonts w:ascii="Century" w:hAnsi="Century" w:cs="Miriam" w:hint="cs"/>
          <w:b/>
          <w:spacing w:val="0"/>
          <w:szCs w:val="24"/>
          <w:rtl/>
        </w:rPr>
        <w:t>מ' נאור</w:t>
      </w:r>
      <w:r>
        <w:rPr>
          <w:rFonts w:hint="cs"/>
          <w:rtl/>
        </w:rPr>
        <w:t xml:space="preserve"> (31.7.2013); </w:t>
      </w:r>
      <w:r w:rsidRPr="00D83C6A">
        <w:rPr>
          <w:rtl/>
        </w:rPr>
        <w:t xml:space="preserve">בג"ץ 5517/16 </w:t>
      </w:r>
      <w:r w:rsidRPr="00D83C6A">
        <w:rPr>
          <w:rFonts w:ascii="Century" w:hAnsi="Century" w:cs="Miriam"/>
          <w:b/>
          <w:spacing w:val="0"/>
          <w:szCs w:val="24"/>
          <w:rtl/>
        </w:rPr>
        <w:t>יעקובוב נ' שר הפנים</w:t>
      </w:r>
      <w:r>
        <w:rPr>
          <w:rFonts w:hint="cs"/>
          <w:rtl/>
        </w:rPr>
        <w:t>, פס' 24</w:t>
      </w:r>
      <w:r w:rsidRPr="00D83C6A">
        <w:rPr>
          <w:rtl/>
        </w:rPr>
        <w:t xml:space="preserve"> (24.</w:t>
      </w:r>
      <w:r>
        <w:rPr>
          <w:rFonts w:hint="cs"/>
          <w:rtl/>
        </w:rPr>
        <w:t>4</w:t>
      </w:r>
      <w:r w:rsidRPr="00D83C6A">
        <w:rPr>
          <w:rtl/>
        </w:rPr>
        <w:t>.2018)</w:t>
      </w:r>
      <w:r>
        <w:rPr>
          <w:rFonts w:ascii="Century" w:hAnsi="Century" w:hint="cs"/>
          <w:rtl/>
        </w:rPr>
        <w:t xml:space="preserve">; בג"ץ 2597/99 </w:t>
      </w:r>
      <w:r w:rsidRPr="00D974E7">
        <w:rPr>
          <w:rFonts w:ascii="Century" w:hAnsi="Century" w:cs="Miriam" w:hint="cs"/>
          <w:b/>
          <w:spacing w:val="0"/>
          <w:szCs w:val="24"/>
          <w:rtl/>
        </w:rPr>
        <w:t>טושביים נ' שר הפנים</w:t>
      </w:r>
      <w:r>
        <w:rPr>
          <w:rFonts w:ascii="Century" w:hAnsi="Century" w:hint="cs"/>
          <w:rtl/>
        </w:rPr>
        <w:t>, פ"ד נח(5) 412, עמ' 446 (2004)</w:t>
      </w:r>
      <w:r w:rsidRPr="003A1FE4">
        <w:rPr>
          <w:rFonts w:ascii="Century" w:hAnsi="Century" w:hint="cs"/>
          <w:rtl/>
        </w:rPr>
        <w:t xml:space="preserve">; </w:t>
      </w:r>
      <w:r w:rsidRPr="0088373C">
        <w:rPr>
          <w:rFonts w:ascii="Century" w:hAnsi="Century"/>
          <w:rtl/>
        </w:rPr>
        <w:t xml:space="preserve">בג"ץ 265/87 </w:t>
      </w:r>
      <w:r w:rsidRPr="0088373C">
        <w:rPr>
          <w:rFonts w:ascii="Century" w:hAnsi="Century" w:cs="Miriam"/>
          <w:b/>
          <w:spacing w:val="0"/>
          <w:szCs w:val="24"/>
          <w:rtl/>
        </w:rPr>
        <w:t>ברספורד נ' משרד הפנים</w:t>
      </w:r>
      <w:r w:rsidRPr="0088373C">
        <w:rPr>
          <w:rFonts w:ascii="Century" w:hAnsi="Century"/>
          <w:rtl/>
        </w:rPr>
        <w:t xml:space="preserve">, פ"ד מג(4) 793, </w:t>
      </w:r>
      <w:r>
        <w:rPr>
          <w:rFonts w:ascii="Century" w:hAnsi="Century" w:hint="cs"/>
          <w:rtl/>
        </w:rPr>
        <w:t xml:space="preserve">עמ' </w:t>
      </w:r>
      <w:r w:rsidRPr="0088373C">
        <w:rPr>
          <w:rFonts w:ascii="Century" w:hAnsi="Century"/>
          <w:rtl/>
        </w:rPr>
        <w:t>83</w:t>
      </w:r>
      <w:r>
        <w:rPr>
          <w:rFonts w:ascii="Century" w:hAnsi="Century" w:hint="cs"/>
          <w:rtl/>
        </w:rPr>
        <w:t>4</w:t>
      </w:r>
      <w:r w:rsidRPr="0088373C">
        <w:rPr>
          <w:rFonts w:ascii="Century" w:hAnsi="Century"/>
          <w:rtl/>
        </w:rPr>
        <w:t xml:space="preserve"> (1989)</w:t>
      </w:r>
      <w:r>
        <w:rPr>
          <w:rFonts w:ascii="Century" w:hAnsi="Century" w:hint="cs"/>
          <w:rtl/>
        </w:rPr>
        <w:t>)</w:t>
      </w:r>
      <w:r>
        <w:rPr>
          <w:rFonts w:hint="cs"/>
          <w:rtl/>
        </w:rPr>
        <w:t>. יצוין, כי מטבע הדברים, כוחה של תכלית זו משתנה בהתאם לרמת הקרבה ליהודי; והמחוקק החליט להעביר את קו הגבול בנכדו של היהודי ובבן-זוגו. הא ותו לא.</w:t>
      </w:r>
      <w:r w:rsidDel="006923BE">
        <w:rPr>
          <w:rtl/>
        </w:rPr>
        <w:t xml:space="preserve"> </w:t>
      </w:r>
    </w:p>
    <w:p w:rsidR="00D8481A" w:rsidRDefault="00D8481A" w:rsidP="00D8481A">
      <w:pPr>
        <w:pStyle w:val="Ruller41"/>
        <w:rPr>
          <w:rtl/>
        </w:rPr>
      </w:pPr>
    </w:p>
    <w:p w:rsidR="00D8481A" w:rsidRDefault="00D8481A" w:rsidP="00D8481A">
      <w:pPr>
        <w:pStyle w:val="Ruller41"/>
        <w:rPr>
          <w:rtl/>
        </w:rPr>
      </w:pPr>
      <w:r w:rsidRPr="001B20DE">
        <w:rPr>
          <w:rFonts w:ascii="Century" w:hAnsi="Century"/>
          <w:rtl/>
        </w:rPr>
        <w:tab/>
      </w:r>
      <w:r w:rsidRPr="003D150D">
        <w:rPr>
          <w:rFonts w:ascii="Century" w:hAnsi="Century" w:cs="Miriam" w:hint="cs"/>
          <w:b/>
          <w:spacing w:val="0"/>
          <w:szCs w:val="24"/>
          <w:rtl/>
        </w:rPr>
        <w:t>שני</w:t>
      </w:r>
      <w:r>
        <w:rPr>
          <w:rFonts w:ascii="Century" w:hAnsi="Century" w:cs="Miriam" w:hint="cs"/>
          <w:b/>
          <w:spacing w:val="0"/>
          <w:szCs w:val="24"/>
          <w:rtl/>
        </w:rPr>
        <w:t>ת</w:t>
      </w:r>
      <w:r>
        <w:rPr>
          <w:rFonts w:ascii="Century" w:hAnsi="Century" w:hint="cs"/>
          <w:rtl/>
        </w:rPr>
        <w:t>,</w:t>
      </w:r>
      <w:r w:rsidRPr="001B20DE">
        <w:rPr>
          <w:rFonts w:ascii="Century" w:hAnsi="Century"/>
          <w:rtl/>
        </w:rPr>
        <w:t xml:space="preserve"> </w:t>
      </w:r>
      <w:r w:rsidRPr="001B20DE">
        <w:rPr>
          <w:rFonts w:ascii="Century" w:hAnsi="Century" w:hint="eastAsia"/>
          <w:rtl/>
        </w:rPr>
        <w:t>המחוקק</w:t>
      </w:r>
      <w:r w:rsidRPr="001B20DE">
        <w:rPr>
          <w:rFonts w:ascii="Century" w:hAnsi="Century"/>
          <w:rtl/>
        </w:rPr>
        <w:t xml:space="preserve"> ביקש להעניק </w:t>
      </w:r>
      <w:r>
        <w:rPr>
          <w:rFonts w:ascii="Century" w:hAnsi="Century" w:hint="cs"/>
          <w:rtl/>
        </w:rPr>
        <w:t xml:space="preserve">את הזכות לשבות המעוגנת בחוק השבות, </w:t>
      </w:r>
      <w:r>
        <w:rPr>
          <w:rFonts w:hint="cs"/>
          <w:rtl/>
        </w:rPr>
        <w:t xml:space="preserve">גם לבני משפחה של יהודי, שאינם עונים להגדרת "יהודי" בסעיף 4ב לחוק, על יסוד תפיסה כי </w:t>
      </w:r>
      <w:r>
        <w:rPr>
          <w:rFonts w:ascii="FrankRuehl" w:hAnsi="FrankRuehl" w:hint="cs"/>
          <w:color w:val="000000"/>
          <w:sz w:val="28"/>
          <w:rtl/>
        </w:rPr>
        <w:t xml:space="preserve">ניתן לראות בהם, במובנים מסוימים, </w:t>
      </w:r>
      <w:r w:rsidRPr="005F4836">
        <w:rPr>
          <w:rFonts w:ascii="Century" w:hAnsi="Century" w:hint="cs"/>
          <w:rtl/>
        </w:rPr>
        <w:t>כ"בנים לעם היהודי"</w:t>
      </w:r>
      <w:r>
        <w:rPr>
          <w:rFonts w:ascii="Century" w:hAnsi="Century" w:hint="cs"/>
          <w:rtl/>
        </w:rPr>
        <w:t xml:space="preserve"> </w:t>
      </w:r>
      <w:r w:rsidRPr="005F4836">
        <w:rPr>
          <w:rFonts w:ascii="Century" w:hAnsi="Century" w:hint="cs"/>
          <w:rtl/>
        </w:rPr>
        <w:t>(ראו</w:t>
      </w:r>
      <w:r w:rsidRPr="005F4836">
        <w:rPr>
          <w:rFonts w:ascii="Century" w:hAnsi="Century"/>
          <w:shd w:val="clear" w:color="auto" w:fill="FFFFFF"/>
          <w:rtl/>
        </w:rPr>
        <w:t xml:space="preserve"> יואב ארציאלי </w:t>
      </w:r>
      <w:r w:rsidRPr="005F4836">
        <w:rPr>
          <w:rFonts w:ascii="Century" w:hAnsi="Century" w:cs="Miriam"/>
          <w:b/>
          <w:spacing w:val="0"/>
          <w:szCs w:val="24"/>
          <w:shd w:val="clear" w:color="auto" w:fill="FFFFFF"/>
          <w:rtl/>
        </w:rPr>
        <w:t>אמנת גביזון</w:t>
      </w:r>
      <w:r>
        <w:rPr>
          <w:rFonts w:ascii="Century" w:hAnsi="Century" w:cs="Miriam" w:hint="cs"/>
          <w:b/>
          <w:spacing w:val="0"/>
          <w:szCs w:val="24"/>
          <w:shd w:val="clear" w:color="auto" w:fill="FFFFFF"/>
          <w:rtl/>
        </w:rPr>
        <w:t>-</w:t>
      </w:r>
      <w:r w:rsidRPr="005F4836">
        <w:rPr>
          <w:rFonts w:ascii="Century" w:hAnsi="Century" w:cs="Miriam"/>
          <w:b/>
          <w:spacing w:val="0"/>
          <w:szCs w:val="24"/>
          <w:shd w:val="clear" w:color="auto" w:fill="FFFFFF"/>
          <w:rtl/>
        </w:rPr>
        <w:t>מדן: עיקרים ועקרונות</w:t>
      </w:r>
      <w:r>
        <w:rPr>
          <w:rFonts w:ascii="FrankRuehl" w:hAnsi="FrankRuehl" w:hint="cs"/>
          <w:color w:val="000000"/>
          <w:sz w:val="28"/>
          <w:rtl/>
        </w:rPr>
        <w:t>, עמ' 27-23 (2003));</w:t>
      </w:r>
      <w:r w:rsidRPr="003A1FE4">
        <w:rPr>
          <w:rFonts w:ascii="FrankRuehl" w:hAnsi="FrankRuehl" w:hint="cs"/>
          <w:color w:val="000000"/>
          <w:sz w:val="28"/>
          <w:rtl/>
        </w:rPr>
        <w:t xml:space="preserve"> </w:t>
      </w:r>
      <w:r>
        <w:rPr>
          <w:rFonts w:ascii="FrankRuehl" w:hAnsi="FrankRuehl" w:hint="cs"/>
          <w:color w:val="000000"/>
          <w:sz w:val="28"/>
          <w:rtl/>
        </w:rPr>
        <w:t>או "</w:t>
      </w:r>
      <w:r>
        <w:rPr>
          <w:rFonts w:ascii="FrankRuehl" w:hAnsi="FrankRuehl"/>
          <w:color w:val="000000"/>
          <w:sz w:val="28"/>
          <w:rtl/>
        </w:rPr>
        <w:t>כמי שסיפחו עצמם לעם היהוד</w:t>
      </w:r>
      <w:r>
        <w:rPr>
          <w:rFonts w:hint="cs"/>
          <w:rtl/>
        </w:rPr>
        <w:t xml:space="preserve">י" (עניין </w:t>
      </w:r>
      <w:r w:rsidRPr="00767A75">
        <w:rPr>
          <w:rFonts w:ascii="Century" w:hAnsi="Century" w:cs="Miriam" w:hint="cs"/>
          <w:b/>
          <w:spacing w:val="0"/>
          <w:szCs w:val="24"/>
          <w:rtl/>
        </w:rPr>
        <w:t>סטמקה</w:t>
      </w:r>
      <w:r>
        <w:rPr>
          <w:rFonts w:hint="cs"/>
          <w:rtl/>
        </w:rPr>
        <w:t xml:space="preserve">, בעמ' 756; ראו לעניין זה גם את דברי השופטת </w:t>
      </w:r>
      <w:r w:rsidRPr="0088373C">
        <w:rPr>
          <w:rFonts w:ascii="Century" w:hAnsi="Century" w:cs="Miriam" w:hint="eastAsia"/>
          <w:b/>
          <w:spacing w:val="0"/>
          <w:szCs w:val="24"/>
          <w:rtl/>
        </w:rPr>
        <w:t>ארבל</w:t>
      </w:r>
      <w:r>
        <w:rPr>
          <w:rFonts w:hint="cs"/>
          <w:rtl/>
        </w:rPr>
        <w:t xml:space="preserve">, אשר התייחסה לתכלית הרחבת מעגל הזכאים לשבות כ"איזון בין ההגדרה המסורתית לבין ההגדרה הלאומית של המונח 'יהודי' בחוק השבות" (עניין </w:t>
      </w:r>
      <w:r w:rsidRPr="00675C2E">
        <w:rPr>
          <w:rFonts w:ascii="Century" w:hAnsi="Century" w:cs="Miriam" w:hint="cs"/>
          <w:b/>
          <w:spacing w:val="0"/>
          <w:szCs w:val="24"/>
          <w:rtl/>
        </w:rPr>
        <w:t>גורודצקי</w:t>
      </w:r>
      <w:r>
        <w:rPr>
          <w:rFonts w:hint="cs"/>
          <w:rtl/>
        </w:rPr>
        <w:t>, בפס' 33)).</w:t>
      </w:r>
    </w:p>
    <w:p w:rsidR="00D8481A" w:rsidRDefault="00D8481A" w:rsidP="00D8481A">
      <w:pPr>
        <w:pStyle w:val="Ruller41"/>
        <w:rPr>
          <w:rtl/>
        </w:rPr>
      </w:pPr>
    </w:p>
    <w:p w:rsidR="00D8481A" w:rsidRDefault="00D8481A" w:rsidP="00D8481A">
      <w:pPr>
        <w:pStyle w:val="Ruller41"/>
        <w:rPr>
          <w:rFonts w:ascii="Century" w:hAnsi="Century"/>
          <w:shd w:val="clear" w:color="auto" w:fill="FFFFFF"/>
          <w:rtl/>
        </w:rPr>
      </w:pPr>
      <w:r>
        <w:rPr>
          <w:rFonts w:hint="cs"/>
          <w:rtl/>
        </w:rPr>
        <w:t>10.</w:t>
      </w:r>
      <w:r>
        <w:rPr>
          <w:rFonts w:hint="cs"/>
          <w:rtl/>
        </w:rPr>
        <w:tab/>
        <w:t xml:space="preserve">אם כן, בראי תכליות אלו של התיקון, נבחן את הסוגיה שלפנינו </w:t>
      </w:r>
      <w:r>
        <w:rPr>
          <w:rFonts w:hint="eastAsia"/>
          <w:rtl/>
        </w:rPr>
        <w:t>–</w:t>
      </w:r>
      <w:r>
        <w:rPr>
          <w:rFonts w:hint="cs"/>
          <w:rtl/>
        </w:rPr>
        <w:t xml:space="preserve"> האם אלמן בא בגדר המונח </w:t>
      </w:r>
      <w:r>
        <w:rPr>
          <w:rFonts w:ascii="Century" w:hAnsi="Century" w:hint="cs"/>
          <w:shd w:val="clear" w:color="auto" w:fill="FFFFFF"/>
          <w:rtl/>
        </w:rPr>
        <w:t>"בן-זוג" של צאצא, שבסעיף 4א(א) ל</w:t>
      </w:r>
      <w:r>
        <w:rPr>
          <w:rFonts w:hint="cs"/>
          <w:rtl/>
        </w:rPr>
        <w:t>חוק</w:t>
      </w:r>
      <w:r>
        <w:rPr>
          <w:rFonts w:ascii="Century" w:hAnsi="Century" w:hint="cs"/>
          <w:shd w:val="clear" w:color="auto" w:fill="FFFFFF"/>
          <w:rtl/>
        </w:rPr>
        <w:t>?</w:t>
      </w:r>
    </w:p>
    <w:p w:rsidR="00D8481A" w:rsidRDefault="00D8481A" w:rsidP="00D8481A">
      <w:pPr>
        <w:pStyle w:val="Ruller41"/>
        <w:rPr>
          <w:rtl/>
        </w:rPr>
      </w:pPr>
    </w:p>
    <w:p w:rsidR="00D8481A" w:rsidRDefault="00D8481A" w:rsidP="00D8481A">
      <w:pPr>
        <w:pStyle w:val="Ruller41"/>
        <w:rPr>
          <w:rtl/>
        </w:rPr>
      </w:pPr>
      <w:r>
        <w:rPr>
          <w:rFonts w:hint="cs"/>
          <w:rtl/>
        </w:rPr>
        <w:t xml:space="preserve">11. </w:t>
      </w:r>
      <w:r>
        <w:rPr>
          <w:rtl/>
        </w:rPr>
        <w:tab/>
      </w:r>
      <w:r>
        <w:rPr>
          <w:rFonts w:hint="cs"/>
          <w:rtl/>
        </w:rPr>
        <w:t xml:space="preserve">מטעמים שיפורטו להלן, אני סבורה כי שתי התכליות האמורות של התיקון לחוק, אינן רלוונטיות לאלמן או לאלמנה של </w:t>
      </w:r>
      <w:r w:rsidRPr="008A179F">
        <w:rPr>
          <w:rFonts w:ascii="Century" w:hAnsi="Century" w:cs="Miriam" w:hint="eastAsia"/>
          <w:b/>
          <w:spacing w:val="0"/>
          <w:szCs w:val="24"/>
          <w:rtl/>
        </w:rPr>
        <w:t>צאצא</w:t>
      </w:r>
      <w:r>
        <w:rPr>
          <w:rFonts w:hint="cs"/>
          <w:rtl/>
        </w:rPr>
        <w:t xml:space="preserve">; ולפיכך, אין לפרש את המונח "בן-זוג" של צאצא ככולל גם אלמן או אלמנה. </w:t>
      </w:r>
    </w:p>
    <w:p w:rsidR="00D8481A" w:rsidRDefault="00D8481A" w:rsidP="00D8481A">
      <w:pPr>
        <w:pStyle w:val="Ruller41"/>
        <w:rPr>
          <w:rtl/>
        </w:rPr>
      </w:pPr>
    </w:p>
    <w:p w:rsidR="00D8481A" w:rsidRDefault="00D8481A" w:rsidP="00D8481A">
      <w:pPr>
        <w:pStyle w:val="Ruller41"/>
        <w:rPr>
          <w:rtl/>
        </w:rPr>
      </w:pPr>
      <w:r>
        <w:rPr>
          <w:rFonts w:hint="cs"/>
          <w:rtl/>
        </w:rPr>
        <w:t>12.</w:t>
      </w:r>
      <w:r>
        <w:rPr>
          <w:rtl/>
        </w:rPr>
        <w:tab/>
      </w:r>
      <w:r>
        <w:rPr>
          <w:rFonts w:hint="cs"/>
          <w:rtl/>
        </w:rPr>
        <w:t xml:space="preserve">בעיקרו של דבר, </w:t>
      </w:r>
      <w:r w:rsidRPr="00D15DF4">
        <w:rPr>
          <w:rtl/>
        </w:rPr>
        <w:t xml:space="preserve"> </w:t>
      </w:r>
      <w:r w:rsidRPr="00D15DF4">
        <w:rPr>
          <w:rFonts w:hint="eastAsia"/>
          <w:rtl/>
        </w:rPr>
        <w:t>הענקת</w:t>
      </w:r>
      <w:r w:rsidRPr="00D15DF4">
        <w:rPr>
          <w:rtl/>
        </w:rPr>
        <w:t xml:space="preserve"> </w:t>
      </w:r>
      <w:r w:rsidRPr="00D15DF4">
        <w:rPr>
          <w:rFonts w:hint="eastAsia"/>
          <w:rtl/>
        </w:rPr>
        <w:t>זכות</w:t>
      </w:r>
      <w:r w:rsidRPr="00D15DF4">
        <w:rPr>
          <w:rtl/>
        </w:rPr>
        <w:t xml:space="preserve"> </w:t>
      </w:r>
      <w:r w:rsidRPr="00D15DF4">
        <w:rPr>
          <w:rFonts w:hint="eastAsia"/>
          <w:rtl/>
        </w:rPr>
        <w:t>שבות</w:t>
      </w:r>
      <w:r w:rsidRPr="00D15DF4">
        <w:rPr>
          <w:rtl/>
        </w:rPr>
        <w:t xml:space="preserve"> </w:t>
      </w:r>
      <w:r w:rsidRPr="00D15DF4">
        <w:rPr>
          <w:rFonts w:hint="eastAsia"/>
          <w:rtl/>
        </w:rPr>
        <w:t>ל</w:t>
      </w:r>
      <w:r w:rsidRPr="00D15DF4">
        <w:rPr>
          <w:rtl/>
        </w:rPr>
        <w:t>"</w:t>
      </w:r>
      <w:r w:rsidRPr="00D15DF4">
        <w:rPr>
          <w:rFonts w:hint="eastAsia"/>
          <w:rtl/>
        </w:rPr>
        <w:t>בן</w:t>
      </w:r>
      <w:r w:rsidRPr="00D15DF4">
        <w:rPr>
          <w:rtl/>
        </w:rPr>
        <w:t>-</w:t>
      </w:r>
      <w:r w:rsidRPr="00D15DF4">
        <w:rPr>
          <w:rFonts w:hint="eastAsia"/>
          <w:rtl/>
        </w:rPr>
        <w:t>זוג</w:t>
      </w:r>
      <w:r w:rsidRPr="00D15DF4">
        <w:rPr>
          <w:rtl/>
        </w:rPr>
        <w:t xml:space="preserve">" של צאצא נועדה </w:t>
      </w:r>
      <w:r w:rsidRPr="00D15DF4">
        <w:rPr>
          <w:rFonts w:hint="eastAsia"/>
          <w:rtl/>
        </w:rPr>
        <w:t>לעודד</w:t>
      </w:r>
      <w:r w:rsidRPr="00D15DF4">
        <w:rPr>
          <w:rtl/>
        </w:rPr>
        <w:t xml:space="preserve"> </w:t>
      </w:r>
      <w:r w:rsidRPr="00D15DF4">
        <w:rPr>
          <w:rFonts w:hint="eastAsia"/>
          <w:rtl/>
        </w:rPr>
        <w:t>את</w:t>
      </w:r>
      <w:r w:rsidRPr="00D15DF4">
        <w:rPr>
          <w:rtl/>
        </w:rPr>
        <w:t xml:space="preserve"> </w:t>
      </w:r>
      <w:r w:rsidRPr="00D15DF4">
        <w:rPr>
          <w:rFonts w:hint="eastAsia"/>
          <w:rtl/>
        </w:rPr>
        <w:t>ה</w:t>
      </w:r>
      <w:r>
        <w:rPr>
          <w:rFonts w:hint="cs"/>
          <w:rtl/>
        </w:rPr>
        <w:t xml:space="preserve">יהודי ואת </w:t>
      </w:r>
      <w:r w:rsidRPr="00D15DF4">
        <w:rPr>
          <w:rFonts w:hint="eastAsia"/>
          <w:rtl/>
        </w:rPr>
        <w:t>צאצא</w:t>
      </w:r>
      <w:r>
        <w:rPr>
          <w:rFonts w:hint="cs"/>
          <w:rtl/>
        </w:rPr>
        <w:t>יו</w:t>
      </w:r>
      <w:r w:rsidRPr="00D15DF4">
        <w:rPr>
          <w:rtl/>
        </w:rPr>
        <w:t xml:space="preserve"> </w:t>
      </w:r>
      <w:r w:rsidRPr="00D15DF4">
        <w:rPr>
          <w:rFonts w:hint="eastAsia"/>
          <w:rtl/>
        </w:rPr>
        <w:t>לעלות</w:t>
      </w:r>
      <w:r w:rsidRPr="00D15DF4">
        <w:rPr>
          <w:rtl/>
        </w:rPr>
        <w:t xml:space="preserve"> </w:t>
      </w:r>
      <w:r w:rsidRPr="00D15DF4">
        <w:rPr>
          <w:rFonts w:hint="eastAsia"/>
          <w:rtl/>
        </w:rPr>
        <w:t>לישראל</w:t>
      </w:r>
      <w:r w:rsidRPr="00D15DF4">
        <w:rPr>
          <w:rtl/>
        </w:rPr>
        <w:t xml:space="preserve"> </w:t>
      </w:r>
      <w:r w:rsidRPr="00D15DF4">
        <w:rPr>
          <w:rFonts w:hint="eastAsia"/>
          <w:rtl/>
        </w:rPr>
        <w:t>בלי</w:t>
      </w:r>
      <w:r w:rsidRPr="00D15DF4">
        <w:rPr>
          <w:rtl/>
        </w:rPr>
        <w:t xml:space="preserve"> </w:t>
      </w:r>
      <w:r w:rsidRPr="00D15DF4">
        <w:rPr>
          <w:rFonts w:hint="eastAsia"/>
          <w:rtl/>
        </w:rPr>
        <w:t>לגרום</w:t>
      </w:r>
      <w:r w:rsidRPr="00D15DF4">
        <w:rPr>
          <w:rtl/>
        </w:rPr>
        <w:t xml:space="preserve"> </w:t>
      </w:r>
      <w:r w:rsidRPr="00D15DF4">
        <w:rPr>
          <w:rFonts w:hint="eastAsia"/>
          <w:rtl/>
        </w:rPr>
        <w:t>לפירוק</w:t>
      </w:r>
      <w:r w:rsidRPr="00D15DF4">
        <w:rPr>
          <w:rtl/>
        </w:rPr>
        <w:t xml:space="preserve"> </w:t>
      </w:r>
      <w:r w:rsidRPr="00D15DF4">
        <w:rPr>
          <w:rFonts w:hint="eastAsia"/>
          <w:rtl/>
        </w:rPr>
        <w:t>התא</w:t>
      </w:r>
      <w:r w:rsidRPr="00D15DF4">
        <w:rPr>
          <w:rtl/>
        </w:rPr>
        <w:t xml:space="preserve"> </w:t>
      </w:r>
      <w:r w:rsidRPr="00D15DF4">
        <w:rPr>
          <w:rFonts w:hint="eastAsia"/>
          <w:rtl/>
        </w:rPr>
        <w:t>המשפחתי</w:t>
      </w:r>
      <w:r>
        <w:rPr>
          <w:rFonts w:hint="cs"/>
          <w:rtl/>
        </w:rPr>
        <w:t xml:space="preserve"> (התכלית הראשונה שהוזכרה לעיל)</w:t>
      </w:r>
      <w:r w:rsidRPr="00D15DF4">
        <w:rPr>
          <w:rtl/>
        </w:rPr>
        <w:t>.</w:t>
      </w:r>
      <w:r>
        <w:rPr>
          <w:rFonts w:hint="cs"/>
          <w:rtl/>
        </w:rPr>
        <w:t xml:space="preserve"> מכאן נובע, כי זכותו לשבות של בן הזוג של הצאצא אינה עומדת בפני עצמה, כי אם נלווית, במהותה, לזכות השבות של הצאצא ותלויה בה </w:t>
      </w:r>
      <w:r w:rsidRPr="0088373C">
        <w:rPr>
          <w:rtl/>
        </w:rPr>
        <w:t>(ראו</w:t>
      </w:r>
      <w:r>
        <w:rPr>
          <w:rFonts w:hint="cs"/>
          <w:rtl/>
        </w:rPr>
        <w:t>:</w:t>
      </w:r>
      <w:r w:rsidRPr="0088373C">
        <w:rPr>
          <w:rtl/>
        </w:rPr>
        <w:t xml:space="preserve"> </w:t>
      </w:r>
      <w:r w:rsidRPr="000F34AE">
        <w:rPr>
          <w:rFonts w:hint="eastAsia"/>
          <w:rtl/>
        </w:rPr>
        <w:lastRenderedPageBreak/>
        <w:t>בג</w:t>
      </w:r>
      <w:r w:rsidRPr="000F34AE">
        <w:rPr>
          <w:rtl/>
        </w:rPr>
        <w:t>"</w:t>
      </w:r>
      <w:r w:rsidRPr="000F34AE">
        <w:rPr>
          <w:rFonts w:hint="eastAsia"/>
          <w:rtl/>
        </w:rPr>
        <w:t>ץ</w:t>
      </w:r>
      <w:r w:rsidRPr="000F34AE">
        <w:rPr>
          <w:rtl/>
        </w:rPr>
        <w:t xml:space="preserve"> 8030/03 </w:t>
      </w:r>
      <w:r w:rsidRPr="000E7097">
        <w:rPr>
          <w:rFonts w:ascii="Century" w:hAnsi="Century" w:cs="Miriam" w:hint="eastAsia"/>
          <w:b/>
          <w:spacing w:val="0"/>
          <w:szCs w:val="24"/>
          <w:rtl/>
        </w:rPr>
        <w:t>סמוילוב</w:t>
      </w:r>
      <w:r w:rsidRPr="000E7097">
        <w:rPr>
          <w:rFonts w:ascii="Century" w:hAnsi="Century" w:cs="Miriam"/>
          <w:b/>
          <w:spacing w:val="0"/>
          <w:szCs w:val="24"/>
          <w:rtl/>
        </w:rPr>
        <w:t xml:space="preserve"> </w:t>
      </w:r>
      <w:r w:rsidRPr="000E7097">
        <w:rPr>
          <w:rFonts w:ascii="Century" w:hAnsi="Century" w:cs="Miriam" w:hint="eastAsia"/>
          <w:b/>
          <w:spacing w:val="0"/>
          <w:szCs w:val="24"/>
          <w:rtl/>
        </w:rPr>
        <w:t>נ</w:t>
      </w:r>
      <w:r w:rsidRPr="000E7097">
        <w:rPr>
          <w:rFonts w:ascii="Century" w:hAnsi="Century" w:cs="Miriam"/>
          <w:b/>
          <w:spacing w:val="0"/>
          <w:szCs w:val="24"/>
          <w:rtl/>
        </w:rPr>
        <w:t xml:space="preserve">' </w:t>
      </w:r>
      <w:r w:rsidRPr="000E7097">
        <w:rPr>
          <w:rFonts w:ascii="Century" w:hAnsi="Century" w:cs="Miriam" w:hint="eastAsia"/>
          <w:b/>
          <w:spacing w:val="0"/>
          <w:szCs w:val="24"/>
          <w:rtl/>
        </w:rPr>
        <w:t>משרד</w:t>
      </w:r>
      <w:r w:rsidRPr="000E7097">
        <w:rPr>
          <w:rFonts w:ascii="Century" w:hAnsi="Century" w:cs="Miriam"/>
          <w:b/>
          <w:spacing w:val="0"/>
          <w:szCs w:val="24"/>
          <w:rtl/>
        </w:rPr>
        <w:t xml:space="preserve"> </w:t>
      </w:r>
      <w:r w:rsidRPr="000E7097">
        <w:rPr>
          <w:rFonts w:ascii="Century" w:hAnsi="Century" w:cs="Miriam" w:hint="eastAsia"/>
          <w:b/>
          <w:spacing w:val="0"/>
          <w:szCs w:val="24"/>
          <w:rtl/>
        </w:rPr>
        <w:t>הפנים</w:t>
      </w:r>
      <w:r w:rsidRPr="000F34AE">
        <w:rPr>
          <w:rtl/>
        </w:rPr>
        <w:t xml:space="preserve">, </w:t>
      </w:r>
      <w:r w:rsidRPr="000F34AE">
        <w:rPr>
          <w:rFonts w:hint="eastAsia"/>
          <w:rtl/>
        </w:rPr>
        <w:t>נח</w:t>
      </w:r>
      <w:r w:rsidRPr="000F34AE">
        <w:rPr>
          <w:rtl/>
        </w:rPr>
        <w:t>(6) 115</w:t>
      </w:r>
      <w:r>
        <w:rPr>
          <w:rFonts w:hint="cs"/>
          <w:rtl/>
        </w:rPr>
        <w:t>, פס' 9</w:t>
      </w:r>
      <w:r w:rsidRPr="000F34AE">
        <w:rPr>
          <w:rtl/>
        </w:rPr>
        <w:t xml:space="preserve"> (2004)</w:t>
      </w:r>
      <w:r>
        <w:rPr>
          <w:rFonts w:hint="cs"/>
          <w:rtl/>
        </w:rPr>
        <w:t>; עניין</w:t>
      </w:r>
      <w:r w:rsidRPr="0088373C">
        <w:rPr>
          <w:rtl/>
        </w:rPr>
        <w:t xml:space="preserve"> </w:t>
      </w:r>
      <w:r w:rsidRPr="0088373C">
        <w:rPr>
          <w:rFonts w:ascii="Century" w:hAnsi="Century" w:cs="Miriam" w:hint="eastAsia"/>
          <w:b/>
          <w:spacing w:val="0"/>
          <w:szCs w:val="24"/>
          <w:rtl/>
        </w:rPr>
        <w:t>ברספורד</w:t>
      </w:r>
      <w:r w:rsidRPr="0088373C">
        <w:rPr>
          <w:rtl/>
        </w:rPr>
        <w:t xml:space="preserve">, </w:t>
      </w:r>
      <w:r>
        <w:rPr>
          <w:rFonts w:hint="cs"/>
          <w:rtl/>
        </w:rPr>
        <w:t xml:space="preserve">בעמ' </w:t>
      </w:r>
      <w:r w:rsidRPr="0088373C">
        <w:rPr>
          <w:rtl/>
        </w:rPr>
        <w:t>83</w:t>
      </w:r>
      <w:r>
        <w:rPr>
          <w:rFonts w:hint="cs"/>
          <w:rtl/>
        </w:rPr>
        <w:t>5</w:t>
      </w:r>
      <w:r w:rsidRPr="0088373C">
        <w:rPr>
          <w:rtl/>
        </w:rPr>
        <w:t>)</w:t>
      </w:r>
      <w:r>
        <w:rPr>
          <w:rFonts w:hint="cs"/>
          <w:rtl/>
        </w:rPr>
        <w:t>. לפיכך, כאשר לא מתקיימת התכלית שעניינה עידוד הצאצא לעלות לארץ (</w:t>
      </w:r>
      <w:r w:rsidRPr="00D65730">
        <w:rPr>
          <w:rtl/>
        </w:rPr>
        <w:t>הן בעקבות פטירה</w:t>
      </w:r>
      <w:r>
        <w:rPr>
          <w:rFonts w:hint="cs"/>
          <w:rtl/>
        </w:rPr>
        <w:t>,</w:t>
      </w:r>
      <w:r w:rsidRPr="00D65730">
        <w:rPr>
          <w:rtl/>
        </w:rPr>
        <w:t xml:space="preserve"> הן מסיבה אחרת)</w:t>
      </w:r>
      <w:r>
        <w:rPr>
          <w:rFonts w:hint="cs"/>
          <w:rtl/>
        </w:rPr>
        <w:t xml:space="preserve">, </w:t>
      </w:r>
      <w:r w:rsidRPr="00D15DF4">
        <w:rPr>
          <w:rFonts w:hint="eastAsia"/>
          <w:rtl/>
        </w:rPr>
        <w:t>דומה</w:t>
      </w:r>
      <w:r w:rsidRPr="00D15DF4">
        <w:rPr>
          <w:rtl/>
        </w:rPr>
        <w:t xml:space="preserve"> </w:t>
      </w:r>
      <w:r w:rsidRPr="00D15DF4">
        <w:rPr>
          <w:rFonts w:hint="eastAsia"/>
          <w:rtl/>
        </w:rPr>
        <w:t>כי</w:t>
      </w:r>
      <w:r w:rsidRPr="00D15DF4">
        <w:rPr>
          <w:rtl/>
        </w:rPr>
        <w:t xml:space="preserve"> </w:t>
      </w:r>
      <w:r w:rsidRPr="00D15DF4">
        <w:rPr>
          <w:rFonts w:hint="eastAsia"/>
          <w:rtl/>
        </w:rPr>
        <w:t>נשמט</w:t>
      </w:r>
      <w:r w:rsidRPr="00D15DF4">
        <w:rPr>
          <w:rtl/>
        </w:rPr>
        <w:t xml:space="preserve"> </w:t>
      </w:r>
      <w:r w:rsidRPr="00D15DF4">
        <w:rPr>
          <w:rFonts w:hint="eastAsia"/>
          <w:rtl/>
        </w:rPr>
        <w:t>הבסיס</w:t>
      </w:r>
      <w:r w:rsidRPr="00D15DF4">
        <w:rPr>
          <w:rtl/>
        </w:rPr>
        <w:t xml:space="preserve"> </w:t>
      </w:r>
      <w:r w:rsidRPr="00D15DF4">
        <w:rPr>
          <w:rFonts w:hint="eastAsia"/>
          <w:rtl/>
        </w:rPr>
        <w:t>תחת</w:t>
      </w:r>
      <w:r w:rsidRPr="00D15DF4">
        <w:rPr>
          <w:rtl/>
        </w:rPr>
        <w:t xml:space="preserve"> </w:t>
      </w:r>
      <w:r w:rsidRPr="00D15DF4">
        <w:rPr>
          <w:rFonts w:hint="eastAsia"/>
          <w:rtl/>
        </w:rPr>
        <w:t>ההצדקה</w:t>
      </w:r>
      <w:r w:rsidRPr="00D15DF4">
        <w:rPr>
          <w:rtl/>
        </w:rPr>
        <w:t xml:space="preserve"> </w:t>
      </w:r>
      <w:r w:rsidRPr="00D15DF4">
        <w:rPr>
          <w:rFonts w:hint="eastAsia"/>
          <w:rtl/>
        </w:rPr>
        <w:t>לזכות</w:t>
      </w:r>
      <w:r w:rsidRPr="00D15DF4">
        <w:rPr>
          <w:rtl/>
        </w:rPr>
        <w:t xml:space="preserve"> </w:t>
      </w:r>
      <w:r w:rsidRPr="00D15DF4">
        <w:rPr>
          <w:rFonts w:hint="eastAsia"/>
          <w:rtl/>
        </w:rPr>
        <w:t>השבות</w:t>
      </w:r>
      <w:r w:rsidRPr="00D15DF4">
        <w:rPr>
          <w:rtl/>
        </w:rPr>
        <w:t xml:space="preserve"> </w:t>
      </w:r>
      <w:r w:rsidRPr="00D15DF4">
        <w:rPr>
          <w:rFonts w:hint="eastAsia"/>
          <w:rtl/>
        </w:rPr>
        <w:t>של</w:t>
      </w:r>
      <w:r w:rsidRPr="00D15DF4">
        <w:rPr>
          <w:rtl/>
        </w:rPr>
        <w:t xml:space="preserve"> </w:t>
      </w:r>
      <w:r w:rsidRPr="00D15DF4">
        <w:rPr>
          <w:rFonts w:hint="eastAsia"/>
          <w:rtl/>
        </w:rPr>
        <w:t>בן</w:t>
      </w:r>
      <w:r w:rsidRPr="00D15DF4">
        <w:rPr>
          <w:rtl/>
        </w:rPr>
        <w:t>-</w:t>
      </w:r>
      <w:r w:rsidRPr="00D15DF4">
        <w:rPr>
          <w:rFonts w:hint="eastAsia"/>
          <w:rtl/>
        </w:rPr>
        <w:t>זוגו</w:t>
      </w:r>
      <w:r>
        <w:rPr>
          <w:rFonts w:hint="cs"/>
          <w:rtl/>
        </w:rPr>
        <w:t xml:space="preserve"> (ראו והשוו: עניין </w:t>
      </w:r>
      <w:r w:rsidRPr="00DC32BA">
        <w:rPr>
          <w:rFonts w:ascii="Century" w:hAnsi="Century" w:cs="Miriam" w:hint="eastAsia"/>
          <w:b/>
          <w:spacing w:val="0"/>
          <w:szCs w:val="24"/>
          <w:rtl/>
        </w:rPr>
        <w:t>סמוליוב</w:t>
      </w:r>
      <w:r>
        <w:rPr>
          <w:rFonts w:hint="cs"/>
          <w:rtl/>
        </w:rPr>
        <w:t>, בפס' 13-12).</w:t>
      </w:r>
    </w:p>
    <w:p w:rsidR="00D8481A" w:rsidRDefault="00D8481A" w:rsidP="00D8481A">
      <w:pPr>
        <w:pStyle w:val="Ruller41"/>
        <w:rPr>
          <w:rtl/>
        </w:rPr>
      </w:pPr>
    </w:p>
    <w:p w:rsidR="00D8481A" w:rsidRDefault="00D8481A" w:rsidP="00D8481A">
      <w:pPr>
        <w:pStyle w:val="Ruller41"/>
        <w:rPr>
          <w:rtl/>
        </w:rPr>
      </w:pPr>
      <w:r>
        <w:rPr>
          <w:rFonts w:hint="cs"/>
          <w:rtl/>
        </w:rPr>
        <w:t>13.</w:t>
      </w:r>
      <w:r>
        <w:rPr>
          <w:rtl/>
        </w:rPr>
        <w:tab/>
      </w:r>
      <w:r>
        <w:rPr>
          <w:rFonts w:hint="cs"/>
          <w:rtl/>
        </w:rPr>
        <w:t xml:space="preserve">מסקנה זו עולה בקנה אחד אף עם כוונתו הסובייקטיבית של המחוקק, כפי שזו משתקפת בהליכי חקיקת התיקון. </w:t>
      </w:r>
      <w:r w:rsidRPr="00DC32BA">
        <w:rPr>
          <w:rFonts w:hint="eastAsia"/>
          <w:rtl/>
        </w:rPr>
        <w:t>כך</w:t>
      </w:r>
      <w:r w:rsidRPr="00DC32BA">
        <w:rPr>
          <w:rtl/>
        </w:rPr>
        <w:t>,</w:t>
      </w:r>
      <w:r>
        <w:rPr>
          <w:rFonts w:hint="cs"/>
          <w:rtl/>
        </w:rPr>
        <w:t xml:space="preserve"> למשל, במהלך הדיון בנוסח התיקון ציין</w:t>
      </w:r>
      <w:r w:rsidRPr="00DC32BA">
        <w:rPr>
          <w:rtl/>
        </w:rPr>
        <w:t xml:space="preserve"> </w:t>
      </w:r>
      <w:r w:rsidRPr="00DC32BA">
        <w:rPr>
          <w:rFonts w:hint="eastAsia"/>
          <w:rtl/>
        </w:rPr>
        <w:t>חבר</w:t>
      </w:r>
      <w:r w:rsidRPr="00DC32BA">
        <w:rPr>
          <w:rtl/>
        </w:rPr>
        <w:t xml:space="preserve"> </w:t>
      </w:r>
      <w:r w:rsidRPr="00DC32BA">
        <w:rPr>
          <w:rFonts w:hint="eastAsia"/>
          <w:rtl/>
        </w:rPr>
        <w:t>הכנסת</w:t>
      </w:r>
      <w:r w:rsidRPr="00DC32BA">
        <w:rPr>
          <w:rtl/>
        </w:rPr>
        <w:t xml:space="preserve"> </w:t>
      </w:r>
      <w:r w:rsidRPr="00DC32BA">
        <w:rPr>
          <w:rFonts w:hint="eastAsia"/>
          <w:rtl/>
        </w:rPr>
        <w:t>שניאור</w:t>
      </w:r>
      <w:r w:rsidRPr="00DC32BA">
        <w:rPr>
          <w:rtl/>
        </w:rPr>
        <w:t xml:space="preserve"> </w:t>
      </w:r>
      <w:r w:rsidRPr="00DC32BA">
        <w:rPr>
          <w:rFonts w:hint="eastAsia"/>
          <w:rtl/>
        </w:rPr>
        <w:t>זלמן</w:t>
      </w:r>
      <w:r w:rsidRPr="00DC32BA">
        <w:rPr>
          <w:rtl/>
        </w:rPr>
        <w:t xml:space="preserve"> </w:t>
      </w:r>
      <w:r w:rsidRPr="00DC32BA">
        <w:rPr>
          <w:rFonts w:hint="eastAsia"/>
          <w:rtl/>
        </w:rPr>
        <w:t>אברמוב</w:t>
      </w:r>
      <w:r>
        <w:rPr>
          <w:rFonts w:hint="cs"/>
          <w:rtl/>
        </w:rPr>
        <w:t xml:space="preserve"> כי</w:t>
      </w:r>
      <w:r w:rsidRPr="00B057BB">
        <w:rPr>
          <w:rtl/>
        </w:rPr>
        <w:t xml:space="preserve"> "סעיף זה, המעניק זכות השבות לאלה שאינם יהודים, כוונתו להחזיר </w:t>
      </w:r>
      <w:r w:rsidRPr="00B057BB">
        <w:rPr>
          <w:rFonts w:ascii="Century" w:hAnsi="Century" w:cs="Miriam" w:hint="eastAsia"/>
          <w:b/>
          <w:spacing w:val="0"/>
          <w:szCs w:val="24"/>
          <w:rtl/>
        </w:rPr>
        <w:t>בנים</w:t>
      </w:r>
      <w:r w:rsidRPr="00B057BB">
        <w:rPr>
          <w:rtl/>
        </w:rPr>
        <w:t xml:space="preserve"> לגבולם" </w:t>
      </w:r>
      <w:r>
        <w:rPr>
          <w:rFonts w:hint="cs"/>
          <w:rtl/>
        </w:rPr>
        <w:t xml:space="preserve">(פרוטוקול ישיבה מס' 13 של ועדת החוקה, חוק ומשפט (להלן: </w:t>
      </w:r>
      <w:r w:rsidRPr="00925BAF">
        <w:rPr>
          <w:rFonts w:ascii="Century" w:hAnsi="Century" w:cs="Miriam" w:hint="cs"/>
          <w:b/>
          <w:spacing w:val="0"/>
          <w:szCs w:val="24"/>
          <w:rtl/>
        </w:rPr>
        <w:t>ועד</w:t>
      </w:r>
      <w:r>
        <w:rPr>
          <w:rFonts w:ascii="Century" w:hAnsi="Century" w:cs="Miriam" w:hint="cs"/>
          <w:b/>
          <w:spacing w:val="0"/>
          <w:szCs w:val="24"/>
          <w:rtl/>
        </w:rPr>
        <w:t>ת החוק</w:t>
      </w:r>
      <w:r w:rsidRPr="00925BAF">
        <w:rPr>
          <w:rFonts w:ascii="Century" w:hAnsi="Century" w:cs="Miriam" w:hint="cs"/>
          <w:b/>
          <w:spacing w:val="0"/>
          <w:szCs w:val="24"/>
          <w:rtl/>
        </w:rPr>
        <w:t>ה</w:t>
      </w:r>
      <w:r>
        <w:rPr>
          <w:rFonts w:hint="cs"/>
          <w:rtl/>
        </w:rPr>
        <w:t>), הכנסת ה-7, עמ' 14 (11.2.1970)</w:t>
      </w:r>
      <w:r>
        <w:rPr>
          <w:rFonts w:ascii="Century" w:hAnsi="Century" w:hint="cs"/>
          <w:rtl/>
        </w:rPr>
        <w:t xml:space="preserve">; ההדגשה הוספה </w:t>
      </w:r>
      <w:r>
        <w:rPr>
          <w:rFonts w:ascii="Century" w:hAnsi="Century"/>
          <w:rtl/>
        </w:rPr>
        <w:t>–</w:t>
      </w:r>
      <w:r>
        <w:rPr>
          <w:rFonts w:ascii="Century" w:hAnsi="Century" w:hint="cs"/>
          <w:rtl/>
        </w:rPr>
        <w:t xml:space="preserve"> י"ו</w:t>
      </w:r>
      <w:r w:rsidRPr="00E93679">
        <w:rPr>
          <w:rFonts w:ascii="Century" w:hAnsi="Century" w:hint="cs"/>
          <w:rtl/>
        </w:rPr>
        <w:t>)</w:t>
      </w:r>
      <w:r>
        <w:rPr>
          <w:rFonts w:ascii="Century" w:hAnsi="Century" w:hint="cs"/>
          <w:rtl/>
        </w:rPr>
        <w:t xml:space="preserve">. </w:t>
      </w:r>
      <w:r>
        <w:rPr>
          <w:rFonts w:hint="cs"/>
          <w:rtl/>
        </w:rPr>
        <w:t>נראה כי</w:t>
      </w:r>
      <w:r w:rsidRPr="00D65730">
        <w:rPr>
          <w:rtl/>
        </w:rPr>
        <w:t xml:space="preserve"> תכלית זו אינה רלוונטית</w:t>
      </w:r>
      <w:r>
        <w:rPr>
          <w:rFonts w:hint="cs"/>
          <w:rtl/>
        </w:rPr>
        <w:t xml:space="preserve"> כאשר</w:t>
      </w:r>
      <w:r w:rsidRPr="00D65730">
        <w:rPr>
          <w:rtl/>
        </w:rPr>
        <w:t xml:space="preserve"> ה"בנים" אינם שבים לגבולם</w:t>
      </w:r>
      <w:r>
        <w:rPr>
          <w:rFonts w:hint="cs"/>
          <w:rtl/>
        </w:rPr>
        <w:t>.</w:t>
      </w:r>
      <w:r w:rsidRPr="00D65730">
        <w:rPr>
          <w:rtl/>
        </w:rPr>
        <w:t xml:space="preserve"> </w:t>
      </w:r>
    </w:p>
    <w:p w:rsidR="00D8481A" w:rsidRDefault="00D8481A" w:rsidP="00D8481A">
      <w:pPr>
        <w:pStyle w:val="Ruller41"/>
        <w:rPr>
          <w:rtl/>
        </w:rPr>
      </w:pPr>
    </w:p>
    <w:p w:rsidR="00D8481A" w:rsidRDefault="00D8481A" w:rsidP="00D8481A">
      <w:pPr>
        <w:pStyle w:val="Ruller41"/>
        <w:rPr>
          <w:rtl/>
        </w:rPr>
      </w:pPr>
      <w:r>
        <w:rPr>
          <w:rFonts w:hint="cs"/>
          <w:rtl/>
        </w:rPr>
        <w:tab/>
        <w:t>גם מדבריו של יו"ר ועדת החוקה דאז, ישראל שלמה בן-מאיר, עולה כי זכות השבות של בן הזוג של הצאצא נלווית לזכות הצאצא, ונועדה לאפשר לאחרון לעלות ארצה</w:t>
      </w:r>
      <w:r w:rsidRPr="00DC32BA">
        <w:rPr>
          <w:rFonts w:ascii="Century" w:hAnsi="Century"/>
          <w:rtl/>
        </w:rPr>
        <w:t xml:space="preserve"> </w:t>
      </w:r>
      <w:r w:rsidRPr="00DC32BA">
        <w:rPr>
          <w:rFonts w:ascii="Century" w:hAnsi="Century" w:hint="eastAsia"/>
          <w:rtl/>
        </w:rPr>
        <w:t>עם</w:t>
      </w:r>
      <w:r w:rsidRPr="00DC32BA">
        <w:rPr>
          <w:rFonts w:ascii="Century" w:hAnsi="Century"/>
          <w:rtl/>
        </w:rPr>
        <w:t xml:space="preserve"> </w:t>
      </w:r>
      <w:r>
        <w:rPr>
          <w:rFonts w:hint="cs"/>
          <w:rtl/>
        </w:rPr>
        <w:t xml:space="preserve">בני משפחתו: "אם מדובר בילדים, מובן </w:t>
      </w:r>
      <w:r w:rsidRPr="001439E5">
        <w:rPr>
          <w:rFonts w:ascii="Century" w:hAnsi="Century" w:cs="Miriam" w:hint="cs"/>
          <w:b/>
          <w:spacing w:val="0"/>
          <w:szCs w:val="24"/>
          <w:rtl/>
        </w:rPr>
        <w:t>שמרשים להם</w:t>
      </w:r>
      <w:r>
        <w:rPr>
          <w:rFonts w:hint="cs"/>
          <w:rtl/>
        </w:rPr>
        <w:t xml:space="preserve"> להביא את כל משפחתם, וזה כולל את בן זוגו של הילד ואת ילדו, ואם מדברים על נכד, שוב נשאלת השאלה מה באשר לילדיו ולבן זוגו" (פרוטוקול ישיבה מס' 14 של ועדת החוקה, הכנסת ה-7, עמ' 7-6 (16.2.1970); ההדגשה הוספה</w:t>
      </w:r>
      <w:r>
        <w:rPr>
          <w:rFonts w:ascii="Century" w:hAnsi="Century" w:hint="cs"/>
          <w:rtl/>
        </w:rPr>
        <w:t xml:space="preserve"> </w:t>
      </w:r>
      <w:r>
        <w:rPr>
          <w:rFonts w:ascii="Century" w:hAnsi="Century"/>
          <w:rtl/>
        </w:rPr>
        <w:t>–</w:t>
      </w:r>
      <w:r>
        <w:rPr>
          <w:rFonts w:ascii="Century" w:hAnsi="Century" w:hint="cs"/>
          <w:rtl/>
        </w:rPr>
        <w:t xml:space="preserve"> י"ו</w:t>
      </w:r>
      <w:r>
        <w:rPr>
          <w:rFonts w:hint="cs"/>
          <w:rtl/>
        </w:rPr>
        <w:t xml:space="preserve">). </w:t>
      </w:r>
    </w:p>
    <w:p w:rsidR="00D8481A" w:rsidRDefault="00D8481A" w:rsidP="00D8481A">
      <w:pPr>
        <w:pStyle w:val="Ruller41"/>
      </w:pPr>
    </w:p>
    <w:p w:rsidR="00D8481A" w:rsidRDefault="00D8481A" w:rsidP="00D8481A">
      <w:pPr>
        <w:pStyle w:val="Ruller41"/>
        <w:rPr>
          <w:rtl/>
        </w:rPr>
      </w:pPr>
      <w:r>
        <w:rPr>
          <w:rtl/>
        </w:rPr>
        <w:tab/>
      </w:r>
      <w:r>
        <w:rPr>
          <w:rFonts w:hint="cs"/>
          <w:rtl/>
        </w:rPr>
        <w:t>עוד מעניין לציין, כי בנוסח המקורי של הצעת התיקון, לא נכללה זכאות לשבות של בן-הזוג של הנכד. במסגרת הדיונים שנערכו ביחס לנוסח זה, הושמעה הדעה שלפיה יש להכיר גם בזכאות של בן-זוג כאמור (בהתאם לנוסח שאכן התקבל בסופו של דבר); וראו הדברים שנאמרו בהקשר זה:</w:t>
      </w:r>
    </w:p>
    <w:p w:rsidR="00D8481A" w:rsidRDefault="00D8481A" w:rsidP="00D8481A">
      <w:pPr>
        <w:pStyle w:val="Ruller5"/>
        <w:rPr>
          <w:rtl/>
        </w:rPr>
      </w:pPr>
    </w:p>
    <w:p w:rsidR="00D8481A" w:rsidRDefault="00D8481A" w:rsidP="00D8481A">
      <w:pPr>
        <w:pStyle w:val="Ruller5"/>
        <w:rPr>
          <w:rtl/>
        </w:rPr>
      </w:pPr>
      <w:r>
        <w:rPr>
          <w:rFonts w:hint="cs"/>
          <w:rtl/>
        </w:rPr>
        <w:t xml:space="preserve">"מה על בן הזוג של הנכד? נוסח זה אינו כולל את בן הזוג של הנכד, ואם מקנים זכות של עולה לנכד, </w:t>
      </w:r>
      <w:r w:rsidRPr="008A2854">
        <w:rPr>
          <w:rFonts w:ascii="Century" w:hAnsi="Century" w:cs="Miriam" w:hint="eastAsia"/>
          <w:b/>
          <w:spacing w:val="0"/>
          <w:szCs w:val="24"/>
          <w:rtl/>
        </w:rPr>
        <w:t>האם</w:t>
      </w:r>
      <w:r w:rsidRPr="008A2854">
        <w:rPr>
          <w:rFonts w:ascii="Century" w:hAnsi="Century" w:cs="Miriam"/>
          <w:b/>
          <w:spacing w:val="0"/>
          <w:szCs w:val="24"/>
          <w:rtl/>
        </w:rPr>
        <w:t xml:space="preserve"> </w:t>
      </w:r>
      <w:r w:rsidRPr="008A2854">
        <w:rPr>
          <w:rFonts w:ascii="Century" w:hAnsi="Century" w:cs="Miriam" w:hint="eastAsia"/>
          <w:b/>
          <w:spacing w:val="0"/>
          <w:szCs w:val="24"/>
          <w:rtl/>
        </w:rPr>
        <w:t>הכוונה</w:t>
      </w:r>
      <w:r w:rsidRPr="008A2854">
        <w:rPr>
          <w:rFonts w:ascii="Century" w:hAnsi="Century" w:cs="Miriam"/>
          <w:b/>
          <w:spacing w:val="0"/>
          <w:szCs w:val="24"/>
          <w:rtl/>
        </w:rPr>
        <w:t xml:space="preserve"> </w:t>
      </w:r>
      <w:r w:rsidRPr="008A2854">
        <w:rPr>
          <w:rFonts w:ascii="Century" w:hAnsi="Century" w:cs="Miriam" w:hint="eastAsia"/>
          <w:b/>
          <w:spacing w:val="0"/>
          <w:szCs w:val="24"/>
          <w:rtl/>
        </w:rPr>
        <w:t>להפריד</w:t>
      </w:r>
      <w:r w:rsidRPr="008A2854">
        <w:rPr>
          <w:rFonts w:ascii="Century" w:hAnsi="Century" w:cs="Miriam"/>
          <w:b/>
          <w:spacing w:val="0"/>
          <w:szCs w:val="24"/>
          <w:rtl/>
        </w:rPr>
        <w:t xml:space="preserve"> </w:t>
      </w:r>
      <w:r w:rsidRPr="008A2854">
        <w:rPr>
          <w:rFonts w:ascii="Century" w:hAnsi="Century" w:cs="Miriam" w:hint="eastAsia"/>
          <w:b/>
          <w:spacing w:val="0"/>
          <w:szCs w:val="24"/>
          <w:rtl/>
        </w:rPr>
        <w:t>בין</w:t>
      </w:r>
      <w:r w:rsidRPr="008A2854">
        <w:rPr>
          <w:rFonts w:ascii="Century" w:hAnsi="Century" w:cs="Miriam"/>
          <w:b/>
          <w:spacing w:val="0"/>
          <w:szCs w:val="24"/>
          <w:rtl/>
        </w:rPr>
        <w:t xml:space="preserve"> </w:t>
      </w:r>
      <w:r w:rsidRPr="008A2854">
        <w:rPr>
          <w:rFonts w:ascii="Century" w:hAnsi="Century" w:cs="Miriam" w:hint="eastAsia"/>
          <w:b/>
          <w:spacing w:val="0"/>
          <w:szCs w:val="24"/>
          <w:rtl/>
        </w:rPr>
        <w:t>הנכד</w:t>
      </w:r>
      <w:r w:rsidRPr="008A2854">
        <w:rPr>
          <w:rFonts w:ascii="Century" w:hAnsi="Century" w:cs="Miriam"/>
          <w:b/>
          <w:spacing w:val="0"/>
          <w:szCs w:val="24"/>
          <w:rtl/>
        </w:rPr>
        <w:t xml:space="preserve"> </w:t>
      </w:r>
      <w:r w:rsidRPr="008A2854">
        <w:rPr>
          <w:rFonts w:ascii="Century" w:hAnsi="Century" w:cs="Miriam" w:hint="eastAsia"/>
          <w:b/>
          <w:spacing w:val="0"/>
          <w:szCs w:val="24"/>
          <w:rtl/>
        </w:rPr>
        <w:t>לבין</w:t>
      </w:r>
      <w:r w:rsidRPr="008A2854">
        <w:rPr>
          <w:rFonts w:ascii="Century" w:hAnsi="Century" w:cs="Miriam"/>
          <w:b/>
          <w:spacing w:val="0"/>
          <w:szCs w:val="24"/>
          <w:rtl/>
        </w:rPr>
        <w:t xml:space="preserve"> </w:t>
      </w:r>
      <w:r w:rsidRPr="008A2854">
        <w:rPr>
          <w:rFonts w:ascii="Century" w:hAnsi="Century" w:cs="Miriam" w:hint="eastAsia"/>
          <w:b/>
          <w:spacing w:val="0"/>
          <w:szCs w:val="24"/>
          <w:rtl/>
        </w:rPr>
        <w:t>בן</w:t>
      </w:r>
      <w:r w:rsidRPr="008A2854">
        <w:rPr>
          <w:rFonts w:ascii="Century" w:hAnsi="Century" w:cs="Miriam"/>
          <w:b/>
          <w:spacing w:val="0"/>
          <w:szCs w:val="24"/>
          <w:rtl/>
        </w:rPr>
        <w:t>-זוגו</w:t>
      </w:r>
      <w:r>
        <w:rPr>
          <w:rFonts w:hint="cs"/>
          <w:rtl/>
        </w:rPr>
        <w:t>? זה לא מתקבל על הדעת [...]</w:t>
      </w:r>
    </w:p>
    <w:p w:rsidR="00D8481A" w:rsidRDefault="00D8481A" w:rsidP="00D8481A">
      <w:pPr>
        <w:pStyle w:val="Ruller5"/>
        <w:rPr>
          <w:rtl/>
        </w:rPr>
      </w:pPr>
      <w:r>
        <w:rPr>
          <w:rFonts w:hint="cs"/>
          <w:rtl/>
        </w:rPr>
        <w:t xml:space="preserve">קשה לתאר שמשפחה [...] תרצה להתפרק, ואם כן, למה לנו להוציא את בן הזוג של הנכד? הרי אליבא דכל אלה המסכימים עקרונית לסעיף זה מטרת </w:t>
      </w:r>
      <w:r w:rsidRPr="00794761">
        <w:rPr>
          <w:rFonts w:hint="cs"/>
          <w:rtl/>
        </w:rPr>
        <w:t>ההקלות הללו היא לעודד עליה,</w:t>
      </w:r>
      <w:r>
        <w:rPr>
          <w:rFonts w:hint="cs"/>
          <w:rtl/>
        </w:rPr>
        <w:t xml:space="preserve"> ואם אנו עושים דבר חיובי, צריכים אנו לעשותו בשלימות. אני מכיר משפחות מרובות שעלו מפולניה ושבאו עם הנכדים ועם בני הזוג שלהם" (פרוטוקול ישיבה מס' 17 של ועדת החוקה, הכנסת ה-7, עמ' 4-3 ((2.3.1970); ההדגשה הוספה</w:t>
      </w:r>
      <w:r>
        <w:rPr>
          <w:rFonts w:ascii="Century" w:hAnsi="Century" w:hint="cs"/>
          <w:rtl/>
        </w:rPr>
        <w:t xml:space="preserve"> </w:t>
      </w:r>
      <w:r>
        <w:rPr>
          <w:rFonts w:ascii="Century" w:hAnsi="Century"/>
          <w:rtl/>
        </w:rPr>
        <w:t>–</w:t>
      </w:r>
      <w:r>
        <w:rPr>
          <w:rFonts w:ascii="Century" w:hAnsi="Century" w:hint="cs"/>
          <w:rtl/>
        </w:rPr>
        <w:t xml:space="preserve"> י"ו</w:t>
      </w:r>
      <w:r>
        <w:rPr>
          <w:rFonts w:hint="cs"/>
          <w:rtl/>
        </w:rPr>
        <w:t>).</w:t>
      </w:r>
    </w:p>
    <w:p w:rsidR="00D8481A" w:rsidRDefault="00D8481A" w:rsidP="00D8481A">
      <w:pPr>
        <w:pStyle w:val="Ruller41"/>
        <w:rPr>
          <w:rtl/>
        </w:rPr>
      </w:pPr>
    </w:p>
    <w:p w:rsidR="00D8481A" w:rsidRDefault="00D8481A" w:rsidP="00D8481A">
      <w:pPr>
        <w:pStyle w:val="Ruller41"/>
        <w:rPr>
          <w:rtl/>
        </w:rPr>
      </w:pPr>
      <w:r>
        <w:rPr>
          <w:rtl/>
        </w:rPr>
        <w:lastRenderedPageBreak/>
        <w:tab/>
      </w:r>
      <w:r>
        <w:rPr>
          <w:rFonts w:hint="cs"/>
          <w:rtl/>
        </w:rPr>
        <w:t>אף דברים אלו תומכים, אפוא, במסקנה כי תכלית ההכרה בזכות השבות של בן הזוג של הצאצא היא לעודד את</w:t>
      </w:r>
      <w:r w:rsidRPr="00E06617">
        <w:rPr>
          <w:rFonts w:hint="cs"/>
          <w:rtl/>
        </w:rPr>
        <w:t xml:space="preserve"> </w:t>
      </w:r>
      <w:r>
        <w:rPr>
          <w:rFonts w:hint="cs"/>
          <w:rtl/>
        </w:rPr>
        <w:t>הצאצא לעלות לארץ, כך שהדבר לא יהא כרוך בהפרדה בינו לבין בני משפחתו הקרובים.</w:t>
      </w:r>
    </w:p>
    <w:p w:rsidR="00D8481A" w:rsidRDefault="00D8481A" w:rsidP="00D8481A">
      <w:pPr>
        <w:pStyle w:val="Ruller41"/>
        <w:rPr>
          <w:rtl/>
        </w:rPr>
      </w:pPr>
    </w:p>
    <w:p w:rsidR="00D8481A" w:rsidRDefault="00D8481A" w:rsidP="00D8481A">
      <w:pPr>
        <w:pStyle w:val="Ruller41"/>
        <w:rPr>
          <w:rtl/>
        </w:rPr>
      </w:pPr>
      <w:r w:rsidRPr="00386BB7">
        <w:rPr>
          <w:rtl/>
        </w:rPr>
        <w:t>14.</w:t>
      </w:r>
      <w:r w:rsidRPr="00386BB7">
        <w:rPr>
          <w:rtl/>
        </w:rPr>
        <w:tab/>
      </w:r>
      <w:r w:rsidRPr="00386BB7">
        <w:rPr>
          <w:rFonts w:hint="eastAsia"/>
          <w:rtl/>
        </w:rPr>
        <w:t>אשר</w:t>
      </w:r>
      <w:r w:rsidRPr="00386BB7">
        <w:rPr>
          <w:rtl/>
        </w:rPr>
        <w:t xml:space="preserve"> לתכלית השנייה שהוזכרה לעיל – </w:t>
      </w:r>
      <w:r w:rsidRPr="00E9217E">
        <w:rPr>
          <w:rFonts w:hint="eastAsia"/>
          <w:rtl/>
        </w:rPr>
        <w:t>הכרה</w:t>
      </w:r>
      <w:r w:rsidRPr="00E9217E">
        <w:rPr>
          <w:rtl/>
        </w:rPr>
        <w:t xml:space="preserve"> </w:t>
      </w:r>
      <w:r w:rsidRPr="00E9217E">
        <w:rPr>
          <w:rFonts w:hint="eastAsia"/>
          <w:rtl/>
        </w:rPr>
        <w:t>בזכות</w:t>
      </w:r>
      <w:r w:rsidRPr="00E9217E">
        <w:rPr>
          <w:rtl/>
        </w:rPr>
        <w:t xml:space="preserve"> השבות של בנים לעם היהודי, ושל </w:t>
      </w:r>
      <w:r w:rsidRPr="00E9217E">
        <w:rPr>
          <w:rFonts w:hint="eastAsia"/>
          <w:rtl/>
        </w:rPr>
        <w:t>מי</w:t>
      </w:r>
      <w:r w:rsidRPr="00E9217E">
        <w:rPr>
          <w:rtl/>
        </w:rPr>
        <w:t xml:space="preserve"> </w:t>
      </w:r>
      <w:r w:rsidRPr="00E9217E">
        <w:rPr>
          <w:rFonts w:hint="eastAsia"/>
          <w:rtl/>
        </w:rPr>
        <w:t>ש</w:t>
      </w:r>
      <w:r>
        <w:rPr>
          <w:rFonts w:hint="cs"/>
          <w:rtl/>
        </w:rPr>
        <w:t>יש לראות בהם ככאלה שהסתפחו</w:t>
      </w:r>
      <w:r w:rsidRPr="00E9217E">
        <w:rPr>
          <w:rtl/>
        </w:rPr>
        <w:t xml:space="preserve"> </w:t>
      </w:r>
      <w:r w:rsidRPr="00E9217E">
        <w:rPr>
          <w:rFonts w:hint="eastAsia"/>
          <w:rtl/>
        </w:rPr>
        <w:t>לעם</w:t>
      </w:r>
      <w:r w:rsidRPr="00E9217E">
        <w:rPr>
          <w:rtl/>
        </w:rPr>
        <w:t xml:space="preserve"> </w:t>
      </w:r>
      <w:r w:rsidRPr="00E9217E">
        <w:rPr>
          <w:rFonts w:hint="eastAsia"/>
          <w:rtl/>
        </w:rPr>
        <w:t>היהודי</w:t>
      </w:r>
      <w:r w:rsidRPr="00386BB7">
        <w:rPr>
          <w:rtl/>
        </w:rPr>
        <w:t xml:space="preserve"> – אני סבורה</w:t>
      </w:r>
      <w:r>
        <w:rPr>
          <w:rFonts w:hint="cs"/>
          <w:rtl/>
        </w:rPr>
        <w:t xml:space="preserve"> כי זו רלוונטית בעיקר ל</w:t>
      </w:r>
      <w:r w:rsidRPr="00C3442E">
        <w:rPr>
          <w:rFonts w:ascii="Century" w:hAnsi="Century" w:cs="Miriam" w:hint="cs"/>
          <w:szCs w:val="24"/>
          <w:rtl/>
        </w:rPr>
        <w:t>צאצא</w:t>
      </w:r>
      <w:r w:rsidRPr="00EA359B">
        <w:rPr>
          <w:rFonts w:ascii="Century" w:hAnsi="Century" w:cs="Miriam" w:hint="cs"/>
          <w:b/>
          <w:spacing w:val="0"/>
          <w:szCs w:val="24"/>
          <w:rtl/>
        </w:rPr>
        <w:t xml:space="preserve"> של היהודי</w:t>
      </w:r>
      <w:r>
        <w:rPr>
          <w:rFonts w:hint="cs"/>
          <w:rtl/>
        </w:rPr>
        <w:t xml:space="preserve">, שהוא מ"זרע ישראל", אך אמו אינה יהודייה (וראו בהקשר זה דבריו של חברי, השופט </w:t>
      </w:r>
      <w:r w:rsidRPr="0088373C">
        <w:rPr>
          <w:rFonts w:ascii="Century" w:hAnsi="Century" w:cs="Miriam" w:hint="eastAsia"/>
          <w:b/>
          <w:spacing w:val="0"/>
          <w:szCs w:val="24"/>
          <w:rtl/>
        </w:rPr>
        <w:t>סולברג</w:t>
      </w:r>
      <w:r>
        <w:rPr>
          <w:rFonts w:hint="cs"/>
          <w:rtl/>
        </w:rPr>
        <w:t>, בפס' 25 לחוות-דעתו); וכי לנוכח תכלית זו, ביחס לצאצאים קבע המחוקק הסדר מפורש, במסגרת סעיף 4א(ב) לחוק, שלפיו זכותם לשבות ניתנת למימוש גם אם היהודי אינו בין החיים וגם אם היהודי לא מימש את זכותו לעלות ארצה.</w:t>
      </w:r>
    </w:p>
    <w:p w:rsidR="00D8481A" w:rsidRDefault="00D8481A" w:rsidP="00D8481A">
      <w:pPr>
        <w:pStyle w:val="Ruller41"/>
        <w:rPr>
          <w:rtl/>
        </w:rPr>
      </w:pPr>
    </w:p>
    <w:p w:rsidR="00D8481A" w:rsidRDefault="00D8481A" w:rsidP="00D8481A">
      <w:pPr>
        <w:pStyle w:val="Ruller41"/>
        <w:rPr>
          <w:rtl/>
        </w:rPr>
      </w:pPr>
      <w:r>
        <w:rPr>
          <w:rtl/>
        </w:rPr>
        <w:tab/>
      </w:r>
      <w:r>
        <w:rPr>
          <w:rFonts w:hint="cs"/>
          <w:rtl/>
        </w:rPr>
        <w:t>אמנם, מסעיף 4א(ב) לחוק נובעת זכות שבות גם לאלמנה של יהודי. ואולם, נדמה כי ההבחנה בין אלמנת יהודי לאלמנת צאצא מתבקשת מתכליות התיקון, שהרי מי שבחרה להינשא ליהודי קשרה, בעצם נישואיה, את גורלה בגורל העם היהודי. שונה הדבר בנוגע למי שנישאה ל</w:t>
      </w:r>
      <w:r w:rsidRPr="00D44515">
        <w:rPr>
          <w:rFonts w:ascii="Century" w:hAnsi="Century" w:cs="Miriam" w:hint="eastAsia"/>
          <w:b/>
          <w:spacing w:val="0"/>
          <w:szCs w:val="24"/>
          <w:rtl/>
        </w:rPr>
        <w:t>צאצא</w:t>
      </w:r>
      <w:r>
        <w:rPr>
          <w:rFonts w:hint="cs"/>
          <w:rtl/>
        </w:rPr>
        <w:t xml:space="preserve"> של יהודי, שקרבתה ליהודי אינה ישירה; ובנסיבות אלו אין לראות בעצם הנישואין משום "סיפוח לעם היהודי"</w:t>
      </w:r>
      <w:r>
        <w:rPr>
          <w:rFonts w:ascii="Century" w:hAnsi="Century" w:hint="cs"/>
          <w:rtl/>
        </w:rPr>
        <w:t>. כפי שציין השופט</w:t>
      </w:r>
      <w:r w:rsidRPr="00B75734">
        <w:rPr>
          <w:rFonts w:ascii="Century" w:hAnsi="Century" w:cs="Miriam" w:hint="eastAsia"/>
          <w:b/>
          <w:spacing w:val="0"/>
          <w:szCs w:val="24"/>
          <w:rtl/>
        </w:rPr>
        <w:t xml:space="preserve"> </w:t>
      </w:r>
      <w:r w:rsidRPr="0088373C">
        <w:rPr>
          <w:rFonts w:ascii="Century" w:hAnsi="Century" w:cs="Miriam" w:hint="eastAsia"/>
          <w:b/>
          <w:spacing w:val="0"/>
          <w:szCs w:val="24"/>
          <w:rtl/>
        </w:rPr>
        <w:t>י</w:t>
      </w:r>
      <w:r w:rsidRPr="0088373C">
        <w:rPr>
          <w:rFonts w:ascii="Century" w:hAnsi="Century" w:cs="Miriam"/>
          <w:b/>
          <w:spacing w:val="0"/>
          <w:szCs w:val="24"/>
          <w:rtl/>
        </w:rPr>
        <w:t xml:space="preserve">' </w:t>
      </w:r>
      <w:r w:rsidRPr="0088373C">
        <w:rPr>
          <w:rFonts w:ascii="Century" w:hAnsi="Century" w:cs="Miriam" w:hint="eastAsia"/>
          <w:b/>
          <w:spacing w:val="0"/>
          <w:szCs w:val="24"/>
          <w:rtl/>
        </w:rPr>
        <w:t>עמית</w:t>
      </w:r>
      <w:r>
        <w:rPr>
          <w:rFonts w:hint="cs"/>
          <w:rtl/>
        </w:rPr>
        <w:t xml:space="preserve"> בפסק הדין מושא הדיון הנוסף: </w:t>
      </w:r>
    </w:p>
    <w:p w:rsidR="00D8481A" w:rsidRDefault="00D8481A" w:rsidP="00D8481A">
      <w:pPr>
        <w:pStyle w:val="Ruller5"/>
        <w:rPr>
          <w:rtl/>
        </w:rPr>
      </w:pPr>
    </w:p>
    <w:p w:rsidR="00D8481A" w:rsidRDefault="00D8481A" w:rsidP="00D8481A">
      <w:pPr>
        <w:pStyle w:val="Ruller5"/>
        <w:rPr>
          <w:rtl/>
        </w:rPr>
      </w:pPr>
      <w:r>
        <w:rPr>
          <w:rFonts w:hint="cs"/>
          <w:rtl/>
        </w:rPr>
        <w:t>"ככל שאנו הולכים ומתרחקים מ'מעגלי הקִרְבה' מן היהודי, כך נחלשת זיקתם של בני משפחתו אליו ולעם היהודי בכלל. זיקת הנכד חלשה מזיקת הבן, זיקת הנין חלשה מזיקת הנכד וכן הלאה, וכך לכאורה גם ביחס לבנות הזוג" (</w:t>
      </w:r>
      <w:r w:rsidRPr="0069420E">
        <w:rPr>
          <w:rFonts w:hint="eastAsia"/>
          <w:rtl/>
        </w:rPr>
        <w:t>בג</w:t>
      </w:r>
      <w:r w:rsidRPr="0069420E">
        <w:rPr>
          <w:rtl/>
        </w:rPr>
        <w:t>"</w:t>
      </w:r>
      <w:r w:rsidRPr="0069420E">
        <w:rPr>
          <w:rFonts w:hint="eastAsia"/>
          <w:rtl/>
        </w:rPr>
        <w:t>ץ</w:t>
      </w:r>
      <w:r w:rsidRPr="0069420E">
        <w:rPr>
          <w:rtl/>
        </w:rPr>
        <w:t xml:space="preserve"> 1775/19 </w:t>
      </w:r>
      <w:r w:rsidRPr="000E7097">
        <w:rPr>
          <w:rFonts w:ascii="Century" w:hAnsi="Century" w:cs="Miriam" w:hint="eastAsia"/>
          <w:b/>
          <w:spacing w:val="0"/>
          <w:szCs w:val="24"/>
          <w:rtl/>
        </w:rPr>
        <w:t>מרינצ</w:t>
      </w:r>
      <w:r w:rsidRPr="000E7097">
        <w:rPr>
          <w:rFonts w:ascii="Century" w:hAnsi="Century" w:cs="Miriam"/>
          <w:b/>
          <w:spacing w:val="0"/>
          <w:szCs w:val="24"/>
          <w:rtl/>
        </w:rPr>
        <w:t>'</w:t>
      </w:r>
      <w:r w:rsidRPr="000E7097">
        <w:rPr>
          <w:rFonts w:ascii="Century" w:hAnsi="Century" w:cs="Miriam" w:hint="eastAsia"/>
          <w:b/>
          <w:spacing w:val="0"/>
          <w:szCs w:val="24"/>
          <w:rtl/>
        </w:rPr>
        <w:t>בה</w:t>
      </w:r>
      <w:r w:rsidRPr="000E7097">
        <w:rPr>
          <w:rFonts w:ascii="Century" w:hAnsi="Century" w:cs="Miriam"/>
          <w:b/>
          <w:spacing w:val="0"/>
          <w:szCs w:val="24"/>
          <w:rtl/>
        </w:rPr>
        <w:t xml:space="preserve"> </w:t>
      </w:r>
      <w:r w:rsidRPr="000E7097">
        <w:rPr>
          <w:rFonts w:ascii="Century" w:hAnsi="Century" w:cs="Miriam" w:hint="eastAsia"/>
          <w:b/>
          <w:spacing w:val="0"/>
          <w:szCs w:val="24"/>
          <w:rtl/>
        </w:rPr>
        <w:t>נ</w:t>
      </w:r>
      <w:r w:rsidRPr="000E7097">
        <w:rPr>
          <w:rFonts w:ascii="Century" w:hAnsi="Century" w:cs="Miriam"/>
          <w:b/>
          <w:spacing w:val="0"/>
          <w:szCs w:val="24"/>
          <w:rtl/>
        </w:rPr>
        <w:t xml:space="preserve">' </w:t>
      </w:r>
      <w:r w:rsidRPr="000E7097">
        <w:rPr>
          <w:rFonts w:ascii="Century" w:hAnsi="Century" w:cs="Miriam" w:hint="eastAsia"/>
          <w:b/>
          <w:spacing w:val="0"/>
          <w:szCs w:val="24"/>
          <w:rtl/>
        </w:rPr>
        <w:t>שר</w:t>
      </w:r>
      <w:r w:rsidRPr="000E7097">
        <w:rPr>
          <w:rFonts w:ascii="Century" w:hAnsi="Century" w:cs="Miriam"/>
          <w:b/>
          <w:spacing w:val="0"/>
          <w:szCs w:val="24"/>
          <w:rtl/>
        </w:rPr>
        <w:t xml:space="preserve"> </w:t>
      </w:r>
      <w:r w:rsidRPr="000E7097">
        <w:rPr>
          <w:rFonts w:ascii="Century" w:hAnsi="Century" w:cs="Miriam" w:hint="eastAsia"/>
          <w:b/>
          <w:spacing w:val="0"/>
          <w:szCs w:val="24"/>
          <w:rtl/>
        </w:rPr>
        <w:t>הפנים</w:t>
      </w:r>
      <w:r>
        <w:rPr>
          <w:rFonts w:hint="cs"/>
          <w:rtl/>
        </w:rPr>
        <w:t>, פס' 40</w:t>
      </w:r>
      <w:r w:rsidRPr="0069420E">
        <w:rPr>
          <w:rtl/>
        </w:rPr>
        <w:t xml:space="preserve"> (</w:t>
      </w:r>
      <w:r>
        <w:rPr>
          <w:rtl/>
        </w:rPr>
        <w:t>29.</w:t>
      </w:r>
      <w:r w:rsidRPr="0069420E">
        <w:rPr>
          <w:rtl/>
        </w:rPr>
        <w:t>8.2021)</w:t>
      </w:r>
      <w:r>
        <w:rPr>
          <w:rFonts w:hint="cs"/>
          <w:rtl/>
        </w:rPr>
        <w:t xml:space="preserve">). </w:t>
      </w:r>
    </w:p>
    <w:p w:rsidR="00D8481A" w:rsidRDefault="00D8481A" w:rsidP="00D8481A">
      <w:pPr>
        <w:pStyle w:val="Ruller41"/>
        <w:rPr>
          <w:rFonts w:ascii="Century" w:hAnsi="Century"/>
          <w:rtl/>
        </w:rPr>
      </w:pPr>
    </w:p>
    <w:p w:rsidR="00D8481A" w:rsidRDefault="00D8481A" w:rsidP="00D8481A">
      <w:pPr>
        <w:pStyle w:val="Ruller41"/>
        <w:rPr>
          <w:rtl/>
        </w:rPr>
      </w:pPr>
      <w:r>
        <w:rPr>
          <w:rFonts w:ascii="Century" w:hAnsi="Century"/>
          <w:rtl/>
        </w:rPr>
        <w:tab/>
      </w:r>
      <w:r>
        <w:rPr>
          <w:rFonts w:ascii="Century" w:hAnsi="Century" w:hint="cs"/>
          <w:rtl/>
        </w:rPr>
        <w:t>לא בכדי, אפוא, כבר צוין בפסיקתו של בית משפט זה, כי "מי שסיפחו עצמם לעם היהודי" לעניין חוק השבות</w:t>
      </w:r>
      <w:r w:rsidRPr="00B75734">
        <w:rPr>
          <w:rtl/>
        </w:rPr>
        <w:t xml:space="preserve"> </w:t>
      </w:r>
      <w:r w:rsidRPr="00B75734">
        <w:rPr>
          <w:rFonts w:hint="eastAsia"/>
          <w:rtl/>
        </w:rPr>
        <w:t>הם</w:t>
      </w:r>
      <w:r w:rsidRPr="00B75734">
        <w:rPr>
          <w:rtl/>
        </w:rPr>
        <w:t xml:space="preserve"> "</w:t>
      </w:r>
      <w:r w:rsidRPr="00D65730">
        <w:rPr>
          <w:rFonts w:hint="eastAsia"/>
          <w:rtl/>
        </w:rPr>
        <w:t>נשואים</w:t>
      </w:r>
      <w:r w:rsidRPr="00D65730">
        <w:rPr>
          <w:rtl/>
        </w:rPr>
        <w:t xml:space="preserve"> </w:t>
      </w:r>
      <w:r w:rsidRPr="00D65730">
        <w:rPr>
          <w:rFonts w:hint="eastAsia"/>
          <w:rtl/>
        </w:rPr>
        <w:t>ליהודי</w:t>
      </w:r>
      <w:r w:rsidRPr="00D65730">
        <w:rPr>
          <w:rtl/>
        </w:rPr>
        <w:t xml:space="preserve"> </w:t>
      </w:r>
      <w:r w:rsidRPr="00D65730">
        <w:rPr>
          <w:rFonts w:hint="eastAsia"/>
          <w:rtl/>
        </w:rPr>
        <w:t>או</w:t>
      </w:r>
      <w:r w:rsidRPr="00D65730">
        <w:rPr>
          <w:rtl/>
        </w:rPr>
        <w:t xml:space="preserve"> </w:t>
      </w:r>
      <w:r w:rsidRPr="00D65730">
        <w:rPr>
          <w:rFonts w:hint="eastAsia"/>
          <w:rtl/>
        </w:rPr>
        <w:t>יהודיה</w:t>
      </w:r>
      <w:r w:rsidRPr="00D65730">
        <w:rPr>
          <w:rFonts w:ascii="Century" w:hAnsi="Century"/>
          <w:rtl/>
        </w:rPr>
        <w:t xml:space="preserve">" </w:t>
      </w:r>
      <w:r w:rsidRPr="00D65730">
        <w:rPr>
          <w:rFonts w:ascii="Century" w:hAnsi="Century" w:hint="eastAsia"/>
          <w:rtl/>
        </w:rPr>
        <w:t>או</w:t>
      </w:r>
      <w:r w:rsidRPr="00D65730">
        <w:rPr>
          <w:rFonts w:ascii="Century" w:hAnsi="Century"/>
          <w:rtl/>
        </w:rPr>
        <w:t xml:space="preserve"> </w:t>
      </w:r>
      <w:r>
        <w:rPr>
          <w:rFonts w:ascii="Century" w:hAnsi="Century" w:hint="cs"/>
          <w:rtl/>
        </w:rPr>
        <w:t>"</w:t>
      </w:r>
      <w:r w:rsidRPr="00D65730">
        <w:rPr>
          <w:rFonts w:hint="eastAsia"/>
          <w:rtl/>
        </w:rPr>
        <w:t>צאצאיו</w:t>
      </w:r>
      <w:r w:rsidRPr="00D65730">
        <w:rPr>
          <w:rtl/>
        </w:rPr>
        <w:t xml:space="preserve"> </w:t>
      </w:r>
      <w:r w:rsidRPr="00D65730">
        <w:rPr>
          <w:rFonts w:hint="eastAsia"/>
          <w:rtl/>
        </w:rPr>
        <w:t>של</w:t>
      </w:r>
      <w:r w:rsidRPr="00D65730">
        <w:rPr>
          <w:rtl/>
        </w:rPr>
        <w:t xml:space="preserve"> </w:t>
      </w:r>
      <w:r w:rsidRPr="00D65730">
        <w:rPr>
          <w:rFonts w:hint="eastAsia"/>
          <w:rtl/>
        </w:rPr>
        <w:t>יהודי</w:t>
      </w:r>
      <w:r w:rsidRPr="00D65730">
        <w:rPr>
          <w:rtl/>
        </w:rPr>
        <w:t xml:space="preserve"> </w:t>
      </w:r>
      <w:r w:rsidRPr="00D65730">
        <w:rPr>
          <w:rFonts w:hint="eastAsia"/>
          <w:rtl/>
        </w:rPr>
        <w:t>או</w:t>
      </w:r>
      <w:r w:rsidRPr="00D65730">
        <w:rPr>
          <w:rtl/>
        </w:rPr>
        <w:t xml:space="preserve"> </w:t>
      </w:r>
      <w:r w:rsidRPr="00D65730">
        <w:rPr>
          <w:rFonts w:hint="eastAsia"/>
          <w:rtl/>
        </w:rPr>
        <w:t>יהודיה</w:t>
      </w:r>
      <w:r w:rsidRPr="00D65730">
        <w:rPr>
          <w:rFonts w:ascii="Century" w:hAnsi="Century"/>
          <w:rtl/>
        </w:rPr>
        <w:t>"</w:t>
      </w:r>
      <w:r>
        <w:rPr>
          <w:rFonts w:hint="cs"/>
          <w:rtl/>
        </w:rPr>
        <w:t xml:space="preserve"> (עניין </w:t>
      </w:r>
      <w:r w:rsidRPr="00982A93">
        <w:rPr>
          <w:rFonts w:ascii="Century" w:hAnsi="Century" w:cs="Miriam" w:hint="cs"/>
          <w:b/>
          <w:spacing w:val="0"/>
          <w:szCs w:val="24"/>
          <w:rtl/>
        </w:rPr>
        <w:t>גורודצקי</w:t>
      </w:r>
      <w:r>
        <w:rPr>
          <w:rFonts w:hint="cs"/>
          <w:rtl/>
        </w:rPr>
        <w:t xml:space="preserve">, בפס' 29). </w:t>
      </w:r>
    </w:p>
    <w:p w:rsidR="00D8481A" w:rsidRDefault="00D8481A" w:rsidP="00D8481A">
      <w:pPr>
        <w:pStyle w:val="Ruller41"/>
        <w:rPr>
          <w:rtl/>
        </w:rPr>
      </w:pPr>
    </w:p>
    <w:p w:rsidR="00D8481A" w:rsidRDefault="00D8481A" w:rsidP="00D8481A">
      <w:pPr>
        <w:pStyle w:val="Ruller41"/>
        <w:rPr>
          <w:rtl/>
        </w:rPr>
      </w:pPr>
      <w:r>
        <w:rPr>
          <w:rFonts w:hint="cs"/>
          <w:rtl/>
        </w:rPr>
        <w:t>15.</w:t>
      </w:r>
      <w:r>
        <w:rPr>
          <w:rFonts w:hint="cs"/>
          <w:rtl/>
        </w:rPr>
        <w:tab/>
        <w:t xml:space="preserve">הנה כי כן, </w:t>
      </w:r>
      <w:r w:rsidRPr="00642492">
        <w:rPr>
          <w:rFonts w:hint="cs"/>
          <w:rtl/>
        </w:rPr>
        <w:t xml:space="preserve">בשים לב לתכליתו של חוק השבות </w:t>
      </w:r>
      <w:r w:rsidRPr="00642492">
        <w:rPr>
          <w:rFonts w:hint="eastAsia"/>
          <w:rtl/>
        </w:rPr>
        <w:t>–</w:t>
      </w:r>
      <w:r>
        <w:rPr>
          <w:rFonts w:hint="cs"/>
          <w:rtl/>
        </w:rPr>
        <w:t xml:space="preserve"> עליית יהודים לארץ ישראל, ולתכליותיו של התיקון כמפורט לעיל, אני סבורה כי אלמן או אלמנה אינם באים בגדר המונח "בן-זוג" של צאצא. </w:t>
      </w:r>
    </w:p>
    <w:p w:rsidR="00D8481A" w:rsidRPr="00D65730" w:rsidRDefault="00D8481A" w:rsidP="00D8481A">
      <w:pPr>
        <w:pStyle w:val="Ruller41"/>
        <w:rPr>
          <w:rFonts w:ascii="Century" w:hAnsi="Century"/>
          <w:rtl/>
        </w:rPr>
      </w:pPr>
    </w:p>
    <w:p w:rsidR="00D8481A" w:rsidRDefault="00D8481A" w:rsidP="00D8481A">
      <w:pPr>
        <w:pStyle w:val="Ruller41"/>
        <w:rPr>
          <w:rFonts w:ascii="Century" w:hAnsi="Century"/>
          <w:rtl/>
        </w:rPr>
      </w:pPr>
      <w:r>
        <w:rPr>
          <w:rFonts w:ascii="Century" w:hAnsi="Century" w:hint="cs"/>
          <w:rtl/>
        </w:rPr>
        <w:t>16.</w:t>
      </w:r>
      <w:r>
        <w:rPr>
          <w:rFonts w:ascii="Century" w:hAnsi="Century" w:hint="cs"/>
          <w:rtl/>
        </w:rPr>
        <w:tab/>
        <w:t xml:space="preserve">חברי, ממלא מקום הנשיא </w:t>
      </w:r>
      <w:r w:rsidRPr="0088373C">
        <w:rPr>
          <w:rFonts w:ascii="Century" w:hAnsi="Century" w:cs="Miriam" w:hint="eastAsia"/>
          <w:b/>
          <w:spacing w:val="0"/>
          <w:szCs w:val="24"/>
          <w:rtl/>
        </w:rPr>
        <w:t>ע</w:t>
      </w:r>
      <w:r w:rsidRPr="0088373C">
        <w:rPr>
          <w:rFonts w:ascii="Century" w:hAnsi="Century" w:cs="Miriam"/>
          <w:b/>
          <w:spacing w:val="0"/>
          <w:szCs w:val="24"/>
          <w:rtl/>
        </w:rPr>
        <w:t xml:space="preserve">' </w:t>
      </w:r>
      <w:r w:rsidRPr="0088373C">
        <w:rPr>
          <w:rFonts w:ascii="Century" w:hAnsi="Century" w:cs="Miriam" w:hint="eastAsia"/>
          <w:b/>
          <w:spacing w:val="0"/>
          <w:szCs w:val="24"/>
          <w:rtl/>
        </w:rPr>
        <w:t>פוגלמן</w:t>
      </w:r>
      <w:r>
        <w:rPr>
          <w:rFonts w:ascii="Century" w:hAnsi="Century" w:hint="cs"/>
          <w:rtl/>
        </w:rPr>
        <w:t xml:space="preserve">, הגיע למסקנה כי יש להכיר באלמנת הצאצא כזכאית שבות, אף בהתבסס על הנימוק שלפיו הכרה כאמור מגשימה תכלית של </w:t>
      </w:r>
      <w:r>
        <w:rPr>
          <w:rFonts w:ascii="Century" w:hAnsi="Century" w:hint="cs"/>
          <w:rtl/>
        </w:rPr>
        <w:lastRenderedPageBreak/>
        <w:t xml:space="preserve">"איחוד משפחות" (ראו בפס' 46-45 לחוות-דעתו). ברם, בהתאם למפורט לעיל, אינני סבורה כי איחוד משפחות הוא תכלית של חוק השבות בכלל או של התיקון בפרט. ודוק: יש להבחין בין תכלית של עידוד עליית יהודים, וכן עליית "בנים לעם היהודי", לבין </w:t>
      </w:r>
      <w:r w:rsidRPr="003F76E5">
        <w:rPr>
          <w:rFonts w:ascii="Century" w:hAnsi="Century" w:cs="Miriam" w:hint="cs"/>
          <w:b/>
          <w:spacing w:val="0"/>
          <w:szCs w:val="24"/>
          <w:rtl/>
        </w:rPr>
        <w:t>האמצעי</w:t>
      </w:r>
      <w:r>
        <w:rPr>
          <w:rFonts w:ascii="Century" w:hAnsi="Century" w:hint="cs"/>
          <w:rtl/>
        </w:rPr>
        <w:t xml:space="preserve"> להגשמת מטרה זו, שעניינו איחוד משפחות. כאמור,</w:t>
      </w:r>
      <w:r w:rsidRPr="00DA262D">
        <w:rPr>
          <w:rFonts w:hint="cs"/>
          <w:rtl/>
        </w:rPr>
        <w:t xml:space="preserve"> </w:t>
      </w:r>
      <w:r>
        <w:rPr>
          <w:rFonts w:hint="cs"/>
          <w:rtl/>
        </w:rPr>
        <w:t xml:space="preserve">הענקת זכות שבות לבן-זוג של צאצא </w:t>
      </w:r>
      <w:r w:rsidRPr="008A2854">
        <w:rPr>
          <w:rFonts w:ascii="Century" w:hAnsi="Century" w:hint="eastAsia"/>
          <w:rtl/>
        </w:rPr>
        <w:t>תכליתה</w:t>
      </w:r>
      <w:r w:rsidRPr="00DA262D">
        <w:rPr>
          <w:rtl/>
        </w:rPr>
        <w:t xml:space="preserve"> </w:t>
      </w:r>
      <w:r>
        <w:rPr>
          <w:rFonts w:hint="cs"/>
          <w:rtl/>
        </w:rPr>
        <w:t xml:space="preserve">לעודד את </w:t>
      </w:r>
      <w:r w:rsidRPr="008A2854">
        <w:rPr>
          <w:rFonts w:ascii="Century" w:hAnsi="Century" w:cs="Miriam" w:hint="eastAsia"/>
          <w:b/>
          <w:spacing w:val="0"/>
          <w:szCs w:val="24"/>
          <w:rtl/>
        </w:rPr>
        <w:t>הצאצא</w:t>
      </w:r>
      <w:r>
        <w:rPr>
          <w:rFonts w:hint="cs"/>
          <w:rtl/>
        </w:rPr>
        <w:t xml:space="preserve"> לעלות לישראל, </w:t>
      </w:r>
      <w:r w:rsidRPr="00405EB4">
        <w:rPr>
          <w:rFonts w:ascii="Century" w:hAnsi="Century" w:cs="Miriam" w:hint="eastAsia"/>
          <w:b/>
          <w:spacing w:val="0"/>
          <w:szCs w:val="24"/>
          <w:rtl/>
        </w:rPr>
        <w:t>באמצעות</w:t>
      </w:r>
      <w:r w:rsidRPr="00DA262D">
        <w:rPr>
          <w:rtl/>
        </w:rPr>
        <w:t xml:space="preserve"> </w:t>
      </w:r>
      <w:r>
        <w:rPr>
          <w:rFonts w:hint="cs"/>
          <w:rtl/>
        </w:rPr>
        <w:t>מתן האפשרות לשמירה על אחדות התא המשפחתי</w:t>
      </w:r>
      <w:r>
        <w:rPr>
          <w:rFonts w:ascii="Century" w:hAnsi="Century" w:hint="cs"/>
          <w:rtl/>
        </w:rPr>
        <w:t xml:space="preserve">; בנסיבות של פטירת הצאצא, תכלית זו אינה רלוונטית עוד. </w:t>
      </w:r>
    </w:p>
    <w:p w:rsidR="00D8481A" w:rsidRDefault="00D8481A" w:rsidP="00D8481A">
      <w:pPr>
        <w:pStyle w:val="Ruller41"/>
        <w:rPr>
          <w:rFonts w:ascii="Century" w:hAnsi="Century"/>
          <w:rtl/>
        </w:rPr>
      </w:pPr>
    </w:p>
    <w:p w:rsidR="00D8481A" w:rsidRDefault="00D8481A" w:rsidP="00D8481A">
      <w:pPr>
        <w:pStyle w:val="Ruller41"/>
        <w:rPr>
          <w:rtl/>
        </w:rPr>
      </w:pPr>
      <w:r>
        <w:rPr>
          <w:rFonts w:ascii="Century" w:hAnsi="Century" w:hint="cs"/>
          <w:rtl/>
        </w:rPr>
        <w:t>17.</w:t>
      </w:r>
      <w:r>
        <w:rPr>
          <w:rFonts w:ascii="Century" w:hAnsi="Century"/>
          <w:rtl/>
        </w:rPr>
        <w:tab/>
      </w:r>
      <w:r>
        <w:rPr>
          <w:rFonts w:hint="cs"/>
          <w:rtl/>
        </w:rPr>
        <w:t xml:space="preserve">בהמשך לכך אעיר, בהתייחס לדברי חברתי, השופטת </w:t>
      </w:r>
      <w:r w:rsidRPr="003706FA">
        <w:rPr>
          <w:rFonts w:ascii="Century" w:hAnsi="Century" w:cs="Miriam" w:hint="cs"/>
          <w:b/>
          <w:spacing w:val="0"/>
          <w:szCs w:val="24"/>
          <w:rtl/>
        </w:rPr>
        <w:t>ד' ברק-ארז</w:t>
      </w:r>
      <w:r>
        <w:rPr>
          <w:rFonts w:hint="cs"/>
          <w:rtl/>
        </w:rPr>
        <w:t xml:space="preserve">, כי אני מסכימה כמובן שיש חשיבות לתפיסה חברתית אשר "רואה בקשר בין בני המשפחה הגרעינית עניין מהותי ובעל משמעות לא רק בחייהם, אלא גם לאחר מותם" (בפס' 9 לחוות-דעתה). ואולם, תפיסה זו אינה חלק מתכליותיו של חוק השבות, אשר כמבואר לעיל, מהותו היא לאומית; ויוזכר, כי ליבת ההצדקות לחוק השבות היא "קיבוץ גלויות, הגדרה עצמית יהודית ותקומת העם היהודי במולדתו ההיסטורית". </w:t>
      </w:r>
    </w:p>
    <w:p w:rsidR="00D8481A" w:rsidRDefault="00D8481A" w:rsidP="00D8481A">
      <w:pPr>
        <w:pStyle w:val="Ruller41"/>
        <w:rPr>
          <w:rtl/>
        </w:rPr>
      </w:pPr>
    </w:p>
    <w:p w:rsidR="00D8481A" w:rsidRDefault="00D8481A" w:rsidP="00D8481A">
      <w:pPr>
        <w:pStyle w:val="Ruller41"/>
        <w:rPr>
          <w:rtl/>
        </w:rPr>
      </w:pPr>
      <w:r>
        <w:rPr>
          <w:rFonts w:ascii="Century" w:hAnsi="Century" w:hint="cs"/>
          <w:rtl/>
        </w:rPr>
        <w:t>18.</w:t>
      </w:r>
      <w:r>
        <w:rPr>
          <w:rFonts w:ascii="Century" w:hAnsi="Century"/>
          <w:rtl/>
        </w:rPr>
        <w:tab/>
      </w:r>
      <w:r>
        <w:rPr>
          <w:rFonts w:ascii="Century" w:hAnsi="Century" w:hint="cs"/>
          <w:rtl/>
        </w:rPr>
        <w:t>ודוק: הזכות לשבות היא זכות ייחודית, אשר מקנה זכות אוטומטית, מיידית ו(כמעט) מוחלטת לאזרחות ישראלית</w:t>
      </w:r>
      <w:r w:rsidRPr="00E35A9E">
        <w:rPr>
          <w:rFonts w:ascii="Century" w:hAnsi="Century" w:hint="cs"/>
          <w:rtl/>
        </w:rPr>
        <w:t>. האופי הנחרץ של זכות זו, מבוסס על התפיסה שלפיה "</w:t>
      </w:r>
      <w:r w:rsidRPr="00E35A9E">
        <w:rPr>
          <w:rFonts w:ascii="Century" w:hAnsi="Century"/>
          <w:rtl/>
        </w:rPr>
        <w:t>לא המדינה מקנה ליהודי חוץ-לארץ זכות להתיישב במדינה, אלא זכות זו טבועה בו באשר הוא יהודי</w:t>
      </w:r>
      <w:r w:rsidRPr="00E35A9E">
        <w:rPr>
          <w:rFonts w:ascii="Century" w:hAnsi="Century" w:hint="cs"/>
          <w:rtl/>
        </w:rPr>
        <w:t>" (כלשונ</w:t>
      </w:r>
      <w:r w:rsidRPr="00E35A9E">
        <w:rPr>
          <w:rFonts w:ascii="Century" w:hAnsi="Century"/>
          <w:rtl/>
        </w:rPr>
        <w:t>ו של ראש-הממשלה דוד בן-גוריון בפתח הדיון בהצעת</w:t>
      </w:r>
      <w:r w:rsidRPr="00E35A9E">
        <w:rPr>
          <w:rFonts w:ascii="Century" w:hAnsi="Century" w:hint="cs"/>
          <w:rtl/>
        </w:rPr>
        <w:t xml:space="preserve"> חוק השבות</w:t>
      </w:r>
      <w:r w:rsidRPr="00E35A9E">
        <w:rPr>
          <w:rFonts w:ascii="Century" w:hAnsi="Century"/>
          <w:rtl/>
        </w:rPr>
        <w:t xml:space="preserve"> (ד"כ </w:t>
      </w:r>
      <w:r>
        <w:rPr>
          <w:rFonts w:ascii="Century" w:hAnsi="Century" w:hint="cs"/>
          <w:rtl/>
        </w:rPr>
        <w:t>3.7.1950</w:t>
      </w:r>
      <w:r w:rsidRPr="00E35A9E">
        <w:rPr>
          <w:rFonts w:ascii="Century" w:hAnsi="Century"/>
          <w:rtl/>
        </w:rPr>
        <w:t xml:space="preserve">, </w:t>
      </w:r>
      <w:r>
        <w:rPr>
          <w:rFonts w:ascii="Century" w:hAnsi="Century" w:hint="cs"/>
          <w:rtl/>
        </w:rPr>
        <w:t xml:space="preserve">עמ' </w:t>
      </w:r>
      <w:r w:rsidRPr="00E35A9E">
        <w:rPr>
          <w:rFonts w:ascii="Century" w:hAnsi="Century"/>
          <w:rtl/>
        </w:rPr>
        <w:t>203</w:t>
      </w:r>
      <w:r>
        <w:rPr>
          <w:rFonts w:ascii="Century" w:hAnsi="Century" w:hint="cs"/>
          <w:rtl/>
        </w:rPr>
        <w:t>7</w:t>
      </w:r>
      <w:r w:rsidRPr="00E35A9E">
        <w:rPr>
          <w:rFonts w:ascii="Century" w:hAnsi="Century"/>
          <w:rtl/>
        </w:rPr>
        <w:t>-203</w:t>
      </w:r>
      <w:r>
        <w:rPr>
          <w:rFonts w:ascii="Century" w:hAnsi="Century" w:hint="cs"/>
          <w:rtl/>
        </w:rPr>
        <w:t>6</w:t>
      </w:r>
      <w:r w:rsidRPr="00E35A9E">
        <w:rPr>
          <w:rFonts w:ascii="Century" w:hAnsi="Century"/>
          <w:rtl/>
        </w:rPr>
        <w:t>)</w:t>
      </w:r>
      <w:r>
        <w:rPr>
          <w:rFonts w:ascii="Century" w:hAnsi="Century" w:hint="cs"/>
          <w:rtl/>
        </w:rPr>
        <w:t>); וראו</w:t>
      </w:r>
      <w:r w:rsidRPr="00E35A9E">
        <w:rPr>
          <w:rFonts w:ascii="Century" w:hAnsi="Century" w:hint="cs"/>
          <w:rtl/>
        </w:rPr>
        <w:t xml:space="preserve"> לעניין זה </w:t>
      </w:r>
      <w:r>
        <w:rPr>
          <w:rFonts w:ascii="Century" w:hAnsi="Century" w:hint="cs"/>
          <w:rtl/>
        </w:rPr>
        <w:t xml:space="preserve">אף את </w:t>
      </w:r>
      <w:r w:rsidRPr="00E35A9E">
        <w:rPr>
          <w:rFonts w:ascii="Century" w:hAnsi="Century" w:hint="cs"/>
          <w:rtl/>
        </w:rPr>
        <w:t xml:space="preserve">דברי השופט </w:t>
      </w:r>
      <w:r w:rsidRPr="00FA4E3A">
        <w:rPr>
          <w:rFonts w:ascii="Century" w:hAnsi="Century" w:cs="Miriam" w:hint="cs"/>
          <w:b/>
          <w:spacing w:val="0"/>
          <w:szCs w:val="24"/>
          <w:rtl/>
        </w:rPr>
        <w:t>חשין</w:t>
      </w:r>
      <w:r>
        <w:rPr>
          <w:rFonts w:hint="cs"/>
          <w:rtl/>
        </w:rPr>
        <w:t>:</w:t>
      </w:r>
    </w:p>
    <w:p w:rsidR="00D8481A" w:rsidRDefault="00D8481A" w:rsidP="00D8481A">
      <w:pPr>
        <w:pStyle w:val="Ruller41"/>
        <w:rPr>
          <w:rtl/>
        </w:rPr>
      </w:pPr>
    </w:p>
    <w:p w:rsidR="00D8481A" w:rsidRDefault="00D8481A" w:rsidP="00D8481A">
      <w:pPr>
        <w:pStyle w:val="Ruller5"/>
        <w:rPr>
          <w:rtl/>
        </w:rPr>
      </w:pPr>
      <w:r w:rsidRPr="00FA4E3A">
        <w:rPr>
          <w:rFonts w:ascii="Century" w:hAnsi="Century" w:hint="cs"/>
          <w:rtl/>
        </w:rPr>
        <w:t>"</w:t>
      </w:r>
      <w:r w:rsidRPr="00FA4E3A">
        <w:rPr>
          <w:rFonts w:ascii="Century" w:hAnsi="Century"/>
          <w:rtl/>
        </w:rPr>
        <w:t xml:space="preserve">נעיר בדרך אגב, כי בניסוחו של סעיף 4 כָּשַל המחוקק </w:t>
      </w:r>
      <w:r>
        <w:rPr>
          <w:rtl/>
        </w:rPr>
        <w:t xml:space="preserve">בלשונו. אין יהודי </w:t>
      </w:r>
      <w:r>
        <w:rPr>
          <w:rFonts w:hint="cs"/>
          <w:rtl/>
        </w:rPr>
        <w:t>'</w:t>
      </w:r>
      <w:r>
        <w:rPr>
          <w:rtl/>
        </w:rPr>
        <w:t>שעלה לפי חוק זה</w:t>
      </w:r>
      <w:r>
        <w:rPr>
          <w:rFonts w:hint="cs"/>
          <w:rtl/>
        </w:rPr>
        <w:t>'</w:t>
      </w:r>
      <w:r>
        <w:rPr>
          <w:rtl/>
        </w:rPr>
        <w:t xml:space="preserve">. יהודים עלו ועולים ארצה לא </w:t>
      </w:r>
      <w:r>
        <w:rPr>
          <w:rFonts w:hint="cs"/>
          <w:rtl/>
        </w:rPr>
        <w:t>'</w:t>
      </w:r>
      <w:r>
        <w:rPr>
          <w:rtl/>
        </w:rPr>
        <w:t>לפי חוק זה</w:t>
      </w:r>
      <w:r>
        <w:rPr>
          <w:rFonts w:hint="cs"/>
          <w:rtl/>
        </w:rPr>
        <w:t>'</w:t>
      </w:r>
      <w:r>
        <w:rPr>
          <w:rtl/>
        </w:rPr>
        <w:t xml:space="preserve"> ולא לפי חוק אחר; יהודים עלו ועולים ארצה מתוך שנפשם ערגה לעלות, בגעגועיהם לעלות, בכיליון</w:t>
      </w:r>
      <w:r>
        <w:rPr>
          <w:position w:val="4"/>
          <w:sz w:val="18"/>
          <w:rtl/>
        </w:rPr>
        <w:t>-</w:t>
      </w:r>
      <w:r>
        <w:rPr>
          <w:rtl/>
        </w:rPr>
        <w:t xml:space="preserve">נפש לעלות או מתוך שברחו </w:t>
      </w:r>
      <w:r w:rsidRPr="00FA4E3A">
        <w:rPr>
          <w:rFonts w:ascii="Century" w:hAnsi="Century"/>
          <w:rtl/>
        </w:rPr>
        <w:t xml:space="preserve">ממשנאיהם; בא חוק השבות והצמיד זכות משפטית </w:t>
      </w:r>
      <w:r>
        <w:rPr>
          <w:rtl/>
        </w:rPr>
        <w:t>לעלייה ארצה, זכות הנספחת לזכותו הטבעית וההיסטורית של כל יהודי</w:t>
      </w:r>
      <w:r>
        <w:rPr>
          <w:rFonts w:hint="cs"/>
          <w:rtl/>
        </w:rPr>
        <w:t xml:space="preserve">" (עניין </w:t>
      </w:r>
      <w:r w:rsidRPr="00FA4E3A">
        <w:rPr>
          <w:rFonts w:ascii="Century" w:hAnsi="Century" w:cs="Miriam" w:hint="cs"/>
          <w:b/>
          <w:spacing w:val="0"/>
          <w:szCs w:val="24"/>
          <w:rtl/>
        </w:rPr>
        <w:t>סטמקה</w:t>
      </w:r>
      <w:r>
        <w:rPr>
          <w:rFonts w:hint="cs"/>
          <w:rtl/>
        </w:rPr>
        <w:t xml:space="preserve">, בפס' 26)). </w:t>
      </w:r>
    </w:p>
    <w:p w:rsidR="00D8481A" w:rsidRDefault="00D8481A" w:rsidP="00D8481A">
      <w:pPr>
        <w:pStyle w:val="Ruller41"/>
        <w:rPr>
          <w:rtl/>
        </w:rPr>
      </w:pPr>
    </w:p>
    <w:p w:rsidR="00D8481A" w:rsidRPr="00E9217E" w:rsidRDefault="00D8481A" w:rsidP="00D8481A">
      <w:pPr>
        <w:pStyle w:val="Ruller41"/>
        <w:rPr>
          <w:rFonts w:ascii="Century" w:hAnsi="Century"/>
          <w:rtl/>
        </w:rPr>
      </w:pPr>
      <w:r>
        <w:rPr>
          <w:rFonts w:hint="cs"/>
          <w:rtl/>
        </w:rPr>
        <w:t>19.</w:t>
      </w:r>
      <w:r>
        <w:rPr>
          <w:rFonts w:hint="cs"/>
          <w:rtl/>
        </w:rPr>
        <w:tab/>
        <w:t xml:space="preserve">לנוכח האמור, אף ששיקולים שנוגעים למוסד המשפחה הם חשובים כשלעצמם, אני סבורה כי אין בהם כדי להוביל להרחבת זכות השבות כך שתחול גם ביחס לאלמנת צאצא; הרחבה כאמור אינה מתיישבת עם מהותו של חוק השבות, עם תכליותיו ועם ההצדקות לו (ראו והשוו: </w:t>
      </w:r>
      <w:r>
        <w:rPr>
          <w:rFonts w:ascii="Century" w:hAnsi="Century" w:cs="Miriam" w:hint="cs"/>
          <w:b/>
          <w:spacing w:val="0"/>
          <w:szCs w:val="24"/>
          <w:rtl/>
        </w:rPr>
        <w:t>גביזון</w:t>
      </w:r>
      <w:r>
        <w:rPr>
          <w:rFonts w:ascii="Century" w:hAnsi="Century" w:hint="cs"/>
          <w:rtl/>
        </w:rPr>
        <w:t>, בעמ' 77-73).</w:t>
      </w:r>
    </w:p>
    <w:p w:rsidR="00D8481A" w:rsidRDefault="00D8481A" w:rsidP="00D8481A">
      <w:pPr>
        <w:pStyle w:val="Ruller41"/>
        <w:rPr>
          <w:rtl/>
        </w:rPr>
      </w:pPr>
    </w:p>
    <w:p w:rsidR="00D8481A" w:rsidRDefault="00D8481A" w:rsidP="00D8481A">
      <w:pPr>
        <w:pStyle w:val="Ruller41"/>
        <w:rPr>
          <w:rFonts w:ascii="Century" w:hAnsi="Century"/>
          <w:rtl/>
        </w:rPr>
      </w:pPr>
      <w:r>
        <w:rPr>
          <w:rFonts w:hint="cs"/>
          <w:rtl/>
        </w:rPr>
        <w:t>20</w:t>
      </w:r>
      <w:r>
        <w:rPr>
          <w:rFonts w:ascii="Century" w:hAnsi="Century" w:hint="cs"/>
          <w:rtl/>
        </w:rPr>
        <w:t>.</w:t>
      </w:r>
      <w:r>
        <w:rPr>
          <w:rFonts w:ascii="Century" w:hAnsi="Century"/>
          <w:rtl/>
        </w:rPr>
        <w:tab/>
      </w:r>
      <w:r>
        <w:rPr>
          <w:rFonts w:ascii="Century" w:hAnsi="Century" w:hint="cs"/>
          <w:rtl/>
        </w:rPr>
        <w:t xml:space="preserve">לצד זאת יודגש, כי מסקנתי שלפיה אלמנת הצאצא איננה זכאית שבות, אינה שוללת ממנה את האפשרות לקבל מעמד בישראל. כידוע, המקורות היהודיים משופעים </w:t>
      </w:r>
      <w:r>
        <w:rPr>
          <w:rFonts w:ascii="Century" w:hAnsi="Century" w:hint="cs"/>
          <w:rtl/>
        </w:rPr>
        <w:lastRenderedPageBreak/>
        <w:t>בציוויים הנוגעים לחובה המיוחדת לפעול ברגישות ביחס לאלמנות, לנוכח ה</w:t>
      </w:r>
      <w:r w:rsidRPr="00954DBE">
        <w:rPr>
          <w:rFonts w:ascii="Century" w:hAnsi="Century" w:hint="eastAsia"/>
          <w:rtl/>
        </w:rPr>
        <w:t>פְּגִיעוּת</w:t>
      </w:r>
      <w:r>
        <w:rPr>
          <w:rFonts w:ascii="Century" w:hAnsi="Century" w:hint="cs"/>
          <w:rtl/>
        </w:rPr>
        <w:t xml:space="preserve"> הנלווית לעתים למצבן (ראו, למשל, את הציווי "כל אלמנה ויתום לא תענון" (שמות כב 21)). עלינו להישמר, אפוא, מפני הקשיית הלב ביחס לאלמנות המבקשות לקבל מעמד בישראל בשל הקשר שלהן לעם היהודי, גם אם לא מדובר בקשר אשר מצדיק הענקת זכות שבות. עם זאת, המסגרת הנורמטיבית המתאימה למתן המעמד</w:t>
      </w:r>
      <w:r w:rsidRPr="00277C34">
        <w:rPr>
          <w:rFonts w:ascii="Century" w:hAnsi="Century" w:hint="cs"/>
          <w:rtl/>
        </w:rPr>
        <w:t xml:space="preserve"> </w:t>
      </w:r>
      <w:r>
        <w:rPr>
          <w:rFonts w:ascii="Century" w:hAnsi="Century" w:hint="cs"/>
          <w:rtl/>
        </w:rPr>
        <w:t>במקרים מעין אלה אינה חוק השבות, אלא חוק האזרחות,</w:t>
      </w:r>
      <w:r w:rsidRPr="00E35A9E">
        <w:rPr>
          <w:rFonts w:ascii="Century" w:hAnsi="Century" w:hint="cs"/>
          <w:rtl/>
        </w:rPr>
        <w:t xml:space="preserve"> התשי"ב-1952</w:t>
      </w:r>
      <w:r>
        <w:rPr>
          <w:rFonts w:ascii="Century" w:hAnsi="Century" w:hint="cs"/>
          <w:rtl/>
        </w:rPr>
        <w:t xml:space="preserve"> וחוק הכניסה לישראל, התשי"ב-1952 (ראו: עניין </w:t>
      </w:r>
      <w:r w:rsidRPr="00FF13AB">
        <w:rPr>
          <w:rFonts w:ascii="Century" w:hAnsi="Century" w:cs="Miriam" w:hint="cs"/>
          <w:b/>
          <w:spacing w:val="0"/>
          <w:szCs w:val="24"/>
          <w:rtl/>
        </w:rPr>
        <w:t>גורודצקי</w:t>
      </w:r>
      <w:r>
        <w:rPr>
          <w:rFonts w:ascii="Century" w:hAnsi="Century" w:hint="cs"/>
          <w:rtl/>
        </w:rPr>
        <w:t xml:space="preserve">, בפס' 39 וההפניות שם). </w:t>
      </w:r>
    </w:p>
    <w:p w:rsidR="00D8481A" w:rsidRDefault="00D8481A" w:rsidP="00D8481A">
      <w:pPr>
        <w:pStyle w:val="Ruller41"/>
        <w:rPr>
          <w:rtl/>
        </w:rPr>
      </w:pPr>
    </w:p>
    <w:p w:rsidR="00016EF1" w:rsidRDefault="00D8481A" w:rsidP="00D8481A">
      <w:pPr>
        <w:pStyle w:val="Ruller41"/>
        <w:rPr>
          <w:color w:val="FFFFFF" w:themeColor="background1"/>
          <w:rtl/>
        </w:rPr>
      </w:pPr>
      <w:r>
        <w:rPr>
          <w:rFonts w:hint="cs"/>
          <w:rtl/>
        </w:rPr>
        <w:t>21.</w:t>
      </w:r>
      <w:r>
        <w:rPr>
          <w:rFonts w:hint="cs"/>
          <w:rtl/>
        </w:rPr>
        <w:tab/>
        <w:t>לסיכום, חוק השבות הוא אחד הסממנים החקיקתיים המובהקים ביותר לאופייה היהודי של מדינת ישראל. הוא מבטא תפיסה שורשית של העם בישראל בנוגע לזיקה העמוקה שבין העם היהודי כולו לבין ארץ ישראל. טעמים שונים הביאו את המחוקק להרחיב את הזכות המוקנית ליהודי לפי חוק השבות גם לבני משפחה של יהודי; אך פרשנות החוק בהתאם ללשונו ולתכליתו תוחמת את גבולות ההרחבה האמורה, ומלמדת כי החוק אינו מכיר בזכות השבות של אלמנת צאצא של יהודי.</w:t>
      </w:r>
    </w:p>
    <w:p w:rsidR="00D8481A" w:rsidRDefault="00D8481A" w:rsidP="00D8481A">
      <w:pPr>
        <w:pStyle w:val="Ruller41"/>
        <w:rPr>
          <w:color w:val="FFFFFF" w:themeColor="background1"/>
          <w:rtl/>
        </w:rPr>
      </w:pPr>
    </w:p>
    <w:p w:rsidR="00D8481A" w:rsidRDefault="00D8481A" w:rsidP="00D8481A">
      <w:pPr>
        <w:pStyle w:val="Ruller41"/>
        <w:rPr>
          <w:rtl/>
        </w:rPr>
      </w:pPr>
    </w:p>
    <w:tbl>
      <w:tblPr>
        <w:bidiVisual/>
        <w:tblW w:w="8363" w:type="dxa"/>
        <w:tblLook w:val="01E0" w:firstRow="1" w:lastRow="1" w:firstColumn="1" w:lastColumn="1" w:noHBand="0" w:noVBand="0"/>
      </w:tblPr>
      <w:tblGrid>
        <w:gridCol w:w="2783"/>
        <w:gridCol w:w="2797"/>
        <w:gridCol w:w="2783"/>
      </w:tblGrid>
      <w:tr w:rsidR="00D8481A" w:rsidRPr="00267280" w:rsidTr="00F97246">
        <w:tc>
          <w:tcPr>
            <w:tcW w:w="2783" w:type="dxa"/>
            <w:shd w:val="clear" w:color="auto" w:fill="auto"/>
          </w:tcPr>
          <w:p w:rsidR="00D8481A" w:rsidRPr="00267280" w:rsidRDefault="00D8481A" w:rsidP="00F97246">
            <w:pPr>
              <w:pStyle w:val="Ruller41"/>
              <w:jc w:val="center"/>
              <w:rPr>
                <w:rtl/>
              </w:rPr>
            </w:pPr>
          </w:p>
        </w:tc>
        <w:tc>
          <w:tcPr>
            <w:tcW w:w="2797" w:type="dxa"/>
            <w:shd w:val="clear" w:color="auto" w:fill="auto"/>
          </w:tcPr>
          <w:p w:rsidR="00D8481A" w:rsidRPr="00267280" w:rsidRDefault="00D8481A" w:rsidP="00F97246">
            <w:pPr>
              <w:pStyle w:val="Ruller41"/>
              <w:jc w:val="center"/>
              <w:rPr>
                <w:rtl/>
              </w:rPr>
            </w:pPr>
          </w:p>
        </w:tc>
        <w:tc>
          <w:tcPr>
            <w:tcW w:w="2783" w:type="dxa"/>
            <w:shd w:val="clear" w:color="auto" w:fill="auto"/>
          </w:tcPr>
          <w:p w:rsidR="00D8481A" w:rsidRPr="00267280" w:rsidRDefault="00D8481A" w:rsidP="00F97246">
            <w:pPr>
              <w:pStyle w:val="Ruller41"/>
              <w:jc w:val="right"/>
              <w:rPr>
                <w:rtl/>
              </w:rPr>
            </w:pPr>
            <w:r>
              <w:rPr>
                <w:rFonts w:hint="cs"/>
                <w:rtl/>
              </w:rPr>
              <w:t>ש ו פ ט ת</w:t>
            </w:r>
          </w:p>
        </w:tc>
      </w:tr>
    </w:tbl>
    <w:p w:rsidR="00D8481A" w:rsidRDefault="00D8481A" w:rsidP="00D8481A">
      <w:pPr>
        <w:pStyle w:val="Ruller41"/>
        <w:rPr>
          <w:color w:val="FFFFFF" w:themeColor="background1"/>
          <w:rtl/>
        </w:rPr>
      </w:pPr>
    </w:p>
    <w:p w:rsidR="004667F3" w:rsidRDefault="004667F3" w:rsidP="00D8481A">
      <w:pPr>
        <w:pStyle w:val="Ruller41"/>
        <w:rPr>
          <w:color w:val="FFFFFF" w:themeColor="background1"/>
          <w:rtl/>
        </w:rPr>
      </w:pPr>
    </w:p>
    <w:p w:rsidR="003B0CE6" w:rsidRDefault="003B0CE6" w:rsidP="003B0CE6">
      <w:pPr>
        <w:pStyle w:val="BODYVERDICT"/>
        <w:rPr>
          <w:rFonts w:cs="Miriam"/>
          <w:sz w:val="24"/>
          <w:szCs w:val="24"/>
          <w:u w:val="single"/>
          <w:rtl/>
        </w:rPr>
      </w:pPr>
      <w:r>
        <w:rPr>
          <w:rFonts w:cs="Miriam"/>
          <w:sz w:val="24"/>
          <w:szCs w:val="24"/>
          <w:u w:val="single"/>
          <w:rtl/>
        </w:rPr>
        <w:t>השופט י' עמית</w:t>
      </w:r>
      <w:r w:rsidRPr="000C662D">
        <w:rPr>
          <w:rFonts w:cs="Miriam"/>
          <w:sz w:val="24"/>
          <w:szCs w:val="24"/>
          <w:rtl/>
        </w:rPr>
        <w:t>:</w:t>
      </w:r>
    </w:p>
    <w:p w:rsidR="003B0CE6" w:rsidRDefault="003B0CE6" w:rsidP="003B0CE6">
      <w:pPr>
        <w:pStyle w:val="Ruller41"/>
        <w:rPr>
          <w:rtl/>
        </w:rPr>
      </w:pPr>
    </w:p>
    <w:p w:rsidR="003B0CE6" w:rsidRPr="00482A11" w:rsidRDefault="003B0CE6" w:rsidP="003B0CE6">
      <w:pPr>
        <w:pStyle w:val="Ruller41"/>
        <w:rPr>
          <w:rFonts w:ascii="Century" w:hAnsi="Century"/>
          <w:rtl/>
        </w:rPr>
      </w:pPr>
      <w:r>
        <w:rPr>
          <w:rFonts w:hint="cs"/>
          <w:rtl/>
        </w:rPr>
        <w:t>1.</w:t>
      </w:r>
      <w:r>
        <w:rPr>
          <w:rtl/>
        </w:rPr>
        <w:tab/>
      </w:r>
      <w:r>
        <w:rPr>
          <w:rFonts w:hint="cs"/>
          <w:rtl/>
        </w:rPr>
        <w:t xml:space="preserve">אני מסכים לפסק דינו של </w:t>
      </w:r>
      <w:r w:rsidRPr="009A2E1E">
        <w:rPr>
          <w:rtl/>
        </w:rPr>
        <w:t>ממלא מקום הנשיא</w:t>
      </w:r>
      <w:r>
        <w:rPr>
          <w:rFonts w:hint="cs"/>
          <w:rtl/>
        </w:rPr>
        <w:t xml:space="preserve"> השופט </w:t>
      </w:r>
      <w:r w:rsidRPr="00476247">
        <w:rPr>
          <w:rFonts w:ascii="Century" w:hAnsi="Century" w:cs="Miriam" w:hint="cs"/>
          <w:b/>
          <w:spacing w:val="0"/>
          <w:szCs w:val="24"/>
          <w:rtl/>
        </w:rPr>
        <w:t>ע'</w:t>
      </w:r>
      <w:r>
        <w:rPr>
          <w:rFonts w:hint="cs"/>
          <w:rtl/>
        </w:rPr>
        <w:t xml:space="preserve"> </w:t>
      </w:r>
      <w:r w:rsidRPr="00476247">
        <w:rPr>
          <w:rFonts w:ascii="Century" w:hAnsi="Century" w:cs="Miriam" w:hint="cs"/>
          <w:b/>
          <w:spacing w:val="0"/>
          <w:szCs w:val="24"/>
          <w:rtl/>
        </w:rPr>
        <w:t>פוגלמן</w:t>
      </w:r>
      <w:r>
        <w:rPr>
          <w:rFonts w:ascii="Century" w:hAnsi="Century" w:hint="cs"/>
          <w:rtl/>
        </w:rPr>
        <w:t xml:space="preserve">, אליו הצטרפו בהסכמה חברותיי השופטת (בדימוס) </w:t>
      </w:r>
      <w:r w:rsidRPr="00092A56">
        <w:rPr>
          <w:rFonts w:ascii="Century" w:hAnsi="Century" w:cs="Miriam" w:hint="cs"/>
          <w:b/>
          <w:spacing w:val="0"/>
          <w:szCs w:val="24"/>
          <w:rtl/>
        </w:rPr>
        <w:t xml:space="preserve">ע' ברון </w:t>
      </w:r>
      <w:r>
        <w:rPr>
          <w:rFonts w:ascii="Century" w:hAnsi="Century" w:hint="cs"/>
          <w:rtl/>
        </w:rPr>
        <w:t xml:space="preserve">והשופטת </w:t>
      </w:r>
      <w:r w:rsidRPr="00092A56">
        <w:rPr>
          <w:rFonts w:ascii="Century" w:hAnsi="Century" w:cs="Miriam" w:hint="cs"/>
          <w:b/>
          <w:spacing w:val="0"/>
          <w:szCs w:val="24"/>
          <w:rtl/>
        </w:rPr>
        <w:t>ד' ברק ארז</w:t>
      </w:r>
      <w:r>
        <w:rPr>
          <w:rFonts w:ascii="Century" w:hAnsi="Century" w:hint="cs"/>
          <w:rtl/>
        </w:rPr>
        <w:t xml:space="preserve">. </w:t>
      </w:r>
    </w:p>
    <w:p w:rsidR="003B0CE6" w:rsidRDefault="003B0CE6" w:rsidP="003B0CE6">
      <w:pPr>
        <w:pStyle w:val="Ruller41"/>
        <w:rPr>
          <w:rFonts w:ascii="Century" w:hAnsi="Century"/>
          <w:rtl/>
        </w:rPr>
      </w:pPr>
    </w:p>
    <w:p w:rsidR="003B0CE6" w:rsidRDefault="003B0CE6" w:rsidP="003B0CE6">
      <w:pPr>
        <w:pStyle w:val="Ruller41"/>
        <w:rPr>
          <w:rFonts w:ascii="Century" w:hAnsi="Century"/>
          <w:rtl/>
        </w:rPr>
      </w:pPr>
      <w:r>
        <w:rPr>
          <w:rFonts w:ascii="Century" w:hAnsi="Century" w:hint="cs"/>
          <w:rtl/>
        </w:rPr>
        <w:t>2.</w:t>
      </w:r>
      <w:r>
        <w:rPr>
          <w:rFonts w:ascii="Century" w:hAnsi="Century"/>
          <w:rtl/>
        </w:rPr>
        <w:tab/>
      </w:r>
      <w:r>
        <w:rPr>
          <w:rFonts w:ascii="Century" w:hAnsi="Century" w:hint="cs"/>
          <w:rtl/>
        </w:rPr>
        <w:t xml:space="preserve">את עמדתי פרטתי בחוות דעתי בפסק הדין נושא הדיון הנוסף, ולא אחזור אלא על עיקרי הדברים. אף לדידי, כדעת </w:t>
      </w:r>
      <w:r w:rsidRPr="009A2E1E">
        <w:rPr>
          <w:rtl/>
        </w:rPr>
        <w:t>ממלא מקום הנשיא</w:t>
      </w:r>
      <w:r>
        <w:rPr>
          <w:rFonts w:hint="cs"/>
          <w:rtl/>
        </w:rPr>
        <w:t xml:space="preserve">, </w:t>
      </w:r>
      <w:r>
        <w:rPr>
          <w:rFonts w:ascii="Century" w:hAnsi="Century" w:hint="cs"/>
          <w:rtl/>
        </w:rPr>
        <w:t xml:space="preserve">לשתי החלופות הפרשניות שהוצגו על ידי הצדדים יש עיגון בלשון סעיף 4א לחוק השבות, התש"י-1959 (להלן: </w:t>
      </w:r>
      <w:r w:rsidRPr="00D90786">
        <w:rPr>
          <w:rFonts w:ascii="Century" w:hAnsi="Century" w:cs="Miriam" w:hint="cs"/>
          <w:b/>
          <w:spacing w:val="0"/>
          <w:szCs w:val="24"/>
          <w:rtl/>
        </w:rPr>
        <w:t>חוק השבות</w:t>
      </w:r>
      <w:r>
        <w:rPr>
          <w:rFonts w:ascii="Century" w:hAnsi="Century" w:hint="cs"/>
          <w:rtl/>
        </w:rPr>
        <w:t xml:space="preserve">). כמו כן, יש בסיס לסבור </w:t>
      </w:r>
      <w:r>
        <w:rPr>
          <w:rFonts w:hint="cs"/>
          <w:rtl/>
        </w:rPr>
        <w:t>כי עליית אלמנת זכאי שבות ארצה לאחר פטירת זכאי השבות, עמדה לנגד עיני המחוקק במהלך הליך החקיקה</w:t>
      </w:r>
      <w:r>
        <w:rPr>
          <w:rFonts w:ascii="Century" w:hAnsi="Century" w:hint="cs"/>
          <w:rtl/>
        </w:rPr>
        <w:t xml:space="preserve">. </w:t>
      </w:r>
    </w:p>
    <w:p w:rsidR="003B0CE6" w:rsidRDefault="003B0CE6" w:rsidP="003B0CE6">
      <w:pPr>
        <w:pStyle w:val="Ruller41"/>
        <w:rPr>
          <w:rFonts w:ascii="Century" w:hAnsi="Century"/>
          <w:rtl/>
        </w:rPr>
      </w:pPr>
    </w:p>
    <w:p w:rsidR="003B0CE6" w:rsidRPr="007D080B" w:rsidRDefault="003B0CE6" w:rsidP="003B0CE6">
      <w:pPr>
        <w:pStyle w:val="Ruller41"/>
        <w:rPr>
          <w:rtl/>
        </w:rPr>
      </w:pPr>
      <w:r>
        <w:rPr>
          <w:rFonts w:ascii="Century" w:hAnsi="Century"/>
          <w:rtl/>
        </w:rPr>
        <w:tab/>
      </w:r>
      <w:r>
        <w:rPr>
          <w:rFonts w:ascii="Century" w:hAnsi="Century" w:hint="cs"/>
          <w:rtl/>
        </w:rPr>
        <w:t xml:space="preserve">כפי שהסבירו חבריי, ביסודו של סעיף 4א לחוק עומדות מספר תכליות המשלימות ומשתלבות זו בזו. על רקע תכליות אלה, השאלה המתעוררת במקרה שלפנינו היא בעלת פנים לכאן ולכאן. לדידי, </w:t>
      </w:r>
      <w:r>
        <w:rPr>
          <w:rFonts w:hint="cs"/>
          <w:rtl/>
        </w:rPr>
        <w:t xml:space="preserve">הענקת מעמד מכוח חוק השבות לאלמני זכאי שבות מגשימה חלק מתכליותיו של סעיף 4א לחוק כפי שפורשו בפסיקה, הגם שהמקרה מתרחק </w:t>
      </w:r>
      <w:r>
        <w:rPr>
          <w:rFonts w:hint="cs"/>
          <w:rtl/>
        </w:rPr>
        <w:lastRenderedPageBreak/>
        <w:t>מגרעינו הקשה של חוק השבות (וראו פסקאות 48-46 לחוות דעתי בפסק הדין מושא הדיון הנוסף).</w:t>
      </w:r>
      <w:r>
        <w:rPr>
          <w:rFonts w:ascii="Century" w:hAnsi="Century" w:hint="cs"/>
          <w:rtl/>
        </w:rPr>
        <w:t xml:space="preserve"> </w:t>
      </w:r>
      <w:r>
        <w:rPr>
          <w:rFonts w:hint="cs"/>
          <w:rtl/>
        </w:rPr>
        <w:t xml:space="preserve">בדומה לעמדתה של חברתי השופטת </w:t>
      </w:r>
      <w:r w:rsidRPr="001B6DC1">
        <w:rPr>
          <w:rFonts w:ascii="Century" w:hAnsi="Century" w:cs="Miriam" w:hint="cs"/>
          <w:b/>
          <w:spacing w:val="0"/>
          <w:szCs w:val="24"/>
          <w:rtl/>
        </w:rPr>
        <w:t>ברק ארז</w:t>
      </w:r>
      <w:r>
        <w:rPr>
          <w:rFonts w:hint="cs"/>
          <w:rtl/>
        </w:rPr>
        <w:t>, גם לדידי התפיסה החברתית ביחס למוסד המשפחה אינה רואה בפטירת אדם כניתוק של קשרי המשפחה והזוגיות שהיו בין בני זוג. לכן, במקרה של פטירת זכאי שבות, עשויה להישמר קרבתה של אלמנתו לעם היהודי, באופן שיגשים את כוונת המחוקק להעניק לה זכות שבות.</w:t>
      </w:r>
      <w:r>
        <w:rPr>
          <w:rFonts w:ascii="Century" w:hAnsi="Century" w:hint="cs"/>
          <w:rtl/>
        </w:rPr>
        <w:t xml:space="preserve"> בנסיבות אלה, אני סבור כי פרשנות לפיה אלמנות ואלמנים של זכאי שבות מוחרגים מגדרי סעיף 4א לחוק</w:t>
      </w:r>
      <w:r>
        <w:rPr>
          <w:rFonts w:hint="cs"/>
          <w:rtl/>
        </w:rPr>
        <w:t xml:space="preserve"> השבות </w:t>
      </w:r>
      <w:r>
        <w:rPr>
          <w:rtl/>
        </w:rPr>
        <w:t>–</w:t>
      </w:r>
      <w:r>
        <w:rPr>
          <w:rFonts w:hint="cs"/>
          <w:rtl/>
        </w:rPr>
        <w:t xml:space="preserve"> לא יכולה לעמוד.  </w:t>
      </w:r>
    </w:p>
    <w:p w:rsidR="003B0CE6" w:rsidRDefault="003B0CE6" w:rsidP="003B0CE6">
      <w:pPr>
        <w:pStyle w:val="Ruller41"/>
        <w:rPr>
          <w:rFonts w:ascii="Century" w:hAnsi="Century"/>
          <w:rtl/>
        </w:rPr>
      </w:pPr>
    </w:p>
    <w:p w:rsidR="003B0CE6" w:rsidRPr="0000284A" w:rsidRDefault="003B0CE6" w:rsidP="003B0CE6">
      <w:pPr>
        <w:pStyle w:val="Ruller41"/>
        <w:rPr>
          <w:rFonts w:ascii="Century" w:hAnsi="Century"/>
        </w:rPr>
      </w:pPr>
      <w:r>
        <w:rPr>
          <w:rFonts w:ascii="Century" w:hAnsi="Century" w:hint="cs"/>
          <w:rtl/>
        </w:rPr>
        <w:t>3.</w:t>
      </w:r>
      <w:r>
        <w:rPr>
          <w:rFonts w:ascii="Century" w:hAnsi="Century"/>
          <w:rtl/>
        </w:rPr>
        <w:tab/>
      </w:r>
      <w:r>
        <w:rPr>
          <w:rFonts w:ascii="Century" w:hAnsi="Century" w:hint="cs"/>
          <w:rtl/>
        </w:rPr>
        <w:t>בדיון שהתקיים לפנינו למדנו כי בעקבות פסק הדין נושא הדיון הנוסף, בקשות למעמד מכוח חוק השבות של אלמני זכאי שבות, נבחנו על ידי הגורמים המוסמכים ברשות האוכלוסין וההגירה תוך בדיקה אם האלמן או האלמנה מקיימים את המסורת היהודית. כעולה מהדוגמאות המפורטות בפסקה 56 לחוות דעתי בפסק הדין נושא הדיון הנוסף, לא אלה הקריטריונים לפיהם יש לדידי להכיר באלמן או באלמנה כ</w:t>
      </w:r>
      <w:r w:rsidRPr="00CA2000">
        <w:rPr>
          <w:rFonts w:ascii="Century" w:hAnsi="Century" w:hint="cs"/>
          <w:rtl/>
        </w:rPr>
        <w:t>ב</w:t>
      </w:r>
      <w:r>
        <w:rPr>
          <w:rFonts w:ascii="Century" w:hAnsi="Century" w:hint="cs"/>
          <w:rtl/>
        </w:rPr>
        <w:t>ני</w:t>
      </w:r>
      <w:r w:rsidRPr="00CA2000">
        <w:rPr>
          <w:rFonts w:ascii="Century" w:hAnsi="Century" w:hint="cs"/>
          <w:rtl/>
        </w:rPr>
        <w:t xml:space="preserve"> זוג של זכאי שבות</w:t>
      </w:r>
      <w:r>
        <w:rPr>
          <w:rFonts w:ascii="Century" w:hAnsi="Century" w:hint="cs"/>
          <w:rtl/>
        </w:rPr>
        <w:t xml:space="preserve"> </w:t>
      </w:r>
      <w:r w:rsidRPr="00CA2000">
        <w:rPr>
          <w:rFonts w:ascii="Century" w:hAnsi="Century" w:hint="cs"/>
          <w:rtl/>
        </w:rPr>
        <w:t>ל</w:t>
      </w:r>
      <w:r>
        <w:rPr>
          <w:rFonts w:ascii="Century" w:hAnsi="Century" w:hint="cs"/>
          <w:rtl/>
        </w:rPr>
        <w:t>הם</w:t>
      </w:r>
      <w:r w:rsidRPr="00CA2000">
        <w:rPr>
          <w:rFonts w:ascii="Century" w:hAnsi="Century" w:hint="cs"/>
          <w:rtl/>
        </w:rPr>
        <w:t xml:space="preserve"> יוענק מעמד מכוח סעיף 4א לחוק</w:t>
      </w:r>
      <w:r>
        <w:rPr>
          <w:rFonts w:ascii="Century" w:hAnsi="Century" w:hint="cs"/>
          <w:rtl/>
        </w:rPr>
        <w:t xml:space="preserve"> (</w:t>
      </w:r>
      <w:r>
        <w:rPr>
          <w:rFonts w:hint="cs"/>
          <w:rtl/>
        </w:rPr>
        <w:t xml:space="preserve">וראו גם בפסקה 8 לפסק דינה של השופטת (בדימוס) </w:t>
      </w:r>
      <w:r w:rsidRPr="00C95912">
        <w:rPr>
          <w:rFonts w:ascii="Century" w:hAnsi="Century" w:cs="Miriam" w:hint="cs"/>
          <w:b/>
          <w:spacing w:val="0"/>
          <w:szCs w:val="24"/>
          <w:rtl/>
        </w:rPr>
        <w:t>ברון</w:t>
      </w:r>
      <w:r>
        <w:rPr>
          <w:rFonts w:ascii="Century" w:hAnsi="Century" w:hint="cs"/>
          <w:rtl/>
        </w:rPr>
        <w:t>)</w:t>
      </w:r>
      <w:r w:rsidRPr="00CA2000">
        <w:rPr>
          <w:rFonts w:ascii="Century" w:hAnsi="Century" w:hint="cs"/>
          <w:rtl/>
        </w:rPr>
        <w:t>. אי לכך, אני מצ</w:t>
      </w:r>
      <w:r>
        <w:rPr>
          <w:rFonts w:hint="cs"/>
          <w:rtl/>
        </w:rPr>
        <w:t xml:space="preserve">טרף לתוצאה אליה הגיע </w:t>
      </w:r>
      <w:r w:rsidRPr="009A2E1E">
        <w:rPr>
          <w:rtl/>
        </w:rPr>
        <w:t>ממלא מקום הנשיא</w:t>
      </w:r>
      <w:r>
        <w:rPr>
          <w:rFonts w:hint="cs"/>
          <w:rtl/>
        </w:rPr>
        <w:t xml:space="preserve"> ולהערותיו לעניין שיקול הדעת הנתון למדינה בבחינת זכאות לפי חוק השבות (סעיף 52 לפסק דינו).</w:t>
      </w:r>
    </w:p>
    <w:p w:rsidR="003B0CE6" w:rsidRPr="003E2419" w:rsidRDefault="003B0CE6" w:rsidP="003B0CE6">
      <w:pPr>
        <w:pStyle w:val="BODYVERDICT"/>
        <w:rPr>
          <w:rFonts w:cs="Miriam"/>
          <w:sz w:val="24"/>
          <w:szCs w:val="24"/>
          <w:u w:val="single"/>
          <w:rtl/>
        </w:rPr>
      </w:pPr>
    </w:p>
    <w:p w:rsidR="003B0CE6" w:rsidRDefault="003B0CE6" w:rsidP="003B0CE6">
      <w:pPr>
        <w:pStyle w:val="Ruller41"/>
        <w:rPr>
          <w:rtl/>
        </w:rPr>
      </w:pPr>
    </w:p>
    <w:tbl>
      <w:tblPr>
        <w:bidiVisual/>
        <w:tblW w:w="8363" w:type="dxa"/>
        <w:tblLook w:val="01E0" w:firstRow="1" w:lastRow="1" w:firstColumn="1" w:lastColumn="1" w:noHBand="0" w:noVBand="0"/>
      </w:tblPr>
      <w:tblGrid>
        <w:gridCol w:w="2783"/>
        <w:gridCol w:w="2797"/>
        <w:gridCol w:w="2783"/>
      </w:tblGrid>
      <w:tr w:rsidR="003B0CE6" w:rsidRPr="00267280" w:rsidTr="00F97246">
        <w:tc>
          <w:tcPr>
            <w:tcW w:w="2783" w:type="dxa"/>
            <w:shd w:val="clear" w:color="auto" w:fill="auto"/>
          </w:tcPr>
          <w:p w:rsidR="003B0CE6" w:rsidRPr="00267280" w:rsidRDefault="003B0CE6" w:rsidP="00F97246">
            <w:pPr>
              <w:pStyle w:val="Ruller41"/>
              <w:jc w:val="center"/>
              <w:rPr>
                <w:rtl/>
              </w:rPr>
            </w:pPr>
          </w:p>
        </w:tc>
        <w:tc>
          <w:tcPr>
            <w:tcW w:w="2797" w:type="dxa"/>
            <w:shd w:val="clear" w:color="auto" w:fill="auto"/>
          </w:tcPr>
          <w:p w:rsidR="003B0CE6" w:rsidRPr="00267280" w:rsidRDefault="003B0CE6" w:rsidP="00F97246">
            <w:pPr>
              <w:pStyle w:val="Ruller41"/>
              <w:jc w:val="center"/>
              <w:rPr>
                <w:rtl/>
              </w:rPr>
            </w:pPr>
          </w:p>
        </w:tc>
        <w:tc>
          <w:tcPr>
            <w:tcW w:w="2783" w:type="dxa"/>
            <w:shd w:val="clear" w:color="auto" w:fill="auto"/>
          </w:tcPr>
          <w:p w:rsidR="003B0CE6" w:rsidRPr="00267280" w:rsidRDefault="003B0CE6" w:rsidP="00F97246">
            <w:pPr>
              <w:pStyle w:val="Ruller41"/>
              <w:jc w:val="right"/>
              <w:rPr>
                <w:rtl/>
              </w:rPr>
            </w:pPr>
            <w:r>
              <w:rPr>
                <w:rFonts w:hint="cs"/>
                <w:rtl/>
              </w:rPr>
              <w:t xml:space="preserve">ש ו פ ט </w:t>
            </w:r>
          </w:p>
        </w:tc>
      </w:tr>
    </w:tbl>
    <w:p w:rsidR="003B0CE6" w:rsidRDefault="003B0CE6" w:rsidP="003B0CE6">
      <w:pPr>
        <w:pStyle w:val="Ruller41"/>
        <w:rPr>
          <w:rtl/>
        </w:rPr>
      </w:pPr>
    </w:p>
    <w:p w:rsidR="00BA03D0" w:rsidRDefault="00BA03D0" w:rsidP="003B0CE6">
      <w:pPr>
        <w:pStyle w:val="Ruller41"/>
        <w:rPr>
          <w:rtl/>
        </w:rPr>
      </w:pPr>
    </w:p>
    <w:p w:rsidR="00BA03D0" w:rsidRPr="00503A3E" w:rsidRDefault="00BA03D0" w:rsidP="00BA03D0">
      <w:pPr>
        <w:pStyle w:val="BODYVERDICT"/>
        <w:rPr>
          <w:rFonts w:cs="Miriam"/>
          <w:sz w:val="24"/>
          <w:szCs w:val="24"/>
          <w:u w:val="single"/>
          <w:rtl/>
        </w:rPr>
      </w:pPr>
      <w:r>
        <w:rPr>
          <w:rFonts w:cs="Miriam"/>
          <w:sz w:val="24"/>
          <w:szCs w:val="24"/>
          <w:u w:val="single"/>
          <w:rtl/>
        </w:rPr>
        <w:t>השופט ד' מינץ</w:t>
      </w:r>
      <w:r w:rsidRPr="00CF1983">
        <w:rPr>
          <w:rFonts w:cs="Miriam"/>
          <w:sz w:val="24"/>
          <w:szCs w:val="24"/>
          <w:rtl/>
        </w:rPr>
        <w:t>:</w:t>
      </w:r>
    </w:p>
    <w:p w:rsidR="00BA03D0" w:rsidRDefault="00BA03D0" w:rsidP="00BA03D0">
      <w:pPr>
        <w:pStyle w:val="Ruller41"/>
        <w:rPr>
          <w:rtl/>
        </w:rPr>
      </w:pPr>
    </w:p>
    <w:p w:rsidR="00BA03D0" w:rsidRDefault="00BA03D0" w:rsidP="00BA03D0">
      <w:pPr>
        <w:pStyle w:val="Ruller41"/>
        <w:rPr>
          <w:rtl/>
        </w:rPr>
      </w:pPr>
      <w:r>
        <w:rPr>
          <w:rtl/>
        </w:rPr>
        <w:tab/>
      </w:r>
      <w:r>
        <w:rPr>
          <w:rFonts w:hint="cs"/>
          <w:rtl/>
        </w:rPr>
        <w:t xml:space="preserve">לאחר שבחנתי את חוות דעתם של חבריי, לא ראיתי לשנות מעמדתי בפסק הדין מושא הדיון הנוסף לפיה יש להעדיף את פרשנות המבקשים לסעיף 4א לחוק השבות, התש"י-1950 (להלן: </w:t>
      </w:r>
      <w:r w:rsidRPr="00270186">
        <w:rPr>
          <w:rFonts w:ascii="Century" w:hAnsi="Century" w:cs="Miriam" w:hint="cs"/>
          <w:b/>
          <w:spacing w:val="0"/>
          <w:szCs w:val="24"/>
          <w:rtl/>
        </w:rPr>
        <w:t>חוק השבות</w:t>
      </w:r>
      <w:r w:rsidRPr="00270186">
        <w:rPr>
          <w:rFonts w:hint="cs"/>
          <w:rtl/>
        </w:rPr>
        <w:t xml:space="preserve"> </w:t>
      </w:r>
      <w:r>
        <w:rPr>
          <w:rFonts w:hint="cs"/>
          <w:rtl/>
        </w:rPr>
        <w:t xml:space="preserve">או </w:t>
      </w:r>
      <w:r w:rsidRPr="00270186">
        <w:rPr>
          <w:rFonts w:ascii="Century" w:hAnsi="Century" w:cs="Miriam" w:hint="cs"/>
          <w:b/>
          <w:spacing w:val="0"/>
          <w:szCs w:val="24"/>
          <w:rtl/>
        </w:rPr>
        <w:t>החוק</w:t>
      </w:r>
      <w:r>
        <w:rPr>
          <w:rFonts w:hint="cs"/>
          <w:rtl/>
        </w:rPr>
        <w:t>). אדרבה, התחזקתי בדעתי.</w:t>
      </w:r>
    </w:p>
    <w:p w:rsidR="00BA03D0" w:rsidRDefault="00BA03D0" w:rsidP="00BA03D0">
      <w:pPr>
        <w:pStyle w:val="Ruller41"/>
        <w:rPr>
          <w:rtl/>
        </w:rPr>
      </w:pPr>
    </w:p>
    <w:p w:rsidR="004667F3" w:rsidRPr="007C6675" w:rsidRDefault="00BA03D0" w:rsidP="004667F3">
      <w:pPr>
        <w:pStyle w:val="Ruller41"/>
        <w:rPr>
          <w:rtl/>
        </w:rPr>
      </w:pPr>
      <w:r w:rsidRPr="009B1D8C">
        <w:rPr>
          <w:rFonts w:ascii="Century" w:hAnsi="Century" w:cs="Miriam" w:hint="cs"/>
          <w:b/>
          <w:spacing w:val="0"/>
          <w:szCs w:val="24"/>
          <w:rtl/>
        </w:rPr>
        <w:t>לשון החוק</w:t>
      </w:r>
    </w:p>
    <w:p w:rsidR="00BA03D0" w:rsidRDefault="00BA03D0" w:rsidP="00BA03D0">
      <w:pPr>
        <w:pStyle w:val="Ruller4"/>
        <w:textAlignment w:val="baseline"/>
        <w:rPr>
          <w:rtl/>
        </w:rPr>
      </w:pPr>
      <w:r>
        <w:rPr>
          <w:rFonts w:hint="cs"/>
          <w:rtl/>
        </w:rPr>
        <w:t xml:space="preserve">חברי ממלא מקום הנשיא </w:t>
      </w:r>
      <w:r w:rsidRPr="001F1FC2">
        <w:rPr>
          <w:rFonts w:ascii="Century" w:hAnsi="Century" w:cs="Miriam" w:hint="eastAsia"/>
          <w:b/>
          <w:spacing w:val="0"/>
          <w:szCs w:val="24"/>
          <w:rtl/>
        </w:rPr>
        <w:t>ע</w:t>
      </w:r>
      <w:r w:rsidRPr="001F1FC2">
        <w:rPr>
          <w:rFonts w:ascii="Century" w:hAnsi="Century" w:cs="Miriam"/>
          <w:b/>
          <w:spacing w:val="0"/>
          <w:szCs w:val="24"/>
          <w:rtl/>
        </w:rPr>
        <w:t xml:space="preserve">' </w:t>
      </w:r>
      <w:r w:rsidRPr="001F1FC2">
        <w:rPr>
          <w:rFonts w:ascii="Century" w:hAnsi="Century" w:cs="Miriam" w:hint="eastAsia"/>
          <w:b/>
          <w:spacing w:val="0"/>
          <w:szCs w:val="24"/>
          <w:rtl/>
        </w:rPr>
        <w:t>פוגלמן</w:t>
      </w:r>
      <w:r>
        <w:rPr>
          <w:rFonts w:hint="cs"/>
          <w:rtl/>
        </w:rPr>
        <w:t xml:space="preserve"> עמד על הרקע לחקיקת סעיף 4א לחוק העומד במוקד ענייננו, אך מפאת הרלוונטיות שלו לדיון, אעמוד בקצרה גם אני על החלקים העיקריים בעלי ההשלכות לענייננו. </w:t>
      </w:r>
    </w:p>
    <w:p w:rsidR="00BA03D0" w:rsidRPr="00D063DE" w:rsidRDefault="00BA03D0" w:rsidP="00BA03D0">
      <w:pPr>
        <w:pStyle w:val="Ruller41"/>
      </w:pPr>
    </w:p>
    <w:p w:rsidR="00BA03D0" w:rsidRDefault="00BA03D0" w:rsidP="00BA03D0">
      <w:pPr>
        <w:pStyle w:val="Ruller4"/>
        <w:textAlignment w:val="baseline"/>
        <w:rPr>
          <w:rtl/>
        </w:rPr>
      </w:pPr>
      <w:r>
        <w:rPr>
          <w:rFonts w:hint="cs"/>
          <w:rtl/>
        </w:rPr>
        <w:t xml:space="preserve">כפי שציינו חבריי, סעיף 4א נוסף לחוק בשנת 1970 במסגרת </w:t>
      </w:r>
      <w:r w:rsidRPr="00523640">
        <w:rPr>
          <w:rtl/>
        </w:rPr>
        <w:t>חוק השבות (תיקון מס' 2</w:t>
      </w:r>
      <w:r w:rsidRPr="00523640">
        <w:rPr>
          <w:rFonts w:hint="cs"/>
          <w:rtl/>
        </w:rPr>
        <w:t xml:space="preserve">), התש"ל-1970 (להלן: </w:t>
      </w:r>
      <w:r w:rsidRPr="00922B8B">
        <w:rPr>
          <w:rFonts w:cs="Miriam" w:hint="cs"/>
          <w:b/>
          <w:spacing w:val="0"/>
          <w:szCs w:val="24"/>
          <w:rtl/>
        </w:rPr>
        <w:t>התיקון</w:t>
      </w:r>
      <w:r w:rsidRPr="00523640">
        <w:rPr>
          <w:rFonts w:hint="cs"/>
          <w:rtl/>
        </w:rPr>
        <w:t xml:space="preserve"> </w:t>
      </w:r>
      <w:r w:rsidRPr="00922B8B">
        <w:rPr>
          <w:rFonts w:cs="Miriam" w:hint="cs"/>
          <w:b/>
          <w:spacing w:val="0"/>
          <w:szCs w:val="24"/>
          <w:rtl/>
        </w:rPr>
        <w:t xml:space="preserve">לחוק </w:t>
      </w:r>
      <w:r w:rsidRPr="00523640">
        <w:rPr>
          <w:rFonts w:hint="cs"/>
          <w:rtl/>
        </w:rPr>
        <w:t xml:space="preserve">או </w:t>
      </w:r>
      <w:r w:rsidRPr="00922B8B">
        <w:rPr>
          <w:rFonts w:cs="Miriam" w:hint="cs"/>
          <w:b/>
          <w:spacing w:val="0"/>
          <w:szCs w:val="24"/>
          <w:rtl/>
        </w:rPr>
        <w:t>התיקון</w:t>
      </w:r>
      <w:r>
        <w:rPr>
          <w:rFonts w:hint="cs"/>
          <w:rtl/>
        </w:rPr>
        <w:t xml:space="preserve">), אשר לצד קביעת הגדרה </w:t>
      </w:r>
      <w:r>
        <w:rPr>
          <w:rFonts w:hint="cs"/>
          <w:rtl/>
        </w:rPr>
        <w:lastRenderedPageBreak/>
        <w:t xml:space="preserve">סטטוטורית למונח "יהודי" בהתאם להגדרה המסורתית, הרחיב את מעגל הזכאים לקבלת מעמד של עולים ואזרחים בישראל גם לבני משפחה מסוימים של יהודי שאינם נחשבים "יהודים" על פי ההגדרה שעוגנה בחוק. כפי שגם יורחב בהמשך, מדובר בתיקון שקדמה לו סערה ציבורית רחבה, שהתעוררה לאחר פסק הדין שניתן בעניין </w:t>
      </w:r>
      <w:r w:rsidRPr="001F1FC2">
        <w:rPr>
          <w:rFonts w:ascii="Century" w:hAnsi="Century" w:cs="Miriam" w:hint="eastAsia"/>
          <w:b/>
          <w:spacing w:val="0"/>
          <w:szCs w:val="24"/>
          <w:rtl/>
        </w:rPr>
        <w:t>שליט</w:t>
      </w:r>
      <w:r>
        <w:rPr>
          <w:rFonts w:ascii="Century" w:hAnsi="Century" w:cs="Miriam" w:hint="cs"/>
          <w:b/>
          <w:spacing w:val="0"/>
          <w:szCs w:val="24"/>
          <w:rtl/>
        </w:rPr>
        <w:t xml:space="preserve"> </w:t>
      </w:r>
      <w:r w:rsidRPr="001F1FC2">
        <w:rPr>
          <w:rFonts w:ascii="Century" w:hAnsi="Century"/>
          <w:rtl/>
        </w:rPr>
        <w:t>(</w:t>
      </w:r>
      <w:r w:rsidRPr="001F1FC2">
        <w:rPr>
          <w:rFonts w:ascii="Century" w:hAnsi="Century" w:hint="eastAsia"/>
          <w:rtl/>
        </w:rPr>
        <w:t>בג</w:t>
      </w:r>
      <w:r w:rsidRPr="001F1FC2">
        <w:rPr>
          <w:rFonts w:ascii="Century" w:hAnsi="Century"/>
          <w:rtl/>
        </w:rPr>
        <w:t>"</w:t>
      </w:r>
      <w:r w:rsidRPr="001F1FC2">
        <w:rPr>
          <w:rFonts w:ascii="Century" w:hAnsi="Century" w:hint="eastAsia"/>
          <w:rtl/>
        </w:rPr>
        <w:t>ץ</w:t>
      </w:r>
      <w:r w:rsidRPr="001F1FC2">
        <w:rPr>
          <w:rFonts w:ascii="Century" w:hAnsi="Century"/>
          <w:rtl/>
        </w:rPr>
        <w:t xml:space="preserve"> 58/68 </w:t>
      </w:r>
      <w:r w:rsidRPr="003F2A5F">
        <w:rPr>
          <w:rFonts w:ascii="Century" w:hAnsi="Century" w:cs="Miriam" w:hint="cs"/>
          <w:b/>
          <w:spacing w:val="0"/>
          <w:szCs w:val="24"/>
          <w:rtl/>
        </w:rPr>
        <w:t>שליט נ' שר הפנים</w:t>
      </w:r>
      <w:r>
        <w:rPr>
          <w:rFonts w:ascii="Century" w:hAnsi="Century" w:hint="cs"/>
          <w:rtl/>
        </w:rPr>
        <w:t>, פ"ד כג(2) 477 (1970)), והתמקדה בסוגיית הגדרת המונח "יהודי".</w:t>
      </w:r>
      <w:r>
        <w:rPr>
          <w:rFonts w:hint="cs"/>
          <w:rtl/>
        </w:rPr>
        <w:t xml:space="preserve"> </w:t>
      </w:r>
    </w:p>
    <w:p w:rsidR="00BA03D0" w:rsidRDefault="00BA03D0" w:rsidP="00BA03D0">
      <w:pPr>
        <w:pStyle w:val="Ruller41"/>
        <w:rPr>
          <w:rtl/>
        </w:rPr>
      </w:pPr>
    </w:p>
    <w:p w:rsidR="00BA03D0" w:rsidRDefault="00BA03D0" w:rsidP="00BA03D0">
      <w:pPr>
        <w:pStyle w:val="Ruller41"/>
        <w:rPr>
          <w:rtl/>
        </w:rPr>
      </w:pPr>
      <w:r>
        <w:rPr>
          <w:rtl/>
        </w:rPr>
        <w:tab/>
      </w:r>
      <w:r>
        <w:rPr>
          <w:rFonts w:hint="cs"/>
          <w:rtl/>
        </w:rPr>
        <w:t xml:space="preserve">כפי שציינתי בפסק הדין מושא הדיון הנוסף, להשקפתי הוראותיו של הסעיף ברורות ולהן מבנה מסודר והגיוני. </w:t>
      </w:r>
      <w:r w:rsidRPr="002A7AFA">
        <w:rPr>
          <w:rFonts w:hint="eastAsia"/>
          <w:rtl/>
        </w:rPr>
        <w:t>סעיף</w:t>
      </w:r>
      <w:r w:rsidRPr="002A7AFA">
        <w:rPr>
          <w:rtl/>
        </w:rPr>
        <w:t xml:space="preserve"> </w:t>
      </w:r>
      <w:r w:rsidRPr="002A7AFA">
        <w:rPr>
          <w:rFonts w:hint="eastAsia"/>
          <w:rtl/>
        </w:rPr>
        <w:t>קטן</w:t>
      </w:r>
      <w:r w:rsidRPr="002A7AFA">
        <w:rPr>
          <w:rtl/>
        </w:rPr>
        <w:t xml:space="preserve"> (</w:t>
      </w:r>
      <w:r w:rsidRPr="002A7AFA">
        <w:rPr>
          <w:rFonts w:hint="eastAsia"/>
          <w:rtl/>
        </w:rPr>
        <w:t>א</w:t>
      </w:r>
      <w:r w:rsidRPr="002A7AFA">
        <w:rPr>
          <w:rtl/>
        </w:rPr>
        <w:t xml:space="preserve">) </w:t>
      </w:r>
      <w:r>
        <w:rPr>
          <w:rFonts w:hint="cs"/>
          <w:rtl/>
        </w:rPr>
        <w:t>שבו נחלק לשלושה חלקים</w:t>
      </w:r>
      <w:r w:rsidRPr="002A7AFA">
        <w:rPr>
          <w:rtl/>
        </w:rPr>
        <w:t xml:space="preserve">: </w:t>
      </w:r>
      <w:r>
        <w:rPr>
          <w:rFonts w:hint="cs"/>
          <w:rtl/>
        </w:rPr>
        <w:t>חלקו הראשון עוסק ב</w:t>
      </w:r>
      <w:r w:rsidRPr="002A7AFA">
        <w:rPr>
          <w:rFonts w:hint="eastAsia"/>
          <w:rtl/>
        </w:rPr>
        <w:t>מהות</w:t>
      </w:r>
      <w:r w:rsidRPr="002A7AFA">
        <w:rPr>
          <w:rtl/>
        </w:rPr>
        <w:t xml:space="preserve"> </w:t>
      </w:r>
      <w:r w:rsidRPr="002A7AFA">
        <w:rPr>
          <w:rFonts w:hint="eastAsia"/>
          <w:rtl/>
        </w:rPr>
        <w:t>הזכויות</w:t>
      </w:r>
      <w:r w:rsidRPr="002A7AFA">
        <w:rPr>
          <w:rtl/>
        </w:rPr>
        <w:t xml:space="preserve"> </w:t>
      </w:r>
      <w:r w:rsidRPr="002A7AFA">
        <w:rPr>
          <w:rFonts w:hint="eastAsia"/>
          <w:rtl/>
        </w:rPr>
        <w:t>המוקנות</w:t>
      </w:r>
      <w:r>
        <w:rPr>
          <w:rFonts w:hint="cs"/>
          <w:rtl/>
        </w:rPr>
        <w:t xml:space="preserve"> לבני משפחה של יהודי</w:t>
      </w:r>
      <w:r w:rsidRPr="002A7AFA">
        <w:rPr>
          <w:rtl/>
        </w:rPr>
        <w:t xml:space="preserve">; </w:t>
      </w:r>
      <w:r>
        <w:rPr>
          <w:rFonts w:hint="cs"/>
          <w:rtl/>
        </w:rPr>
        <w:t xml:space="preserve">חלקו השני </w:t>
      </w:r>
      <w:r w:rsidRPr="002A7AFA">
        <w:rPr>
          <w:rFonts w:hint="eastAsia"/>
          <w:rtl/>
        </w:rPr>
        <w:t>עוסק</w:t>
      </w:r>
      <w:r w:rsidRPr="002A7AFA">
        <w:rPr>
          <w:rtl/>
        </w:rPr>
        <w:t xml:space="preserve"> </w:t>
      </w:r>
      <w:r w:rsidRPr="002A7AFA">
        <w:rPr>
          <w:rFonts w:hint="eastAsia"/>
          <w:rtl/>
        </w:rPr>
        <w:t>בזהות</w:t>
      </w:r>
      <w:r w:rsidRPr="002A7AFA">
        <w:rPr>
          <w:rtl/>
        </w:rPr>
        <w:t xml:space="preserve"> </w:t>
      </w:r>
      <w:r>
        <w:rPr>
          <w:rFonts w:hint="cs"/>
          <w:rtl/>
        </w:rPr>
        <w:t xml:space="preserve">בני המשפחה שלהם יוקנו </w:t>
      </w:r>
      <w:r w:rsidRPr="002A7AFA">
        <w:rPr>
          <w:rFonts w:hint="eastAsia"/>
          <w:rtl/>
        </w:rPr>
        <w:t>הזכויות</w:t>
      </w:r>
      <w:r>
        <w:rPr>
          <w:rFonts w:hint="cs"/>
          <w:rtl/>
        </w:rPr>
        <w:t xml:space="preserve"> האמורות;</w:t>
      </w:r>
      <w:r w:rsidRPr="002A7AFA">
        <w:rPr>
          <w:rtl/>
        </w:rPr>
        <w:t xml:space="preserve"> </w:t>
      </w:r>
      <w:r>
        <w:rPr>
          <w:rFonts w:hint="cs"/>
          <w:rtl/>
        </w:rPr>
        <w:t xml:space="preserve">וחלקו השלישי מחריג את מי שהמיר את דתו מרצון. חלקו השני של הסעיף מונה גם הוא שלושה רכיבים שהם למעשה </w:t>
      </w:r>
      <w:r w:rsidRPr="002A7AFA">
        <w:rPr>
          <w:rFonts w:hint="eastAsia"/>
          <w:rtl/>
        </w:rPr>
        <w:t>שלוש</w:t>
      </w:r>
      <w:r w:rsidRPr="002A7AFA">
        <w:rPr>
          <w:rtl/>
        </w:rPr>
        <w:t xml:space="preserve"> </w:t>
      </w:r>
      <w:r w:rsidRPr="002A7AFA">
        <w:rPr>
          <w:rFonts w:hint="eastAsia"/>
          <w:rtl/>
        </w:rPr>
        <w:t>קטגוריות</w:t>
      </w:r>
      <w:r>
        <w:rPr>
          <w:rFonts w:hint="cs"/>
          <w:rtl/>
        </w:rPr>
        <w:t xml:space="preserve"> של בני משפחה הזכאים לזכויות מכוחו של הסעיף</w:t>
      </w:r>
      <w:r w:rsidRPr="002A7AFA">
        <w:rPr>
          <w:rtl/>
        </w:rPr>
        <w:t xml:space="preserve">: </w:t>
      </w:r>
      <w:r w:rsidRPr="002A7AFA">
        <w:rPr>
          <w:rFonts w:hint="eastAsia"/>
          <w:rtl/>
        </w:rPr>
        <w:t>ילד</w:t>
      </w:r>
      <w:r w:rsidRPr="002A7AFA">
        <w:rPr>
          <w:rtl/>
        </w:rPr>
        <w:t xml:space="preserve"> </w:t>
      </w:r>
      <w:r w:rsidRPr="002A7AFA">
        <w:rPr>
          <w:rFonts w:hint="eastAsia"/>
          <w:rtl/>
        </w:rPr>
        <w:t>ונכד</w:t>
      </w:r>
      <w:r w:rsidRPr="002A7AFA">
        <w:rPr>
          <w:rtl/>
        </w:rPr>
        <w:t xml:space="preserve"> </w:t>
      </w:r>
      <w:r w:rsidRPr="002A7AFA">
        <w:rPr>
          <w:rFonts w:hint="eastAsia"/>
          <w:rtl/>
        </w:rPr>
        <w:t>של</w:t>
      </w:r>
      <w:r w:rsidRPr="002A7AFA">
        <w:rPr>
          <w:rtl/>
        </w:rPr>
        <w:t xml:space="preserve"> </w:t>
      </w:r>
      <w:r w:rsidRPr="002A7AFA">
        <w:rPr>
          <w:rFonts w:hint="eastAsia"/>
          <w:rtl/>
        </w:rPr>
        <w:t>יהודי</w:t>
      </w:r>
      <w:r w:rsidRPr="002A7AFA">
        <w:rPr>
          <w:rtl/>
        </w:rPr>
        <w:t xml:space="preserve">; </w:t>
      </w:r>
      <w:r w:rsidRPr="002A7AFA">
        <w:rPr>
          <w:rFonts w:hint="eastAsia"/>
          <w:rtl/>
        </w:rPr>
        <w:t>בן</w:t>
      </w:r>
      <w:r w:rsidRPr="002A7AFA">
        <w:rPr>
          <w:rtl/>
        </w:rPr>
        <w:t xml:space="preserve"> </w:t>
      </w:r>
      <w:r w:rsidRPr="002A7AFA">
        <w:rPr>
          <w:rFonts w:hint="eastAsia"/>
          <w:rtl/>
        </w:rPr>
        <w:t>זוג</w:t>
      </w:r>
      <w:r w:rsidRPr="002A7AFA">
        <w:rPr>
          <w:rtl/>
        </w:rPr>
        <w:t xml:space="preserve"> </w:t>
      </w:r>
      <w:r w:rsidRPr="002A7AFA">
        <w:rPr>
          <w:rFonts w:hint="eastAsia"/>
          <w:rtl/>
        </w:rPr>
        <w:t>של</w:t>
      </w:r>
      <w:r w:rsidRPr="002A7AFA">
        <w:rPr>
          <w:rtl/>
        </w:rPr>
        <w:t xml:space="preserve"> </w:t>
      </w:r>
      <w:r w:rsidRPr="002A7AFA">
        <w:rPr>
          <w:rFonts w:hint="eastAsia"/>
          <w:rtl/>
        </w:rPr>
        <w:t>יהודי</w:t>
      </w:r>
      <w:r w:rsidRPr="002A7AFA">
        <w:rPr>
          <w:rtl/>
        </w:rPr>
        <w:t xml:space="preserve">; </w:t>
      </w:r>
      <w:r>
        <w:rPr>
          <w:rFonts w:hint="cs"/>
          <w:rtl/>
        </w:rPr>
        <w:t>ו</w:t>
      </w:r>
      <w:r w:rsidRPr="002A7AFA">
        <w:rPr>
          <w:rFonts w:hint="eastAsia"/>
          <w:rtl/>
        </w:rPr>
        <w:t>בן</w:t>
      </w:r>
      <w:r w:rsidRPr="002A7AFA">
        <w:rPr>
          <w:rtl/>
        </w:rPr>
        <w:t xml:space="preserve"> </w:t>
      </w:r>
      <w:r>
        <w:rPr>
          <w:rFonts w:hint="eastAsia"/>
          <w:rtl/>
        </w:rPr>
        <w:t>זוג</w:t>
      </w:r>
      <w:r w:rsidRPr="002A7AFA">
        <w:rPr>
          <w:rtl/>
        </w:rPr>
        <w:t xml:space="preserve"> </w:t>
      </w:r>
      <w:r w:rsidRPr="002A7AFA">
        <w:rPr>
          <w:rFonts w:hint="eastAsia"/>
          <w:rtl/>
        </w:rPr>
        <w:t>של</w:t>
      </w:r>
      <w:r w:rsidRPr="002A7AFA">
        <w:rPr>
          <w:rtl/>
        </w:rPr>
        <w:t xml:space="preserve"> </w:t>
      </w:r>
      <w:r w:rsidRPr="002A7AFA">
        <w:rPr>
          <w:rFonts w:hint="eastAsia"/>
          <w:rtl/>
        </w:rPr>
        <w:t>ילד</w:t>
      </w:r>
      <w:r w:rsidRPr="002A7AFA">
        <w:rPr>
          <w:rtl/>
        </w:rPr>
        <w:t xml:space="preserve"> </w:t>
      </w:r>
      <w:r w:rsidRPr="002A7AFA">
        <w:rPr>
          <w:rFonts w:hint="eastAsia"/>
          <w:rtl/>
        </w:rPr>
        <w:t>ושל</w:t>
      </w:r>
      <w:r w:rsidRPr="002A7AFA">
        <w:rPr>
          <w:rtl/>
        </w:rPr>
        <w:t xml:space="preserve"> </w:t>
      </w:r>
      <w:r w:rsidRPr="002A7AFA">
        <w:rPr>
          <w:rFonts w:hint="eastAsia"/>
          <w:rtl/>
        </w:rPr>
        <w:t>נכד</w:t>
      </w:r>
      <w:r w:rsidRPr="002A7AFA">
        <w:rPr>
          <w:rtl/>
        </w:rPr>
        <w:t xml:space="preserve"> </w:t>
      </w:r>
      <w:r w:rsidRPr="002A7AFA">
        <w:rPr>
          <w:rFonts w:hint="eastAsia"/>
          <w:rtl/>
        </w:rPr>
        <w:t>של</w:t>
      </w:r>
      <w:r w:rsidRPr="002A7AFA">
        <w:rPr>
          <w:rtl/>
        </w:rPr>
        <w:t xml:space="preserve"> </w:t>
      </w:r>
      <w:r w:rsidRPr="002A7AFA">
        <w:rPr>
          <w:rFonts w:hint="eastAsia"/>
          <w:rtl/>
        </w:rPr>
        <w:t>יהודי</w:t>
      </w:r>
      <w:r w:rsidRPr="002A7AFA">
        <w:rPr>
          <w:rtl/>
        </w:rPr>
        <w:t xml:space="preserve">. </w:t>
      </w:r>
      <w:r>
        <w:rPr>
          <w:rFonts w:hint="cs"/>
          <w:rtl/>
        </w:rPr>
        <w:t xml:space="preserve">לצד הוראות אלה ניצב סעיף </w:t>
      </w:r>
      <w:r w:rsidRPr="002A7AFA">
        <w:rPr>
          <w:rFonts w:hint="eastAsia"/>
          <w:rtl/>
        </w:rPr>
        <w:t>קטן</w:t>
      </w:r>
      <w:r w:rsidRPr="002A7AFA">
        <w:rPr>
          <w:rtl/>
        </w:rPr>
        <w:t xml:space="preserve"> (</w:t>
      </w:r>
      <w:r w:rsidRPr="002A7AFA">
        <w:rPr>
          <w:rFonts w:hint="eastAsia"/>
          <w:rtl/>
        </w:rPr>
        <w:t>ב</w:t>
      </w:r>
      <w:r w:rsidRPr="002A7AFA">
        <w:rPr>
          <w:rtl/>
        </w:rPr>
        <w:t xml:space="preserve">) </w:t>
      </w:r>
      <w:r>
        <w:rPr>
          <w:rFonts w:hint="cs"/>
          <w:rtl/>
        </w:rPr>
        <w:t xml:space="preserve">המבהיר כי </w:t>
      </w:r>
      <w:r w:rsidRPr="002A7AFA">
        <w:rPr>
          <w:rFonts w:hint="eastAsia"/>
          <w:rtl/>
        </w:rPr>
        <w:t>זכות</w:t>
      </w:r>
      <w:r w:rsidRPr="002A7AFA">
        <w:rPr>
          <w:rtl/>
        </w:rPr>
        <w:t xml:space="preserve"> </w:t>
      </w:r>
      <w:r w:rsidRPr="002A7AFA">
        <w:rPr>
          <w:rFonts w:hint="eastAsia"/>
          <w:rtl/>
        </w:rPr>
        <w:t>המוענקת</w:t>
      </w:r>
      <w:r w:rsidRPr="002A7AFA">
        <w:rPr>
          <w:rtl/>
        </w:rPr>
        <w:t xml:space="preserve"> </w:t>
      </w:r>
      <w:r>
        <w:rPr>
          <w:rFonts w:hint="cs"/>
          <w:rtl/>
        </w:rPr>
        <w:t>לבן משפחה</w:t>
      </w:r>
      <w:r w:rsidRPr="00A50311">
        <w:rPr>
          <w:rFonts w:ascii="Century" w:hAnsi="Century" w:hint="cs"/>
          <w:rtl/>
        </w:rPr>
        <w:t xml:space="preserve"> של יהודי </w:t>
      </w:r>
      <w:r>
        <w:rPr>
          <w:rFonts w:hint="cs"/>
          <w:rtl/>
        </w:rPr>
        <w:t xml:space="preserve">מכוח </w:t>
      </w:r>
      <w:r w:rsidRPr="002A7AFA">
        <w:rPr>
          <w:rFonts w:hint="eastAsia"/>
          <w:rtl/>
        </w:rPr>
        <w:t>סעיף</w:t>
      </w:r>
      <w:r w:rsidRPr="002A7AFA">
        <w:rPr>
          <w:rtl/>
        </w:rPr>
        <w:t xml:space="preserve"> </w:t>
      </w:r>
      <w:r w:rsidRPr="002A7AFA">
        <w:rPr>
          <w:rFonts w:hint="eastAsia"/>
          <w:rtl/>
        </w:rPr>
        <w:t>קטן</w:t>
      </w:r>
      <w:r w:rsidRPr="002A7AFA">
        <w:rPr>
          <w:rtl/>
        </w:rPr>
        <w:t xml:space="preserve"> (</w:t>
      </w:r>
      <w:r w:rsidRPr="002A7AFA">
        <w:rPr>
          <w:rFonts w:hint="eastAsia"/>
          <w:rtl/>
        </w:rPr>
        <w:t>א</w:t>
      </w:r>
      <w:r w:rsidRPr="002A7AFA">
        <w:rPr>
          <w:rtl/>
        </w:rPr>
        <w:t xml:space="preserve">) </w:t>
      </w:r>
      <w:r w:rsidRPr="002A7AFA">
        <w:rPr>
          <w:rFonts w:hint="eastAsia"/>
          <w:rtl/>
        </w:rPr>
        <w:t>אינה</w:t>
      </w:r>
      <w:r w:rsidRPr="002A7AFA">
        <w:rPr>
          <w:rtl/>
        </w:rPr>
        <w:t xml:space="preserve"> </w:t>
      </w:r>
      <w:r w:rsidRPr="002A7AFA">
        <w:rPr>
          <w:rFonts w:hint="eastAsia"/>
          <w:rtl/>
        </w:rPr>
        <w:t>ניטלת</w:t>
      </w:r>
      <w:r w:rsidRPr="002A7AFA">
        <w:rPr>
          <w:rtl/>
        </w:rPr>
        <w:t xml:space="preserve"> </w:t>
      </w:r>
      <w:r w:rsidRPr="002A7AFA">
        <w:rPr>
          <w:rFonts w:hint="eastAsia"/>
          <w:rtl/>
        </w:rPr>
        <w:t>ממנו</w:t>
      </w:r>
      <w:r w:rsidRPr="002A7AFA">
        <w:rPr>
          <w:rtl/>
        </w:rPr>
        <w:t xml:space="preserve"> </w:t>
      </w:r>
      <w:r w:rsidRPr="002A7AFA">
        <w:rPr>
          <w:rFonts w:hint="eastAsia"/>
          <w:rtl/>
        </w:rPr>
        <w:t>רק</w:t>
      </w:r>
      <w:r w:rsidRPr="002A7AFA">
        <w:rPr>
          <w:rtl/>
        </w:rPr>
        <w:t xml:space="preserve"> </w:t>
      </w:r>
      <w:r w:rsidRPr="002A7AFA">
        <w:rPr>
          <w:rFonts w:hint="eastAsia"/>
          <w:rtl/>
        </w:rPr>
        <w:t>בשל</w:t>
      </w:r>
      <w:r w:rsidRPr="002A7AFA">
        <w:rPr>
          <w:rtl/>
        </w:rPr>
        <w:t xml:space="preserve"> </w:t>
      </w:r>
      <w:r w:rsidRPr="002A7AFA">
        <w:rPr>
          <w:rFonts w:hint="eastAsia"/>
          <w:rtl/>
        </w:rPr>
        <w:t>פטירתו</w:t>
      </w:r>
      <w:r w:rsidRPr="002A7AFA">
        <w:rPr>
          <w:rtl/>
        </w:rPr>
        <w:t xml:space="preserve"> </w:t>
      </w:r>
      <w:r w:rsidRPr="002A7AFA">
        <w:rPr>
          <w:rFonts w:hint="eastAsia"/>
          <w:rtl/>
        </w:rPr>
        <w:t>של</w:t>
      </w:r>
      <w:r w:rsidRPr="002A7AFA">
        <w:rPr>
          <w:rtl/>
        </w:rPr>
        <w:t xml:space="preserve"> </w:t>
      </w:r>
      <w:r w:rsidRPr="00A50311">
        <w:rPr>
          <w:rFonts w:ascii="Century" w:hAnsi="Century" w:cs="Miriam" w:hint="eastAsia"/>
          <w:b/>
          <w:spacing w:val="0"/>
          <w:szCs w:val="24"/>
          <w:rtl/>
        </w:rPr>
        <w:t>היהודי</w:t>
      </w:r>
      <w:r w:rsidRPr="00A50311">
        <w:rPr>
          <w:rtl/>
        </w:rPr>
        <w:t xml:space="preserve"> </w:t>
      </w:r>
      <w:r w:rsidRPr="002A7AFA">
        <w:rPr>
          <w:rFonts w:hint="eastAsia"/>
          <w:rtl/>
        </w:rPr>
        <w:t>או</w:t>
      </w:r>
      <w:r w:rsidRPr="002A7AFA">
        <w:rPr>
          <w:rtl/>
        </w:rPr>
        <w:t xml:space="preserve"> </w:t>
      </w:r>
      <w:r w:rsidRPr="002A7AFA">
        <w:rPr>
          <w:rFonts w:hint="eastAsia"/>
          <w:rtl/>
        </w:rPr>
        <w:t>בשל</w:t>
      </w:r>
      <w:r w:rsidRPr="002A7AFA">
        <w:rPr>
          <w:rtl/>
        </w:rPr>
        <w:t xml:space="preserve"> </w:t>
      </w:r>
      <w:r w:rsidRPr="002A7AFA">
        <w:rPr>
          <w:rFonts w:hint="eastAsia"/>
          <w:rtl/>
        </w:rPr>
        <w:t>כך</w:t>
      </w:r>
      <w:r w:rsidRPr="002A7AFA">
        <w:rPr>
          <w:rtl/>
        </w:rPr>
        <w:t xml:space="preserve"> </w:t>
      </w:r>
      <w:r>
        <w:rPr>
          <w:rFonts w:hint="cs"/>
          <w:rtl/>
        </w:rPr>
        <w:t xml:space="preserve">שהיהודי </w:t>
      </w:r>
      <w:r w:rsidRPr="002A7AFA">
        <w:rPr>
          <w:rFonts w:hint="eastAsia"/>
          <w:rtl/>
        </w:rPr>
        <w:t>לא</w:t>
      </w:r>
      <w:r w:rsidRPr="002A7AFA">
        <w:rPr>
          <w:rtl/>
        </w:rPr>
        <w:t xml:space="preserve"> </w:t>
      </w:r>
      <w:r w:rsidRPr="002A7AFA">
        <w:rPr>
          <w:rFonts w:hint="eastAsia"/>
          <w:rtl/>
        </w:rPr>
        <w:t>עלה</w:t>
      </w:r>
      <w:r w:rsidRPr="002A7AFA">
        <w:rPr>
          <w:rtl/>
        </w:rPr>
        <w:t xml:space="preserve"> </w:t>
      </w:r>
      <w:r w:rsidRPr="002A7AFA">
        <w:rPr>
          <w:rFonts w:hint="eastAsia"/>
          <w:rtl/>
        </w:rPr>
        <w:t>לישראל</w:t>
      </w:r>
      <w:r w:rsidRPr="002A7AFA">
        <w:rPr>
          <w:rtl/>
        </w:rPr>
        <w:t>.</w:t>
      </w:r>
    </w:p>
    <w:p w:rsidR="00BA03D0" w:rsidRDefault="00BA03D0" w:rsidP="00BA03D0">
      <w:pPr>
        <w:pStyle w:val="Ruller41"/>
        <w:rPr>
          <w:rtl/>
        </w:rPr>
      </w:pPr>
    </w:p>
    <w:p w:rsidR="00BA03D0" w:rsidRPr="00FF5BA4" w:rsidRDefault="00BA03D0" w:rsidP="00BA03D0">
      <w:pPr>
        <w:pStyle w:val="Ruller4"/>
        <w:textAlignment w:val="baseline"/>
        <w:rPr>
          <w:rtl/>
        </w:rPr>
      </w:pPr>
      <w:r>
        <w:rPr>
          <w:rFonts w:hint="cs"/>
          <w:rtl/>
        </w:rPr>
        <w:t xml:space="preserve">כפי שהצביעו חבריי, </w:t>
      </w:r>
      <w:r w:rsidRPr="00935053">
        <w:rPr>
          <w:rFonts w:hint="eastAsia"/>
          <w:rtl/>
        </w:rPr>
        <w:t>מלאכת</w:t>
      </w:r>
      <w:r w:rsidRPr="00935053">
        <w:rPr>
          <w:rtl/>
        </w:rPr>
        <w:t xml:space="preserve"> </w:t>
      </w:r>
      <w:r>
        <w:rPr>
          <w:rFonts w:hint="eastAsia"/>
          <w:rtl/>
        </w:rPr>
        <w:t>פרשנות</w:t>
      </w:r>
      <w:r w:rsidRPr="00935053">
        <w:rPr>
          <w:rtl/>
        </w:rPr>
        <w:t xml:space="preserve"> </w:t>
      </w:r>
      <w:r>
        <w:rPr>
          <w:rFonts w:hint="cs"/>
          <w:rtl/>
        </w:rPr>
        <w:t>ה</w:t>
      </w:r>
      <w:r w:rsidRPr="00935053">
        <w:rPr>
          <w:rFonts w:hint="eastAsia"/>
          <w:rtl/>
        </w:rPr>
        <w:t>חוק</w:t>
      </w:r>
      <w:r w:rsidRPr="00935053">
        <w:rPr>
          <w:rtl/>
        </w:rPr>
        <w:t xml:space="preserve"> </w:t>
      </w:r>
      <w:r w:rsidRPr="00935053">
        <w:rPr>
          <w:rFonts w:hint="eastAsia"/>
          <w:rtl/>
        </w:rPr>
        <w:t>נשענת</w:t>
      </w:r>
      <w:r w:rsidRPr="00935053">
        <w:rPr>
          <w:rtl/>
        </w:rPr>
        <w:t xml:space="preserve"> </w:t>
      </w:r>
      <w:r>
        <w:rPr>
          <w:rFonts w:hint="cs"/>
          <w:rtl/>
        </w:rPr>
        <w:t>ב</w:t>
      </w:r>
      <w:r w:rsidRPr="00935053">
        <w:rPr>
          <w:rFonts w:hint="eastAsia"/>
          <w:rtl/>
        </w:rPr>
        <w:t>ראש</w:t>
      </w:r>
      <w:r w:rsidRPr="00935053">
        <w:rPr>
          <w:rtl/>
        </w:rPr>
        <w:t xml:space="preserve"> </w:t>
      </w:r>
      <w:r w:rsidRPr="00935053">
        <w:rPr>
          <w:rFonts w:hint="eastAsia"/>
          <w:rtl/>
        </w:rPr>
        <w:t>ו</w:t>
      </w:r>
      <w:r>
        <w:rPr>
          <w:rFonts w:hint="cs"/>
          <w:rtl/>
        </w:rPr>
        <w:t>ב</w:t>
      </w:r>
      <w:r>
        <w:rPr>
          <w:rFonts w:hint="eastAsia"/>
          <w:rtl/>
        </w:rPr>
        <w:t>ראשו</w:t>
      </w:r>
      <w:r>
        <w:rPr>
          <w:rFonts w:hint="cs"/>
          <w:rtl/>
        </w:rPr>
        <w:t>נה</w:t>
      </w:r>
      <w:r w:rsidRPr="00935053">
        <w:rPr>
          <w:rtl/>
        </w:rPr>
        <w:t xml:space="preserve"> </w:t>
      </w:r>
      <w:r w:rsidRPr="00935053">
        <w:rPr>
          <w:rFonts w:hint="eastAsia"/>
          <w:rtl/>
        </w:rPr>
        <w:t>על</w:t>
      </w:r>
      <w:r w:rsidRPr="00935053">
        <w:rPr>
          <w:rtl/>
        </w:rPr>
        <w:t xml:space="preserve"> </w:t>
      </w:r>
      <w:r>
        <w:rPr>
          <w:rFonts w:hint="eastAsia"/>
          <w:rtl/>
        </w:rPr>
        <w:t>לשו</w:t>
      </w:r>
      <w:r>
        <w:rPr>
          <w:rFonts w:hint="cs"/>
          <w:rtl/>
        </w:rPr>
        <w:t>נו.</w:t>
      </w:r>
      <w:r w:rsidRPr="00935053">
        <w:rPr>
          <w:rtl/>
        </w:rPr>
        <w:t xml:space="preserve"> </w:t>
      </w:r>
      <w:r>
        <w:rPr>
          <w:rFonts w:hint="cs"/>
          <w:rtl/>
        </w:rPr>
        <w:t xml:space="preserve">הלשון היא שקובעת את גבולות הפרשנות, ורק כאשר היא יכולה לשאת יותר מפרשנות אחת, יש לתור אחר תכלית החקיקה (פסקה 20 לחוות דעתו של ממלא מקום הנשיא; פסקאות 6 ו-13 לחוות דעתו של השופט </w:t>
      </w:r>
      <w:r w:rsidRPr="00E61E9F">
        <w:rPr>
          <w:rFonts w:ascii="Century" w:hAnsi="Century" w:cs="Miriam" w:hint="cs"/>
          <w:b/>
          <w:spacing w:val="0"/>
          <w:sz w:val="22"/>
          <w:szCs w:val="24"/>
          <w:rtl/>
        </w:rPr>
        <w:t>נ'</w:t>
      </w:r>
      <w:r>
        <w:rPr>
          <w:rFonts w:hint="cs"/>
          <w:rtl/>
        </w:rPr>
        <w:t xml:space="preserve"> </w:t>
      </w:r>
      <w:r w:rsidRPr="001726AD">
        <w:rPr>
          <w:rFonts w:ascii="Century" w:hAnsi="Century" w:cs="Miriam" w:hint="cs"/>
          <w:b/>
          <w:spacing w:val="0"/>
          <w:sz w:val="22"/>
          <w:szCs w:val="24"/>
          <w:rtl/>
        </w:rPr>
        <w:t>סולברג</w:t>
      </w:r>
      <w:r>
        <w:rPr>
          <w:rFonts w:hint="cs"/>
          <w:rtl/>
        </w:rPr>
        <w:t xml:space="preserve">; פסקה 3 לחוות </w:t>
      </w:r>
      <w:r w:rsidRPr="0024492D">
        <w:rPr>
          <w:rFonts w:hint="cs"/>
          <w:rtl/>
        </w:rPr>
        <w:t xml:space="preserve">דעתה של השופטת </w:t>
      </w:r>
      <w:r w:rsidRPr="0024492D">
        <w:rPr>
          <w:rFonts w:ascii="Century" w:hAnsi="Century" w:cs="Miriam" w:hint="cs"/>
          <w:b/>
          <w:spacing w:val="0"/>
          <w:sz w:val="22"/>
          <w:szCs w:val="24"/>
          <w:rtl/>
        </w:rPr>
        <w:t>ד'</w:t>
      </w:r>
      <w:r w:rsidRPr="0024492D">
        <w:rPr>
          <w:rFonts w:hint="cs"/>
          <w:rtl/>
        </w:rPr>
        <w:t xml:space="preserve"> </w:t>
      </w:r>
      <w:r w:rsidRPr="0024492D">
        <w:rPr>
          <w:rFonts w:ascii="Century" w:hAnsi="Century" w:cs="Miriam" w:hint="cs"/>
          <w:b/>
          <w:spacing w:val="0"/>
          <w:sz w:val="22"/>
          <w:szCs w:val="24"/>
          <w:rtl/>
        </w:rPr>
        <w:t>ברק-ארז</w:t>
      </w:r>
      <w:r w:rsidRPr="0024492D">
        <w:rPr>
          <w:rFonts w:hint="cs"/>
          <w:rtl/>
        </w:rPr>
        <w:t>; ראו גם: פסקה 3 לחוות דעתי בפסק הדין מושא הדיון הנוסף, וכן</w:t>
      </w:r>
      <w:r>
        <w:rPr>
          <w:rFonts w:hint="cs"/>
          <w:rtl/>
        </w:rPr>
        <w:t xml:space="preserve">: </w:t>
      </w:r>
      <w:r w:rsidRPr="00E26278">
        <w:rPr>
          <w:rFonts w:hint="eastAsia"/>
          <w:rtl/>
        </w:rPr>
        <w:t>ע</w:t>
      </w:r>
      <w:r>
        <w:rPr>
          <w:rFonts w:hint="cs"/>
          <w:rtl/>
        </w:rPr>
        <w:t>"</w:t>
      </w:r>
      <w:r w:rsidRPr="00E26278">
        <w:rPr>
          <w:rFonts w:hint="eastAsia"/>
          <w:rtl/>
        </w:rPr>
        <w:t>א</w:t>
      </w:r>
      <w:r w:rsidRPr="00E26278">
        <w:rPr>
          <w:rtl/>
        </w:rPr>
        <w:t xml:space="preserve"> 450/17 </w:t>
      </w:r>
      <w:r w:rsidRPr="00C56FB9">
        <w:rPr>
          <w:rFonts w:ascii="Century" w:hAnsi="Century" w:cs="Miriam" w:hint="eastAsia"/>
          <w:b/>
          <w:spacing w:val="0"/>
          <w:sz w:val="22"/>
          <w:szCs w:val="24"/>
          <w:rtl/>
        </w:rPr>
        <w:t>אס</w:t>
      </w:r>
      <w:r w:rsidRPr="00C56FB9">
        <w:rPr>
          <w:rFonts w:ascii="Century" w:hAnsi="Century" w:cs="Miriam"/>
          <w:b/>
          <w:spacing w:val="0"/>
          <w:sz w:val="22"/>
          <w:szCs w:val="24"/>
          <w:rtl/>
        </w:rPr>
        <w:t>.</w:t>
      </w:r>
      <w:r w:rsidRPr="00C56FB9">
        <w:rPr>
          <w:rFonts w:ascii="Century" w:hAnsi="Century" w:cs="Miriam" w:hint="eastAsia"/>
          <w:b/>
          <w:spacing w:val="0"/>
          <w:sz w:val="22"/>
          <w:szCs w:val="24"/>
          <w:rtl/>
        </w:rPr>
        <w:t>בי</w:t>
      </w:r>
      <w:r w:rsidRPr="00C56FB9">
        <w:rPr>
          <w:rFonts w:ascii="Century" w:hAnsi="Century" w:cs="Miriam"/>
          <w:b/>
          <w:spacing w:val="0"/>
          <w:sz w:val="22"/>
          <w:szCs w:val="24"/>
          <w:rtl/>
        </w:rPr>
        <w:t>.</w:t>
      </w:r>
      <w:r w:rsidRPr="00C56FB9">
        <w:rPr>
          <w:rFonts w:ascii="Century" w:hAnsi="Century" w:cs="Miriam" w:hint="eastAsia"/>
          <w:b/>
          <w:spacing w:val="0"/>
          <w:sz w:val="22"/>
          <w:szCs w:val="24"/>
          <w:rtl/>
        </w:rPr>
        <w:t>אן</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הלבשה</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בע</w:t>
      </w:r>
      <w:r w:rsidRPr="00C56FB9">
        <w:rPr>
          <w:rFonts w:ascii="Century" w:hAnsi="Century" w:cs="Miriam"/>
          <w:b/>
          <w:spacing w:val="0"/>
          <w:sz w:val="22"/>
          <w:szCs w:val="24"/>
          <w:rtl/>
        </w:rPr>
        <w:t>"</w:t>
      </w:r>
      <w:r w:rsidRPr="00C56FB9">
        <w:rPr>
          <w:rFonts w:ascii="Century" w:hAnsi="Century" w:cs="Miriam" w:hint="eastAsia"/>
          <w:b/>
          <w:spacing w:val="0"/>
          <w:sz w:val="22"/>
          <w:szCs w:val="24"/>
          <w:rtl/>
        </w:rPr>
        <w:t>מ</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נ</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מדינת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ישראל</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רשות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המיסים</w:t>
      </w:r>
      <w:r>
        <w:rPr>
          <w:rFonts w:hint="cs"/>
          <w:rtl/>
        </w:rPr>
        <w:t xml:space="preserve">, פסקה 7 לחוות דעתי (29.10.2019); </w:t>
      </w:r>
      <w:r w:rsidRPr="002F03EB">
        <w:rPr>
          <w:rFonts w:hint="eastAsia"/>
          <w:rtl/>
        </w:rPr>
        <w:t>בג</w:t>
      </w:r>
      <w:r>
        <w:rPr>
          <w:rFonts w:hint="cs"/>
          <w:rtl/>
        </w:rPr>
        <w:t>"</w:t>
      </w:r>
      <w:r w:rsidRPr="002F03EB">
        <w:rPr>
          <w:rFonts w:hint="eastAsia"/>
          <w:rtl/>
        </w:rPr>
        <w:t>ץ</w:t>
      </w:r>
      <w:r w:rsidRPr="002F03EB">
        <w:rPr>
          <w:rtl/>
        </w:rPr>
        <w:t xml:space="preserve"> 7620/19 </w:t>
      </w:r>
      <w:r w:rsidRPr="00C56FB9">
        <w:rPr>
          <w:rFonts w:ascii="Century" w:hAnsi="Century" w:cs="Miriam" w:hint="eastAsia"/>
          <w:b/>
          <w:spacing w:val="0"/>
          <w:sz w:val="22"/>
          <w:szCs w:val="24"/>
          <w:rtl/>
        </w:rPr>
        <w:t>לרר</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נ</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רשות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מקרקעי</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ישראל</w:t>
      </w:r>
      <w:r>
        <w:rPr>
          <w:rFonts w:hint="cs"/>
          <w:rtl/>
        </w:rPr>
        <w:t xml:space="preserve">, פסקה 13 (3.7.2022); </w:t>
      </w:r>
      <w:r w:rsidRPr="00E6182B">
        <w:rPr>
          <w:rFonts w:hint="eastAsia"/>
          <w:rtl/>
        </w:rPr>
        <w:t>בג</w:t>
      </w:r>
      <w:r>
        <w:rPr>
          <w:rFonts w:hint="cs"/>
          <w:rtl/>
        </w:rPr>
        <w:t>"</w:t>
      </w:r>
      <w:r w:rsidRPr="00E6182B">
        <w:rPr>
          <w:rFonts w:hint="eastAsia"/>
          <w:rtl/>
        </w:rPr>
        <w:t>ץ</w:t>
      </w:r>
      <w:r w:rsidRPr="00E6182B">
        <w:rPr>
          <w:rtl/>
        </w:rPr>
        <w:t xml:space="preserve"> 7194/21 </w:t>
      </w:r>
      <w:r w:rsidRPr="00C56FB9">
        <w:rPr>
          <w:rFonts w:ascii="Century" w:hAnsi="Century" w:cs="Miriam" w:hint="eastAsia"/>
          <w:b/>
          <w:spacing w:val="0"/>
          <w:sz w:val="22"/>
          <w:szCs w:val="24"/>
          <w:rtl/>
        </w:rPr>
        <w:t>עו</w:t>
      </w:r>
      <w:r w:rsidRPr="00C56FB9">
        <w:rPr>
          <w:rFonts w:ascii="Century" w:hAnsi="Century" w:cs="Miriam"/>
          <w:b/>
          <w:spacing w:val="0"/>
          <w:sz w:val="22"/>
          <w:szCs w:val="24"/>
          <w:rtl/>
        </w:rPr>
        <w:t>"</w:t>
      </w:r>
      <w:r w:rsidRPr="00C56FB9">
        <w:rPr>
          <w:rFonts w:ascii="Century" w:hAnsi="Century" w:cs="Miriam" w:hint="eastAsia"/>
          <w:b/>
          <w:spacing w:val="0"/>
          <w:sz w:val="22"/>
          <w:szCs w:val="24"/>
          <w:rtl/>
        </w:rPr>
        <w:t>ד</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אריאל</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סיבוני</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נ</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הוועדה</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הציבורית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לגיבוש</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רשימת</w:t>
      </w:r>
      <w:r w:rsidRPr="00C56FB9">
        <w:rPr>
          <w:rFonts w:ascii="Century" w:hAnsi="Century" w:cs="Miriam"/>
          <w:b/>
          <w:spacing w:val="0"/>
          <w:sz w:val="22"/>
          <w:szCs w:val="24"/>
          <w:rtl/>
        </w:rPr>
        <w:t xml:space="preserve"> </w:t>
      </w:r>
      <w:r w:rsidRPr="00C56FB9">
        <w:rPr>
          <w:rFonts w:ascii="Century" w:hAnsi="Century" w:cs="Miriam" w:hint="eastAsia"/>
          <w:b/>
          <w:spacing w:val="0"/>
          <w:sz w:val="22"/>
          <w:szCs w:val="24"/>
          <w:rtl/>
        </w:rPr>
        <w:t>נאמנים</w:t>
      </w:r>
      <w:r w:rsidRPr="00C56FB9">
        <w:rPr>
          <w:rFonts w:ascii="Century" w:hAnsi="Century" w:cs="Miriam"/>
          <w:b/>
          <w:spacing w:val="0"/>
          <w:sz w:val="22"/>
          <w:szCs w:val="24"/>
          <w:rtl/>
        </w:rPr>
        <w:t>-</w:t>
      </w:r>
      <w:r w:rsidRPr="00C56FB9">
        <w:rPr>
          <w:rFonts w:ascii="Century" w:hAnsi="Century" w:cs="Miriam" w:hint="eastAsia"/>
          <w:b/>
          <w:spacing w:val="0"/>
          <w:sz w:val="22"/>
          <w:szCs w:val="24"/>
          <w:rtl/>
        </w:rPr>
        <w:t>יחידים</w:t>
      </w:r>
      <w:r>
        <w:rPr>
          <w:rFonts w:hint="cs"/>
          <w:rtl/>
        </w:rPr>
        <w:t xml:space="preserve">, פסקה 10 (23.1.2022)). בענייננו, מלשונו של סעיף 4א(ב) לחוק </w:t>
      </w:r>
      <w:r>
        <w:rPr>
          <w:rtl/>
        </w:rPr>
        <w:t>–</w:t>
      </w:r>
      <w:r>
        <w:rPr>
          <w:rFonts w:hint="cs"/>
          <w:rtl/>
        </w:rPr>
        <w:t xml:space="preserve"> אשר מבהירה באופן מפורש כי פטירתו של </w:t>
      </w:r>
      <w:r w:rsidRPr="00C56FB9">
        <w:rPr>
          <w:rFonts w:ascii="Century" w:hAnsi="Century" w:cs="Miriam" w:hint="cs"/>
          <w:b/>
          <w:spacing w:val="0"/>
          <w:sz w:val="22"/>
          <w:szCs w:val="24"/>
          <w:rtl/>
        </w:rPr>
        <w:t>יהודי</w:t>
      </w:r>
      <w:r>
        <w:rPr>
          <w:rFonts w:hint="cs"/>
          <w:rtl/>
        </w:rPr>
        <w:t xml:space="preserve"> אינה שוללת את זכאותם של בני משפחתו מכוח החוק </w:t>
      </w:r>
      <w:r>
        <w:rPr>
          <w:rtl/>
        </w:rPr>
        <w:t>–</w:t>
      </w:r>
      <w:r>
        <w:rPr>
          <w:rFonts w:hint="cs"/>
          <w:rtl/>
        </w:rPr>
        <w:t xml:space="preserve"> מתחייבת לעמדתי המסקנה החד-משמעית כי פטירתו של </w:t>
      </w:r>
      <w:r>
        <w:rPr>
          <w:rFonts w:ascii="Century" w:hAnsi="Century" w:cs="Miriam" w:hint="cs"/>
          <w:b/>
          <w:spacing w:val="0"/>
          <w:sz w:val="22"/>
          <w:szCs w:val="24"/>
          <w:rtl/>
        </w:rPr>
        <w:t xml:space="preserve">ילד או נכד של יהודי </w:t>
      </w:r>
      <w:r>
        <w:rPr>
          <w:rFonts w:hint="cs"/>
          <w:rtl/>
        </w:rPr>
        <w:t xml:space="preserve">("זכאי שבות" כהגדרת חבריי) </w:t>
      </w:r>
      <w:r w:rsidRPr="00C56FB9">
        <w:rPr>
          <w:rFonts w:ascii="Century" w:hAnsi="Century" w:hint="cs"/>
          <w:sz w:val="22"/>
          <w:rtl/>
        </w:rPr>
        <w:t>כן שוללת את זכאות</w:t>
      </w:r>
      <w:r>
        <w:rPr>
          <w:rFonts w:ascii="Century" w:hAnsi="Century" w:hint="cs"/>
          <w:sz w:val="22"/>
          <w:rtl/>
        </w:rPr>
        <w:t>ו</w:t>
      </w:r>
      <w:r w:rsidRPr="00C56FB9">
        <w:rPr>
          <w:rFonts w:ascii="Century" w:hAnsi="Century" w:hint="cs"/>
          <w:sz w:val="22"/>
          <w:rtl/>
        </w:rPr>
        <w:t xml:space="preserve"> של </w:t>
      </w:r>
      <w:r>
        <w:rPr>
          <w:rFonts w:hint="cs"/>
          <w:rtl/>
        </w:rPr>
        <w:t>בן הזוג לשבות מכוח החוק.</w:t>
      </w:r>
    </w:p>
    <w:p w:rsidR="00BA03D0" w:rsidRPr="00196C21" w:rsidRDefault="00BA03D0" w:rsidP="00BA03D0">
      <w:pPr>
        <w:pStyle w:val="Ruller41"/>
      </w:pPr>
    </w:p>
    <w:p w:rsidR="00BA03D0" w:rsidRDefault="00BA03D0" w:rsidP="00BA03D0">
      <w:pPr>
        <w:pStyle w:val="Ruller4"/>
        <w:textAlignment w:val="baseline"/>
        <w:rPr>
          <w:rtl/>
        </w:rPr>
      </w:pPr>
      <w:r>
        <w:rPr>
          <w:rFonts w:hint="cs"/>
          <w:rtl/>
        </w:rPr>
        <w:t xml:space="preserve">לשונו של הסעיף מבחינה בין שני סוגים של בני משפחה הזכאים לזכויות שונות מכוח החוק: האחד, בני משפחה שהם בעלי זיקה ישירה ליהודי </w:t>
      </w:r>
      <w:r>
        <w:rPr>
          <w:rtl/>
        </w:rPr>
        <w:t>–</w:t>
      </w:r>
      <w:r>
        <w:rPr>
          <w:rFonts w:hint="cs"/>
          <w:rtl/>
        </w:rPr>
        <w:t xml:space="preserve"> המהווה מקור הזכות ויוצרהּ (בן זוג, ילד ונכד); והשני, בני משפחה שאינם בעלי זיקה ישירה ליהודי, אלא בעלי קשר של זוגיות לגורם שהוא בעל זיקה ישירה ליהודי (בן זוג של ילד ובן זוג של נכד). ככל שמדובר בסוג הראשון, פטירתו של יוצר הזיקה (היהודי) לא תשפיע על </w:t>
      </w:r>
      <w:r>
        <w:rPr>
          <w:rFonts w:hint="cs"/>
          <w:rtl/>
        </w:rPr>
        <w:lastRenderedPageBreak/>
        <w:t xml:space="preserve">זכאותו של בן המשפחה לשבות מכוח החוק; ואילו ככל שמדובר בסוג השני, פטירתו של יוצר הזיקה המשנית (בנו או נכדו של היהודי) תאיין את זכאותו של בן הזוג לשבות מכוח החוק. במילים אחרות, מלשון הסעיף עולה לעניות דעתי באופן שאינו משתמע לשני פנים, כי הרחבת מעגל הזכאים לשבות לגבי אלה שזיקתם ליהודי אינה ישירה ומבוססת על קשרי זוגיות עם בן משפחה בעל זיקה ישירה ליהודי </w:t>
      </w:r>
      <w:r>
        <w:rPr>
          <w:rtl/>
        </w:rPr>
        <w:t>–</w:t>
      </w:r>
      <w:r>
        <w:rPr>
          <w:rFonts w:hint="cs"/>
          <w:rtl/>
        </w:rPr>
        <w:t xml:space="preserve"> תתאפשר רק כל עוד </w:t>
      </w:r>
      <w:r w:rsidRPr="001F3FF7">
        <w:rPr>
          <w:rFonts w:ascii="Century" w:hAnsi="Century" w:hint="eastAsia"/>
          <w:sz w:val="22"/>
          <w:rtl/>
        </w:rPr>
        <w:t>בן</w:t>
      </w:r>
      <w:r w:rsidRPr="001F3FF7">
        <w:rPr>
          <w:rFonts w:ascii="Century" w:hAnsi="Century"/>
          <w:sz w:val="22"/>
          <w:rtl/>
        </w:rPr>
        <w:t xml:space="preserve"> </w:t>
      </w:r>
      <w:r w:rsidRPr="001F3FF7">
        <w:rPr>
          <w:rFonts w:ascii="Century" w:hAnsi="Century" w:hint="eastAsia"/>
          <w:sz w:val="22"/>
          <w:rtl/>
        </w:rPr>
        <w:t>הזוג</w:t>
      </w:r>
      <w:r w:rsidRPr="001F3FF7">
        <w:rPr>
          <w:rFonts w:ascii="Century" w:hAnsi="Century" w:hint="cs"/>
          <w:sz w:val="22"/>
          <w:rtl/>
        </w:rPr>
        <w:t xml:space="preserve"> שהוא</w:t>
      </w:r>
      <w:r w:rsidRPr="001F3FF7">
        <w:rPr>
          <w:rFonts w:hint="cs"/>
          <w:rtl/>
        </w:rPr>
        <w:t xml:space="preserve"> </w:t>
      </w:r>
      <w:r>
        <w:rPr>
          <w:rFonts w:hint="cs"/>
          <w:rtl/>
        </w:rPr>
        <w:t xml:space="preserve">בעל זיקה ישירה ליהודי, עודנו בחיים. לאחר מותו, אין בכוחו עוד </w:t>
      </w:r>
      <w:r w:rsidRPr="009B0516">
        <w:rPr>
          <w:rFonts w:hint="eastAsia"/>
          <w:rtl/>
        </w:rPr>
        <w:t>להעביר</w:t>
      </w:r>
      <w:r w:rsidRPr="009B0516">
        <w:rPr>
          <w:rtl/>
        </w:rPr>
        <w:t xml:space="preserve"> </w:t>
      </w:r>
      <w:r>
        <w:rPr>
          <w:rFonts w:hint="eastAsia"/>
          <w:rtl/>
        </w:rPr>
        <w:t>לבעל</w:t>
      </w:r>
      <w:r w:rsidRPr="009B0516">
        <w:rPr>
          <w:rtl/>
        </w:rPr>
        <w:t xml:space="preserve"> </w:t>
      </w:r>
      <w:r w:rsidRPr="009B0516">
        <w:rPr>
          <w:rFonts w:hint="eastAsia"/>
          <w:rtl/>
        </w:rPr>
        <w:t>הזיקה</w:t>
      </w:r>
      <w:r w:rsidRPr="009B0516">
        <w:rPr>
          <w:rtl/>
        </w:rPr>
        <w:t xml:space="preserve"> </w:t>
      </w:r>
      <w:r w:rsidRPr="001F3FF7">
        <w:rPr>
          <w:rFonts w:hint="eastAsia"/>
          <w:rtl/>
        </w:rPr>
        <w:t>אליו</w:t>
      </w:r>
      <w:r w:rsidRPr="00493CF0">
        <w:rPr>
          <w:rtl/>
        </w:rPr>
        <w:t xml:space="preserve"> </w:t>
      </w:r>
      <w:r w:rsidRPr="009B0516">
        <w:rPr>
          <w:rFonts w:hint="eastAsia"/>
          <w:rtl/>
        </w:rPr>
        <w:t>את</w:t>
      </w:r>
      <w:r w:rsidRPr="009B0516">
        <w:rPr>
          <w:rtl/>
        </w:rPr>
        <w:t xml:space="preserve"> </w:t>
      </w:r>
      <w:r w:rsidRPr="009B0516">
        <w:rPr>
          <w:rFonts w:hint="eastAsia"/>
          <w:rtl/>
        </w:rPr>
        <w:t>הזכאות</w:t>
      </w:r>
      <w:r w:rsidRPr="009B0516">
        <w:rPr>
          <w:rtl/>
        </w:rPr>
        <w:t xml:space="preserve"> </w:t>
      </w:r>
      <w:r w:rsidRPr="009B0516">
        <w:rPr>
          <w:rFonts w:hint="eastAsia"/>
          <w:rtl/>
        </w:rPr>
        <w:t>לשבות</w:t>
      </w:r>
      <w:r>
        <w:rPr>
          <w:rFonts w:hint="cs"/>
          <w:rtl/>
        </w:rPr>
        <w:t xml:space="preserve">. כך מתחייב לטעמי מפשוטו של מקרא. </w:t>
      </w:r>
    </w:p>
    <w:p w:rsidR="00BA03D0" w:rsidRPr="002A17D8" w:rsidRDefault="00BA03D0" w:rsidP="00BA03D0">
      <w:pPr>
        <w:pStyle w:val="Ruller41"/>
        <w:rPr>
          <w:rtl/>
        </w:rPr>
      </w:pPr>
    </w:p>
    <w:p w:rsidR="00BA03D0" w:rsidRDefault="00BA03D0" w:rsidP="00BA03D0">
      <w:pPr>
        <w:pStyle w:val="Ruller4"/>
        <w:textAlignment w:val="baseline"/>
        <w:rPr>
          <w:rtl/>
        </w:rPr>
      </w:pPr>
      <w:r w:rsidRPr="00097368">
        <w:rPr>
          <w:rFonts w:hint="cs"/>
          <w:rtl/>
        </w:rPr>
        <w:t xml:space="preserve">חבריי </w:t>
      </w:r>
      <w:r>
        <w:rPr>
          <w:rFonts w:hint="cs"/>
          <w:rtl/>
        </w:rPr>
        <w:t xml:space="preserve">ממלא מקום הנשיא </w:t>
      </w:r>
      <w:r w:rsidRPr="00097368">
        <w:rPr>
          <w:rFonts w:hint="cs"/>
          <w:rtl/>
        </w:rPr>
        <w:t xml:space="preserve">והשופטים </w:t>
      </w:r>
      <w:r w:rsidRPr="00097368">
        <w:rPr>
          <w:rFonts w:ascii="Century" w:hAnsi="Century" w:cs="Miriam" w:hint="cs"/>
          <w:b/>
          <w:spacing w:val="0"/>
          <w:sz w:val="22"/>
          <w:szCs w:val="24"/>
          <w:rtl/>
        </w:rPr>
        <w:t>עמית</w:t>
      </w:r>
      <w:r w:rsidRPr="00097368">
        <w:rPr>
          <w:rFonts w:hint="cs"/>
          <w:rtl/>
        </w:rPr>
        <w:t xml:space="preserve">, </w:t>
      </w:r>
      <w:r w:rsidRPr="00097368">
        <w:rPr>
          <w:rFonts w:ascii="Century" w:hAnsi="Century" w:cs="Miriam" w:hint="cs"/>
          <w:b/>
          <w:spacing w:val="0"/>
          <w:sz w:val="22"/>
          <w:szCs w:val="24"/>
          <w:rtl/>
        </w:rPr>
        <w:t>ברק-ארז</w:t>
      </w:r>
      <w:r w:rsidRPr="00097368">
        <w:rPr>
          <w:rFonts w:hint="cs"/>
          <w:rtl/>
        </w:rPr>
        <w:t xml:space="preserve"> ו</w:t>
      </w:r>
      <w:r>
        <w:rPr>
          <w:rFonts w:hint="cs"/>
          <w:rtl/>
        </w:rPr>
        <w:t>-</w:t>
      </w:r>
      <w:r w:rsidRPr="00097368">
        <w:rPr>
          <w:rFonts w:ascii="Century" w:hAnsi="Century" w:cs="Miriam" w:hint="cs"/>
          <w:b/>
          <w:spacing w:val="0"/>
          <w:sz w:val="22"/>
          <w:szCs w:val="24"/>
          <w:rtl/>
        </w:rPr>
        <w:t>ברון</w:t>
      </w:r>
      <w:r w:rsidRPr="00097368">
        <w:rPr>
          <w:rFonts w:hint="cs"/>
          <w:rtl/>
        </w:rPr>
        <w:t>, אינם חולקים</w:t>
      </w:r>
      <w:r>
        <w:rPr>
          <w:rFonts w:hint="cs"/>
          <w:rtl/>
        </w:rPr>
        <w:t xml:space="preserve"> על כך שסעיף 4א מתייחס רק להשלכות (או בעיקר </w:t>
      </w:r>
      <w:r>
        <w:rPr>
          <w:rtl/>
        </w:rPr>
        <w:t>–</w:t>
      </w:r>
      <w:r>
        <w:rPr>
          <w:rFonts w:hint="cs"/>
          <w:rtl/>
        </w:rPr>
        <w:t xml:space="preserve"> היעדר השלכות) פטירתו </w:t>
      </w:r>
      <w:r w:rsidRPr="00F016E0">
        <w:rPr>
          <w:rFonts w:ascii="Century" w:hAnsi="Century" w:hint="cs"/>
          <w:sz w:val="22"/>
          <w:rtl/>
        </w:rPr>
        <w:t>של</w:t>
      </w:r>
      <w:r w:rsidRPr="00F016E0">
        <w:rPr>
          <w:rFonts w:ascii="Century" w:hAnsi="Century" w:cs="Miriam" w:hint="cs"/>
          <w:b/>
          <w:spacing w:val="0"/>
          <w:sz w:val="22"/>
          <w:szCs w:val="24"/>
          <w:rtl/>
        </w:rPr>
        <w:t xml:space="preserve"> יהודי</w:t>
      </w:r>
      <w:r>
        <w:rPr>
          <w:rFonts w:ascii="Century" w:hAnsi="Century" w:hint="cs"/>
          <w:sz w:val="22"/>
          <w:rtl/>
        </w:rPr>
        <w:t xml:space="preserve">, ואינו מורה דבר בנוגע להשלכות </w:t>
      </w:r>
      <w:r>
        <w:rPr>
          <w:rFonts w:hint="cs"/>
          <w:rtl/>
        </w:rPr>
        <w:t xml:space="preserve">פטירתו של </w:t>
      </w:r>
      <w:r w:rsidRPr="009F20BF">
        <w:rPr>
          <w:rFonts w:ascii="Century" w:hAnsi="Century" w:cs="Miriam" w:hint="cs"/>
          <w:b/>
          <w:spacing w:val="0"/>
          <w:sz w:val="22"/>
          <w:szCs w:val="24"/>
          <w:rtl/>
        </w:rPr>
        <w:t>זכאי שבות</w:t>
      </w:r>
      <w:r>
        <w:rPr>
          <w:rFonts w:ascii="Century" w:hAnsi="Century" w:hint="cs"/>
          <w:sz w:val="22"/>
          <w:rtl/>
        </w:rPr>
        <w:t>.</w:t>
      </w:r>
      <w:r>
        <w:rPr>
          <w:rFonts w:hint="cs"/>
          <w:rtl/>
        </w:rPr>
        <w:t xml:space="preserve"> אלא שלעמדתם, לא מדובר בהסדר שלילי ואין לשלול פרשנות לפיה גם פטירת זכאי השבות אינה משליכה על זכויותיו של בן הזוג מכוח החוק. </w:t>
      </w:r>
    </w:p>
    <w:p w:rsidR="00BA03D0" w:rsidRDefault="00BA03D0" w:rsidP="00BA03D0">
      <w:pPr>
        <w:pStyle w:val="Ruller41"/>
        <w:rPr>
          <w:rtl/>
        </w:rPr>
      </w:pPr>
    </w:p>
    <w:p w:rsidR="00BA03D0" w:rsidRDefault="00BA03D0" w:rsidP="00BA03D0">
      <w:pPr>
        <w:pStyle w:val="Ruller4"/>
        <w:textAlignment w:val="baseline"/>
        <w:rPr>
          <w:rtl/>
        </w:rPr>
      </w:pPr>
      <w:r>
        <w:rPr>
          <w:rFonts w:hint="cs"/>
          <w:rtl/>
        </w:rPr>
        <w:t>אכן, שתיקת המחוקק בעניין מסוים לא בהכרח תתפרש כשתיקה מדעת אשר כוונתו נלמדת ממנה באופן משתמע. במקרים מסוימים שתיקת המחוקק עשויה להתפרש כ"תקלה חקיקתית" כלשהי כגון שכחה או חוסר תשומת לב שבעטיה התקבל הסדר בלתי שלם (</w:t>
      </w:r>
      <w:r w:rsidRPr="00ED06B1">
        <w:rPr>
          <w:rFonts w:hint="eastAsia"/>
          <w:rtl/>
        </w:rPr>
        <w:t>בג</w:t>
      </w:r>
      <w:r>
        <w:rPr>
          <w:rFonts w:hint="cs"/>
          <w:rtl/>
        </w:rPr>
        <w:t>"</w:t>
      </w:r>
      <w:r w:rsidRPr="00ED06B1">
        <w:rPr>
          <w:rFonts w:hint="eastAsia"/>
          <w:rtl/>
        </w:rPr>
        <w:t>ץ</w:t>
      </w:r>
      <w:r w:rsidRPr="00ED06B1">
        <w:rPr>
          <w:rtl/>
        </w:rPr>
        <w:t xml:space="preserve"> 6301/18 </w:t>
      </w:r>
      <w:r w:rsidRPr="00126024">
        <w:rPr>
          <w:rFonts w:ascii="Century" w:hAnsi="Century" w:cs="Miriam" w:hint="eastAsia"/>
          <w:b/>
          <w:spacing w:val="0"/>
          <w:sz w:val="22"/>
          <w:szCs w:val="24"/>
          <w:rtl/>
        </w:rPr>
        <w:t>פוזננסקי</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כץ</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נ</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שרת</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המשפטים</w:t>
      </w:r>
      <w:r>
        <w:rPr>
          <w:rFonts w:hint="cs"/>
          <w:rtl/>
        </w:rPr>
        <w:t xml:space="preserve">, פסקאות 31-30 (27.12.2018); </w:t>
      </w:r>
      <w:r w:rsidRPr="00B756A0">
        <w:rPr>
          <w:rFonts w:hint="eastAsia"/>
          <w:rtl/>
        </w:rPr>
        <w:t>דנ</w:t>
      </w:r>
      <w:r>
        <w:rPr>
          <w:rFonts w:hint="cs"/>
          <w:rtl/>
        </w:rPr>
        <w:t>"</w:t>
      </w:r>
      <w:r w:rsidRPr="00B756A0">
        <w:rPr>
          <w:rFonts w:hint="eastAsia"/>
          <w:rtl/>
        </w:rPr>
        <w:t>א</w:t>
      </w:r>
      <w:r w:rsidRPr="00B756A0">
        <w:rPr>
          <w:rtl/>
        </w:rPr>
        <w:t xml:space="preserve"> 2308/15 </w:t>
      </w:r>
      <w:r w:rsidRPr="00126024">
        <w:rPr>
          <w:rFonts w:ascii="Century" w:hAnsi="Century" w:cs="Miriam" w:hint="eastAsia"/>
          <w:b/>
          <w:spacing w:val="0"/>
          <w:sz w:val="22"/>
          <w:szCs w:val="24"/>
          <w:rtl/>
        </w:rPr>
        <w:t>פקיד</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השומה</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רחובות</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נ</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דמארי</w:t>
      </w:r>
      <w:r>
        <w:rPr>
          <w:rFonts w:hint="cs"/>
          <w:rtl/>
        </w:rPr>
        <w:t xml:space="preserve">, פסקה 22 לפסק דינה של הנשיאה </w:t>
      </w:r>
      <w:r w:rsidRPr="00126024">
        <w:rPr>
          <w:rFonts w:ascii="Century" w:hAnsi="Century" w:cs="Miriam" w:hint="cs"/>
          <w:b/>
          <w:spacing w:val="0"/>
          <w:sz w:val="22"/>
          <w:szCs w:val="24"/>
          <w:rtl/>
        </w:rPr>
        <w:t>מ' נאור</w:t>
      </w:r>
      <w:r>
        <w:rPr>
          <w:rFonts w:hint="cs"/>
          <w:rtl/>
        </w:rPr>
        <w:t xml:space="preserve"> (12.9.2017); </w:t>
      </w:r>
      <w:r w:rsidRPr="00B756A0">
        <w:rPr>
          <w:rFonts w:hint="eastAsia"/>
          <w:rtl/>
        </w:rPr>
        <w:t>ע</w:t>
      </w:r>
      <w:r>
        <w:rPr>
          <w:rFonts w:hint="cs"/>
          <w:rtl/>
        </w:rPr>
        <w:t>"</w:t>
      </w:r>
      <w:r w:rsidRPr="00B756A0">
        <w:rPr>
          <w:rFonts w:hint="eastAsia"/>
          <w:rtl/>
        </w:rPr>
        <w:t>א</w:t>
      </w:r>
      <w:r w:rsidRPr="00B756A0">
        <w:rPr>
          <w:rtl/>
        </w:rPr>
        <w:t xml:space="preserve"> 8511/18 </w:t>
      </w:r>
      <w:r w:rsidRPr="00126024">
        <w:rPr>
          <w:rFonts w:ascii="Century" w:hAnsi="Century" w:cs="Miriam" w:hint="eastAsia"/>
          <w:b/>
          <w:spacing w:val="0"/>
          <w:sz w:val="22"/>
          <w:szCs w:val="24"/>
          <w:rtl/>
        </w:rPr>
        <w:t>פקיד</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שומה</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נתניה</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נ</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דלק</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הונגריה</w:t>
      </w:r>
      <w:r w:rsidRPr="00126024">
        <w:rPr>
          <w:rFonts w:ascii="Century" w:hAnsi="Century" w:cs="Miriam"/>
          <w:b/>
          <w:spacing w:val="0"/>
          <w:sz w:val="22"/>
          <w:szCs w:val="24"/>
          <w:rtl/>
        </w:rPr>
        <w:t xml:space="preserve"> </w:t>
      </w:r>
      <w:r w:rsidRPr="00126024">
        <w:rPr>
          <w:rFonts w:ascii="Century" w:hAnsi="Century" w:cs="Miriam" w:hint="eastAsia"/>
          <w:b/>
          <w:spacing w:val="0"/>
          <w:sz w:val="22"/>
          <w:szCs w:val="24"/>
          <w:rtl/>
        </w:rPr>
        <w:t>בע</w:t>
      </w:r>
      <w:r w:rsidRPr="00126024">
        <w:rPr>
          <w:rFonts w:ascii="Century" w:hAnsi="Century" w:cs="Miriam"/>
          <w:b/>
          <w:spacing w:val="0"/>
          <w:sz w:val="22"/>
          <w:szCs w:val="24"/>
          <w:rtl/>
        </w:rPr>
        <w:t>"</w:t>
      </w:r>
      <w:r w:rsidRPr="00126024">
        <w:rPr>
          <w:rFonts w:ascii="Century" w:hAnsi="Century" w:cs="Miriam" w:hint="eastAsia"/>
          <w:b/>
          <w:spacing w:val="0"/>
          <w:sz w:val="22"/>
          <w:szCs w:val="24"/>
          <w:rtl/>
        </w:rPr>
        <w:t>מ</w:t>
      </w:r>
      <w:r>
        <w:rPr>
          <w:rFonts w:hint="cs"/>
          <w:rtl/>
        </w:rPr>
        <w:t>, פסקה 25 (26.1.2020)). אולם בענייננו, כאשר המחוקק בחר באופן מפורש וברור לציין כי לא תהיה נפקות לפטירתו או אי-עלייתו של "</w:t>
      </w:r>
      <w:r w:rsidRPr="00126024">
        <w:rPr>
          <w:rFonts w:ascii="Century" w:hAnsi="Century" w:cs="Miriam" w:hint="cs"/>
          <w:b/>
          <w:spacing w:val="0"/>
          <w:sz w:val="22"/>
          <w:szCs w:val="24"/>
          <w:rtl/>
        </w:rPr>
        <w:t>יהודי</w:t>
      </w:r>
      <w:r>
        <w:rPr>
          <w:rFonts w:hint="cs"/>
          <w:rtl/>
        </w:rPr>
        <w:t xml:space="preserve">", וכאשר הדבר נעשה במסגרת </w:t>
      </w:r>
      <w:r w:rsidRPr="00126024">
        <w:rPr>
          <w:rFonts w:ascii="Century" w:hAnsi="Century" w:cs="Miriam" w:hint="cs"/>
          <w:b/>
          <w:spacing w:val="0"/>
          <w:sz w:val="22"/>
          <w:szCs w:val="24"/>
          <w:rtl/>
        </w:rPr>
        <w:t>אותו תיקון שהטמיע בחוק את הגדרת המונח "יהודי"</w:t>
      </w:r>
      <w:r w:rsidRPr="004F6B7A">
        <w:rPr>
          <w:rFonts w:hint="cs"/>
          <w:rtl/>
        </w:rPr>
        <w:t xml:space="preserve"> </w:t>
      </w:r>
      <w:r>
        <w:rPr>
          <w:rFonts w:hint="cs"/>
          <w:rtl/>
        </w:rPr>
        <w:t xml:space="preserve">לאחר דיון ארוך ומתמשך בעניין </w:t>
      </w:r>
      <w:r>
        <w:rPr>
          <w:rtl/>
        </w:rPr>
        <w:t>–</w:t>
      </w:r>
      <w:r>
        <w:rPr>
          <w:rFonts w:hint="cs"/>
          <w:rtl/>
        </w:rPr>
        <w:t xml:space="preserve"> בלתי אפשרי לטעמי לסבור כי בחירת המחוקק לנקוב דווקא במילה "יהודי" מקורה בתקלה חקיקתית או בחוסר תשומת לב. מקום שבו הגדרת המונח "יהודי" עמדה לנגד עיניו של המחוקק, אשר בחר באותו תיקון עצמו לעגן אותה באופן מפורש וברור בהוראות החוק, בחירתו במונח זה, בקבעו כי "אין נפקא מינה אם</w:t>
      </w:r>
      <w:r w:rsidRPr="00126024">
        <w:rPr>
          <w:rFonts w:ascii="Century" w:hAnsi="Century" w:cs="Miriam" w:hint="cs"/>
          <w:b/>
          <w:spacing w:val="0"/>
          <w:sz w:val="22"/>
          <w:szCs w:val="24"/>
          <w:rtl/>
        </w:rPr>
        <w:t xml:space="preserve"> יהודי</w:t>
      </w:r>
      <w:r w:rsidRPr="00BC4E88">
        <w:rPr>
          <w:rFonts w:hint="eastAsia"/>
          <w:rtl/>
        </w:rPr>
        <w:t xml:space="preserve"> שמכוחו</w:t>
      </w:r>
      <w:r w:rsidRPr="00BC4E88">
        <w:rPr>
          <w:rtl/>
        </w:rPr>
        <w:t xml:space="preserve"> </w:t>
      </w:r>
      <w:r w:rsidRPr="00BC4E88">
        <w:rPr>
          <w:rFonts w:hint="eastAsia"/>
          <w:rtl/>
        </w:rPr>
        <w:t>נתבעת</w:t>
      </w:r>
      <w:r w:rsidRPr="00BC4E88">
        <w:rPr>
          <w:rtl/>
        </w:rPr>
        <w:t xml:space="preserve"> </w:t>
      </w:r>
      <w:r w:rsidRPr="00BC4E88">
        <w:rPr>
          <w:rFonts w:hint="eastAsia"/>
          <w:rtl/>
        </w:rPr>
        <w:t>זכות</w:t>
      </w:r>
      <w:r>
        <w:rPr>
          <w:rFonts w:hint="cs"/>
          <w:rtl/>
        </w:rPr>
        <w:t>...</w:t>
      </w:r>
      <w:r w:rsidRPr="00BC4E88">
        <w:rPr>
          <w:rtl/>
        </w:rPr>
        <w:t xml:space="preserve"> </w:t>
      </w:r>
      <w:r w:rsidRPr="00BC4E88">
        <w:rPr>
          <w:rFonts w:hint="eastAsia"/>
          <w:rtl/>
        </w:rPr>
        <w:t>עודו</w:t>
      </w:r>
      <w:r w:rsidRPr="00BC4E88">
        <w:rPr>
          <w:rtl/>
        </w:rPr>
        <w:t xml:space="preserve"> </w:t>
      </w:r>
      <w:r w:rsidRPr="00BC4E88">
        <w:rPr>
          <w:rFonts w:hint="eastAsia"/>
          <w:rtl/>
        </w:rPr>
        <w:t>בחיים</w:t>
      </w:r>
      <w:r w:rsidRPr="00BC4E88">
        <w:rPr>
          <w:rtl/>
        </w:rPr>
        <w:t xml:space="preserve"> </w:t>
      </w:r>
      <w:r w:rsidRPr="00BC4E88">
        <w:rPr>
          <w:rFonts w:hint="eastAsia"/>
          <w:rtl/>
        </w:rPr>
        <w:t>או</w:t>
      </w:r>
      <w:r w:rsidRPr="00BC4E88">
        <w:rPr>
          <w:rtl/>
        </w:rPr>
        <w:t xml:space="preserve"> </w:t>
      </w:r>
      <w:r w:rsidRPr="00BC4E88">
        <w:rPr>
          <w:rFonts w:hint="eastAsia"/>
          <w:rtl/>
        </w:rPr>
        <w:t>לאו</w:t>
      </w:r>
      <w:r w:rsidRPr="00BC4E88">
        <w:rPr>
          <w:rtl/>
        </w:rPr>
        <w:t xml:space="preserve"> </w:t>
      </w:r>
      <w:r w:rsidRPr="00BC4E88">
        <w:rPr>
          <w:rFonts w:hint="eastAsia"/>
          <w:rtl/>
        </w:rPr>
        <w:t>ואם</w:t>
      </w:r>
      <w:r w:rsidRPr="00BC4E88">
        <w:rPr>
          <w:rtl/>
        </w:rPr>
        <w:t xml:space="preserve"> </w:t>
      </w:r>
      <w:r w:rsidRPr="00BC4E88">
        <w:rPr>
          <w:rFonts w:hint="eastAsia"/>
          <w:rtl/>
        </w:rPr>
        <w:t>עלה</w:t>
      </w:r>
      <w:r w:rsidRPr="00BC4E88">
        <w:rPr>
          <w:rtl/>
        </w:rPr>
        <w:t xml:space="preserve"> </w:t>
      </w:r>
      <w:r w:rsidRPr="00BC4E88">
        <w:rPr>
          <w:rFonts w:hint="eastAsia"/>
          <w:rtl/>
        </w:rPr>
        <w:t>ארצה</w:t>
      </w:r>
      <w:r w:rsidRPr="00BC4E88">
        <w:rPr>
          <w:rtl/>
        </w:rPr>
        <w:t xml:space="preserve"> </w:t>
      </w:r>
      <w:r w:rsidRPr="00BC4E88">
        <w:rPr>
          <w:rFonts w:hint="eastAsia"/>
          <w:rtl/>
        </w:rPr>
        <w:t>או</w:t>
      </w:r>
      <w:r w:rsidRPr="00BC4E88">
        <w:rPr>
          <w:rtl/>
        </w:rPr>
        <w:t xml:space="preserve"> </w:t>
      </w:r>
      <w:r w:rsidRPr="00BC4E88">
        <w:rPr>
          <w:rFonts w:hint="eastAsia"/>
          <w:rtl/>
        </w:rPr>
        <w:t>לאו</w:t>
      </w:r>
      <w:r>
        <w:rPr>
          <w:rFonts w:hint="cs"/>
          <w:rtl/>
        </w:rPr>
        <w:t xml:space="preserve">" </w:t>
      </w:r>
      <w:r>
        <w:rPr>
          <w:rtl/>
        </w:rPr>
        <w:t>–</w:t>
      </w:r>
      <w:r>
        <w:rPr>
          <w:rFonts w:hint="cs"/>
          <w:rtl/>
        </w:rPr>
        <w:t xml:space="preserve"> מחייבת לטעמי את המסקנה כי מדובר בהסדר שלילי. כפי שציינתי בפסק הדין מושא הדיון הנוסף, לוּ המחוקק היה חפץ בכך, הוא יכול היה לנסח הסתייגות זו לעניין הנפקות בהתייחס לכל "</w:t>
      </w:r>
      <w:r w:rsidRPr="005B0C2F">
        <w:rPr>
          <w:rFonts w:ascii="Century" w:hAnsi="Century" w:cs="Miriam" w:hint="eastAsia"/>
          <w:b/>
          <w:spacing w:val="0"/>
          <w:sz w:val="22"/>
          <w:szCs w:val="24"/>
          <w:rtl/>
        </w:rPr>
        <w:t>אדם</w:t>
      </w:r>
      <w:r>
        <w:rPr>
          <w:rFonts w:hint="cs"/>
          <w:rtl/>
        </w:rPr>
        <w:t>" ולא רק ל</w:t>
      </w:r>
      <w:r w:rsidRPr="005B0C2F">
        <w:rPr>
          <w:rFonts w:ascii="Century" w:hAnsi="Century"/>
          <w:b/>
          <w:spacing w:val="0"/>
          <w:sz w:val="22"/>
          <w:szCs w:val="24"/>
          <w:rtl/>
        </w:rPr>
        <w:t>"</w:t>
      </w:r>
      <w:r w:rsidRPr="005B0C2F">
        <w:rPr>
          <w:rFonts w:ascii="Century" w:hAnsi="Century" w:cs="Miriam" w:hint="eastAsia"/>
          <w:b/>
          <w:spacing w:val="0"/>
          <w:sz w:val="22"/>
          <w:szCs w:val="24"/>
          <w:rtl/>
        </w:rPr>
        <w:t>יהודי</w:t>
      </w:r>
      <w:r>
        <w:rPr>
          <w:rFonts w:hint="cs"/>
          <w:rtl/>
        </w:rPr>
        <w:t xml:space="preserve">" (היינו, לקבוע כי "אין נפקא מינה אם </w:t>
      </w:r>
      <w:r w:rsidRPr="00126024">
        <w:rPr>
          <w:rFonts w:ascii="Century" w:hAnsi="Century" w:cs="Miriam" w:hint="cs"/>
          <w:b/>
          <w:spacing w:val="0"/>
          <w:sz w:val="22"/>
          <w:szCs w:val="24"/>
          <w:rtl/>
        </w:rPr>
        <w:t xml:space="preserve">אדם </w:t>
      </w:r>
      <w:r>
        <w:rPr>
          <w:rFonts w:hint="cs"/>
          <w:rtl/>
        </w:rPr>
        <w:t>שמכוחו נתבעת זכות..."). מסקנה זו מתבקשת גם כן באופן ברור מכך שכאשר ביקש המחוקק להתייחס גם לזכאי השבות, הוא עשה זאת בסיפא של סעיף 4א(א) לחוק, באמצעות שימוש במונח "</w:t>
      </w:r>
      <w:r w:rsidRPr="005B0C2F">
        <w:rPr>
          <w:rFonts w:ascii="Century" w:hAnsi="Century" w:cs="Miriam" w:hint="eastAsia"/>
          <w:b/>
          <w:spacing w:val="0"/>
          <w:sz w:val="22"/>
          <w:szCs w:val="24"/>
          <w:rtl/>
        </w:rPr>
        <w:t>אדם</w:t>
      </w:r>
      <w:r>
        <w:rPr>
          <w:rFonts w:hint="cs"/>
          <w:rtl/>
        </w:rPr>
        <w:t xml:space="preserve">" ולא באמצעות המונח "יהודי". </w:t>
      </w:r>
    </w:p>
    <w:p w:rsidR="00BA03D0" w:rsidRPr="008B477B" w:rsidRDefault="00BA03D0" w:rsidP="00BA03D0">
      <w:pPr>
        <w:pStyle w:val="Ruller41"/>
      </w:pPr>
    </w:p>
    <w:p w:rsidR="00BA03D0" w:rsidRDefault="00BA03D0" w:rsidP="00BA03D0">
      <w:pPr>
        <w:pStyle w:val="Ruller4"/>
        <w:textAlignment w:val="baseline"/>
        <w:rPr>
          <w:rtl/>
        </w:rPr>
      </w:pPr>
      <w:r>
        <w:rPr>
          <w:rFonts w:hint="cs"/>
          <w:rtl/>
        </w:rPr>
        <w:lastRenderedPageBreak/>
        <w:t xml:space="preserve">חבריי התומכים בעמדה לפיה לא מדובר בהסדר שלילי, סבורים כי קיימת אפשרות שהתייחסותו של המחוקק למצב של פטירת יהודי בלבד בסעיף 4א(ב) נעוצה בכך שהיהודי הוא מקור זכותם של בני המשפחה כולם. ברם לעמדתי, מקום שבו החוק מתייחס לשני סוגים של זכאי שבות וקובע רק לגבי אחד מהם הסדר מסוים </w:t>
      </w:r>
      <w:r>
        <w:rPr>
          <w:rtl/>
        </w:rPr>
        <w:t>–</w:t>
      </w:r>
      <w:r>
        <w:rPr>
          <w:rFonts w:hint="cs"/>
          <w:rtl/>
        </w:rPr>
        <w:t xml:space="preserve"> מוקשית מאוד בעיני פרשנות לפיה יש להחיל את ההסדר גם על הסוג השני.</w:t>
      </w:r>
    </w:p>
    <w:p w:rsidR="00BA03D0" w:rsidRDefault="00BA03D0" w:rsidP="00BA03D0">
      <w:pPr>
        <w:pStyle w:val="Ruller41"/>
        <w:rPr>
          <w:rtl/>
        </w:rPr>
      </w:pPr>
    </w:p>
    <w:p w:rsidR="00BA03D0" w:rsidRPr="00E23DB1" w:rsidRDefault="00BA03D0" w:rsidP="00BA03D0">
      <w:pPr>
        <w:pStyle w:val="Ruller4"/>
        <w:textAlignment w:val="baseline"/>
        <w:rPr>
          <w:rtl/>
        </w:rPr>
      </w:pPr>
      <w:r>
        <w:rPr>
          <w:rFonts w:hint="cs"/>
          <w:rtl/>
        </w:rPr>
        <w:t xml:space="preserve">כאמור בחוות דעתם, דרכם הפרשנית של חבריי נסובה על התיבה "בן זוג" ברכיב "בן זוג של ילד של יהודי ושל נכד של יהודי" שבסעיף 4א(א) לחוק, כאשר לגישתם תיבה זו מאפשרת לכלול בתוכה גם את אלמנת זכאי השבות. ברם, כפי שציין גם חברי השופט </w:t>
      </w:r>
      <w:r w:rsidRPr="004A4D75">
        <w:rPr>
          <w:rFonts w:ascii="Century" w:hAnsi="Century" w:cs="Miriam" w:hint="cs"/>
          <w:b/>
          <w:spacing w:val="0"/>
          <w:sz w:val="22"/>
          <w:szCs w:val="24"/>
          <w:rtl/>
        </w:rPr>
        <w:t>סולברג</w:t>
      </w:r>
      <w:r>
        <w:rPr>
          <w:rFonts w:hint="cs"/>
          <w:rtl/>
        </w:rPr>
        <w:t xml:space="preserve">, אילו סבר המחוקק כי כך יש לפרש את התיבה "בן זוג", כלל לא היה צורך להבהיר ברחל בתך הקטנה בסעיף 4א(ב) לחוק כי לעניין "בן זוג של יהודי" אין נפקא מינה אם היהודי הלך לבית עולמו. אלא שהמחוקק עשה כן, וחזקה היא כי הוא אינו משחית מילותיו לריק (ראו מיני רבים: </w:t>
      </w:r>
      <w:r w:rsidRPr="00194186">
        <w:rPr>
          <w:rFonts w:hint="eastAsia"/>
          <w:rtl/>
        </w:rPr>
        <w:t>ע</w:t>
      </w:r>
      <w:r w:rsidRPr="00194186">
        <w:rPr>
          <w:rtl/>
        </w:rPr>
        <w:t>"</w:t>
      </w:r>
      <w:r w:rsidRPr="00194186">
        <w:rPr>
          <w:rFonts w:hint="eastAsia"/>
          <w:rtl/>
        </w:rPr>
        <w:t>א</w:t>
      </w:r>
      <w:r w:rsidRPr="00194186">
        <w:rPr>
          <w:rtl/>
        </w:rPr>
        <w:t xml:space="preserve"> 4603/22 </w:t>
      </w:r>
      <w:r w:rsidRPr="004A4D75">
        <w:rPr>
          <w:rFonts w:ascii="Century" w:hAnsi="Century" w:cs="Miriam" w:hint="eastAsia"/>
          <w:b/>
          <w:spacing w:val="0"/>
          <w:sz w:val="22"/>
          <w:szCs w:val="24"/>
          <w:rtl/>
        </w:rPr>
        <w:t>הפועל</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ניר</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רמת</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השרון</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נ</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פקיד</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שומה</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כפר</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סבא</w:t>
      </w:r>
      <w:r>
        <w:rPr>
          <w:rFonts w:hint="cs"/>
          <w:rtl/>
        </w:rPr>
        <w:t>, פסקה 18</w:t>
      </w:r>
      <w:r w:rsidRPr="00194186">
        <w:rPr>
          <w:rtl/>
        </w:rPr>
        <w:t xml:space="preserve"> (</w:t>
      </w:r>
      <w:r>
        <w:rPr>
          <w:rtl/>
        </w:rPr>
        <w:t>28.</w:t>
      </w:r>
      <w:r w:rsidRPr="00194186">
        <w:rPr>
          <w:rtl/>
        </w:rPr>
        <w:t>6.2023)</w:t>
      </w:r>
      <w:r>
        <w:rPr>
          <w:rFonts w:hint="cs"/>
          <w:rtl/>
        </w:rPr>
        <w:t xml:space="preserve">; </w:t>
      </w:r>
      <w:r w:rsidRPr="00F92A99">
        <w:rPr>
          <w:rFonts w:hint="eastAsia"/>
          <w:rtl/>
        </w:rPr>
        <w:t>בג</w:t>
      </w:r>
      <w:r w:rsidRPr="00F92A99">
        <w:rPr>
          <w:rtl/>
        </w:rPr>
        <w:t>"</w:t>
      </w:r>
      <w:r w:rsidRPr="00F92A99">
        <w:rPr>
          <w:rFonts w:hint="eastAsia"/>
          <w:rtl/>
        </w:rPr>
        <w:t>ץ</w:t>
      </w:r>
      <w:r w:rsidRPr="00F92A99">
        <w:rPr>
          <w:rtl/>
        </w:rPr>
        <w:t xml:space="preserve"> 10017/09 </w:t>
      </w:r>
      <w:r w:rsidRPr="004A4D75">
        <w:rPr>
          <w:rFonts w:ascii="Century" w:hAnsi="Century" w:cs="Miriam" w:hint="eastAsia"/>
          <w:b/>
          <w:spacing w:val="0"/>
          <w:sz w:val="22"/>
          <w:szCs w:val="24"/>
          <w:rtl/>
        </w:rPr>
        <w:t>קרן</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דולב</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לצדק</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רפואי</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נ</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ממשלת</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ישראל</w:t>
      </w:r>
      <w:r>
        <w:rPr>
          <w:rFonts w:hint="cs"/>
          <w:rtl/>
        </w:rPr>
        <w:t>, פסקה 15</w:t>
      </w:r>
      <w:r w:rsidRPr="00F92A99">
        <w:rPr>
          <w:rtl/>
        </w:rPr>
        <w:t xml:space="preserve"> (</w:t>
      </w:r>
      <w:r>
        <w:rPr>
          <w:rtl/>
        </w:rPr>
        <w:t>20.</w:t>
      </w:r>
      <w:r w:rsidRPr="00F92A99">
        <w:rPr>
          <w:rtl/>
        </w:rPr>
        <w:t>5.2010)</w:t>
      </w:r>
      <w:r>
        <w:rPr>
          <w:rFonts w:hint="cs"/>
          <w:rtl/>
        </w:rPr>
        <w:t xml:space="preserve">; </w:t>
      </w:r>
      <w:r w:rsidRPr="007B3828">
        <w:rPr>
          <w:rFonts w:hint="eastAsia"/>
          <w:rtl/>
        </w:rPr>
        <w:t>אהרן</w:t>
      </w:r>
      <w:r w:rsidRPr="007B3828">
        <w:rPr>
          <w:rtl/>
        </w:rPr>
        <w:t xml:space="preserve"> </w:t>
      </w:r>
      <w:r w:rsidRPr="007B3828">
        <w:rPr>
          <w:rFonts w:hint="eastAsia"/>
          <w:rtl/>
        </w:rPr>
        <w:t>ברק</w:t>
      </w:r>
      <w:r w:rsidRPr="007B3828">
        <w:rPr>
          <w:rtl/>
        </w:rPr>
        <w:t xml:space="preserve"> </w:t>
      </w:r>
      <w:r w:rsidRPr="004A4D75">
        <w:rPr>
          <w:rFonts w:ascii="Century" w:hAnsi="Century" w:cs="Miriam" w:hint="eastAsia"/>
          <w:b/>
          <w:spacing w:val="0"/>
          <w:sz w:val="22"/>
          <w:szCs w:val="24"/>
          <w:rtl/>
        </w:rPr>
        <w:t>פרשנות</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במשפט</w:t>
      </w:r>
      <w:r w:rsidRPr="004A4D75">
        <w:rPr>
          <w:rFonts w:ascii="Century" w:hAnsi="Century" w:cs="Miriam"/>
          <w:b/>
          <w:spacing w:val="0"/>
          <w:sz w:val="22"/>
          <w:szCs w:val="24"/>
          <w:rtl/>
        </w:rPr>
        <w:t xml:space="preserve"> –</w:t>
      </w:r>
      <w:r w:rsidRPr="004A4D75">
        <w:rPr>
          <w:rFonts w:ascii="Century" w:hAnsi="Century" w:cs="Miriam" w:hint="cs"/>
          <w:b/>
          <w:spacing w:val="0"/>
          <w:sz w:val="22"/>
          <w:szCs w:val="24"/>
          <w:rtl/>
        </w:rPr>
        <w:t xml:space="preserve"> </w:t>
      </w:r>
      <w:r w:rsidRPr="004A4D75">
        <w:rPr>
          <w:rFonts w:ascii="Century" w:hAnsi="Century" w:cs="Miriam" w:hint="eastAsia"/>
          <w:b/>
          <w:spacing w:val="0"/>
          <w:sz w:val="22"/>
          <w:szCs w:val="24"/>
          <w:rtl/>
        </w:rPr>
        <w:t>פרשנות</w:t>
      </w:r>
      <w:r w:rsidRPr="004A4D75">
        <w:rPr>
          <w:rFonts w:ascii="Century" w:hAnsi="Century" w:cs="Miriam"/>
          <w:b/>
          <w:spacing w:val="0"/>
          <w:sz w:val="22"/>
          <w:szCs w:val="24"/>
          <w:rtl/>
        </w:rPr>
        <w:t xml:space="preserve"> </w:t>
      </w:r>
      <w:r w:rsidRPr="004A4D75">
        <w:rPr>
          <w:rFonts w:ascii="Century" w:hAnsi="Century" w:cs="Miriam" w:hint="eastAsia"/>
          <w:b/>
          <w:spacing w:val="0"/>
          <w:sz w:val="22"/>
          <w:szCs w:val="24"/>
          <w:rtl/>
        </w:rPr>
        <w:t>החקיקה</w:t>
      </w:r>
      <w:r w:rsidRPr="007B3828">
        <w:rPr>
          <w:rtl/>
        </w:rPr>
        <w:t xml:space="preserve"> </w:t>
      </w:r>
      <w:r w:rsidRPr="004A4D75">
        <w:rPr>
          <w:rFonts w:ascii="Century" w:hAnsi="Century" w:hint="cs"/>
          <w:rtl/>
        </w:rPr>
        <w:t>596-595</w:t>
      </w:r>
      <w:r w:rsidRPr="004A4D75">
        <w:rPr>
          <w:rFonts w:ascii="Century" w:hAnsi="Century" w:hint="cs"/>
          <w:sz w:val="22"/>
          <w:rtl/>
        </w:rPr>
        <w:t xml:space="preserve"> </w:t>
      </w:r>
      <w:r w:rsidRPr="007B3828">
        <w:rPr>
          <w:rtl/>
        </w:rPr>
        <w:t>(</w:t>
      </w:r>
      <w:r>
        <w:rPr>
          <w:rFonts w:hint="cs"/>
          <w:rtl/>
        </w:rPr>
        <w:t>1993</w:t>
      </w:r>
      <w:r w:rsidRPr="007B3828">
        <w:rPr>
          <w:rtl/>
        </w:rPr>
        <w:t>)</w:t>
      </w:r>
      <w:r>
        <w:rPr>
          <w:rFonts w:hint="cs"/>
          <w:rtl/>
        </w:rPr>
        <w:t xml:space="preserve"> (להלן: </w:t>
      </w:r>
      <w:r w:rsidRPr="004A4D75">
        <w:rPr>
          <w:rFonts w:ascii="Century" w:hAnsi="Century" w:cs="Miriam" w:hint="cs"/>
          <w:b/>
          <w:spacing w:val="0"/>
          <w:sz w:val="22"/>
          <w:szCs w:val="24"/>
          <w:rtl/>
        </w:rPr>
        <w:t>ברק, פרשנות החקיקה</w:t>
      </w:r>
      <w:r w:rsidRPr="00CE7283">
        <w:rPr>
          <w:rFonts w:hint="cs"/>
          <w:rtl/>
        </w:rPr>
        <w:t xml:space="preserve">)). </w:t>
      </w:r>
      <w:r>
        <w:rPr>
          <w:rFonts w:hint="cs"/>
          <w:rtl/>
        </w:rPr>
        <w:t>יצוין כי בניגוד לעמדת המשיבים, אין פירוש הדבר כי ל</w:t>
      </w:r>
      <w:r w:rsidRPr="00F7185E">
        <w:rPr>
          <w:rFonts w:hint="eastAsia"/>
          <w:rtl/>
        </w:rPr>
        <w:t>מונח</w:t>
      </w:r>
      <w:r w:rsidRPr="00F7185E">
        <w:rPr>
          <w:rtl/>
        </w:rPr>
        <w:t xml:space="preserve"> "</w:t>
      </w:r>
      <w:r w:rsidRPr="00F7185E">
        <w:rPr>
          <w:rFonts w:hint="eastAsia"/>
          <w:rtl/>
        </w:rPr>
        <w:t>בן</w:t>
      </w:r>
      <w:r w:rsidRPr="00F7185E">
        <w:rPr>
          <w:rtl/>
        </w:rPr>
        <w:t xml:space="preserve"> </w:t>
      </w:r>
      <w:r w:rsidRPr="00F7185E">
        <w:rPr>
          <w:rFonts w:hint="eastAsia"/>
          <w:rtl/>
        </w:rPr>
        <w:t>זוג</w:t>
      </w:r>
      <w:r w:rsidRPr="00F7185E">
        <w:rPr>
          <w:rtl/>
        </w:rPr>
        <w:t xml:space="preserve">" </w:t>
      </w:r>
      <w:r w:rsidRPr="00F7185E">
        <w:rPr>
          <w:rFonts w:hint="eastAsia"/>
          <w:rtl/>
        </w:rPr>
        <w:t>ברכיב</w:t>
      </w:r>
      <w:r w:rsidRPr="00F7185E">
        <w:rPr>
          <w:rtl/>
        </w:rPr>
        <w:t xml:space="preserve"> "</w:t>
      </w:r>
      <w:r w:rsidRPr="00F7185E">
        <w:rPr>
          <w:rFonts w:hint="eastAsia"/>
          <w:rtl/>
        </w:rPr>
        <w:t>בן</w:t>
      </w:r>
      <w:r w:rsidRPr="00F7185E">
        <w:rPr>
          <w:rtl/>
        </w:rPr>
        <w:t xml:space="preserve"> </w:t>
      </w:r>
      <w:r w:rsidRPr="00F7185E">
        <w:rPr>
          <w:rFonts w:hint="eastAsia"/>
          <w:rtl/>
        </w:rPr>
        <w:t>זוג</w:t>
      </w:r>
      <w:r w:rsidRPr="00F7185E">
        <w:rPr>
          <w:rtl/>
        </w:rPr>
        <w:t xml:space="preserve"> </w:t>
      </w:r>
      <w:r w:rsidRPr="00F7185E">
        <w:rPr>
          <w:rFonts w:hint="eastAsia"/>
          <w:rtl/>
        </w:rPr>
        <w:t>של</w:t>
      </w:r>
      <w:r w:rsidRPr="00F7185E">
        <w:rPr>
          <w:rtl/>
        </w:rPr>
        <w:t xml:space="preserve"> </w:t>
      </w:r>
      <w:r w:rsidRPr="00F7185E">
        <w:rPr>
          <w:rFonts w:hint="eastAsia"/>
          <w:rtl/>
        </w:rPr>
        <w:t>יהודי</w:t>
      </w:r>
      <w:r w:rsidRPr="00F7185E">
        <w:rPr>
          <w:rFonts w:ascii="Century" w:hAnsi="Century"/>
          <w:sz w:val="22"/>
          <w:rtl/>
        </w:rPr>
        <w:t xml:space="preserve">" </w:t>
      </w:r>
      <w:r>
        <w:rPr>
          <w:rFonts w:ascii="Century" w:hAnsi="Century" w:hint="cs"/>
          <w:sz w:val="22"/>
          <w:rtl/>
        </w:rPr>
        <w:t>קיימת</w:t>
      </w:r>
      <w:r w:rsidRPr="00F7185E">
        <w:rPr>
          <w:rFonts w:ascii="Century" w:hAnsi="Century"/>
          <w:sz w:val="22"/>
          <w:rtl/>
        </w:rPr>
        <w:t xml:space="preserve"> </w:t>
      </w:r>
      <w:r w:rsidRPr="00F7185E">
        <w:rPr>
          <w:rFonts w:ascii="Century" w:hAnsi="Century" w:hint="eastAsia"/>
          <w:sz w:val="22"/>
          <w:rtl/>
        </w:rPr>
        <w:t>משמעות</w:t>
      </w:r>
      <w:r w:rsidRPr="00F7185E">
        <w:rPr>
          <w:rFonts w:ascii="Century" w:hAnsi="Century"/>
          <w:sz w:val="22"/>
          <w:rtl/>
        </w:rPr>
        <w:t xml:space="preserve"> </w:t>
      </w:r>
      <w:r w:rsidRPr="00F7185E">
        <w:rPr>
          <w:rFonts w:ascii="Century" w:hAnsi="Century" w:hint="eastAsia"/>
          <w:sz w:val="22"/>
          <w:rtl/>
        </w:rPr>
        <w:t>שונה</w:t>
      </w:r>
      <w:r w:rsidRPr="00F7185E">
        <w:rPr>
          <w:rFonts w:ascii="Century" w:hAnsi="Century"/>
          <w:sz w:val="22"/>
          <w:rtl/>
        </w:rPr>
        <w:t xml:space="preserve"> </w:t>
      </w:r>
      <w:r w:rsidRPr="00F7185E">
        <w:rPr>
          <w:rFonts w:ascii="Century" w:hAnsi="Century" w:hint="eastAsia"/>
          <w:sz w:val="22"/>
          <w:rtl/>
        </w:rPr>
        <w:t>מזו</w:t>
      </w:r>
      <w:r w:rsidRPr="00F7185E">
        <w:rPr>
          <w:rFonts w:ascii="Century" w:hAnsi="Century"/>
          <w:sz w:val="22"/>
          <w:rtl/>
        </w:rPr>
        <w:t xml:space="preserve"> </w:t>
      </w:r>
      <w:r w:rsidRPr="00F7185E">
        <w:rPr>
          <w:rFonts w:ascii="Century" w:hAnsi="Century" w:hint="eastAsia"/>
          <w:sz w:val="22"/>
          <w:rtl/>
        </w:rPr>
        <w:t>הנתונה</w:t>
      </w:r>
      <w:r w:rsidRPr="00F7185E">
        <w:rPr>
          <w:rFonts w:ascii="Century" w:hAnsi="Century"/>
          <w:sz w:val="22"/>
          <w:rtl/>
        </w:rPr>
        <w:t xml:space="preserve"> </w:t>
      </w:r>
      <w:r w:rsidRPr="00F7185E">
        <w:rPr>
          <w:rFonts w:ascii="Century" w:hAnsi="Century" w:hint="eastAsia"/>
          <w:sz w:val="22"/>
          <w:rtl/>
        </w:rPr>
        <w:t>לו</w:t>
      </w:r>
      <w:r w:rsidRPr="00F7185E">
        <w:rPr>
          <w:rFonts w:ascii="Century" w:hAnsi="Century"/>
          <w:sz w:val="22"/>
          <w:rtl/>
        </w:rPr>
        <w:t xml:space="preserve"> </w:t>
      </w:r>
      <w:r w:rsidRPr="00F7185E">
        <w:rPr>
          <w:rFonts w:ascii="Century" w:hAnsi="Century" w:hint="eastAsia"/>
          <w:sz w:val="22"/>
          <w:rtl/>
        </w:rPr>
        <w:t>במסגרת</w:t>
      </w:r>
      <w:r w:rsidRPr="00F7185E">
        <w:rPr>
          <w:rFonts w:ascii="Century" w:hAnsi="Century"/>
          <w:sz w:val="22"/>
          <w:rtl/>
        </w:rPr>
        <w:t xml:space="preserve"> </w:t>
      </w:r>
      <w:r w:rsidRPr="00F7185E">
        <w:rPr>
          <w:rFonts w:ascii="Century" w:hAnsi="Century" w:hint="eastAsia"/>
          <w:sz w:val="22"/>
          <w:rtl/>
        </w:rPr>
        <w:t>הרכיב</w:t>
      </w:r>
      <w:r w:rsidRPr="00F7185E">
        <w:rPr>
          <w:rFonts w:ascii="Century" w:hAnsi="Century"/>
          <w:sz w:val="22"/>
          <w:rtl/>
        </w:rPr>
        <w:t xml:space="preserve"> "</w:t>
      </w:r>
      <w:r w:rsidRPr="00F7185E">
        <w:rPr>
          <w:rFonts w:ascii="Century" w:hAnsi="Century" w:hint="eastAsia"/>
          <w:sz w:val="22"/>
          <w:rtl/>
        </w:rPr>
        <w:t>בן</w:t>
      </w:r>
      <w:r w:rsidRPr="00F7185E">
        <w:rPr>
          <w:rFonts w:ascii="Century" w:hAnsi="Century"/>
          <w:sz w:val="22"/>
          <w:rtl/>
        </w:rPr>
        <w:t xml:space="preserve"> </w:t>
      </w:r>
      <w:r w:rsidRPr="00F7185E">
        <w:rPr>
          <w:rFonts w:ascii="Century" w:hAnsi="Century" w:hint="eastAsia"/>
          <w:sz w:val="22"/>
          <w:rtl/>
        </w:rPr>
        <w:t>זוג</w:t>
      </w:r>
      <w:r w:rsidRPr="00F7185E">
        <w:rPr>
          <w:rFonts w:ascii="Century" w:hAnsi="Century"/>
          <w:sz w:val="22"/>
          <w:rtl/>
        </w:rPr>
        <w:t xml:space="preserve"> </w:t>
      </w:r>
      <w:r w:rsidRPr="00F7185E">
        <w:rPr>
          <w:rFonts w:ascii="Century" w:hAnsi="Century" w:hint="eastAsia"/>
          <w:sz w:val="22"/>
          <w:rtl/>
        </w:rPr>
        <w:t>של</w:t>
      </w:r>
      <w:r w:rsidRPr="00F7185E">
        <w:rPr>
          <w:rFonts w:ascii="Century" w:hAnsi="Century"/>
          <w:sz w:val="22"/>
          <w:rtl/>
        </w:rPr>
        <w:t xml:space="preserve"> </w:t>
      </w:r>
      <w:r w:rsidRPr="00F7185E">
        <w:rPr>
          <w:rFonts w:ascii="Century" w:hAnsi="Century" w:hint="eastAsia"/>
          <w:sz w:val="22"/>
          <w:rtl/>
        </w:rPr>
        <w:t>ילד</w:t>
      </w:r>
      <w:r w:rsidRPr="00F7185E">
        <w:rPr>
          <w:rFonts w:ascii="Century" w:hAnsi="Century"/>
          <w:sz w:val="22"/>
          <w:rtl/>
        </w:rPr>
        <w:t xml:space="preserve"> </w:t>
      </w:r>
      <w:r w:rsidRPr="00F7185E">
        <w:rPr>
          <w:rFonts w:ascii="Century" w:hAnsi="Century" w:hint="eastAsia"/>
          <w:sz w:val="22"/>
          <w:rtl/>
        </w:rPr>
        <w:t>ושל</w:t>
      </w:r>
      <w:r w:rsidRPr="00F7185E">
        <w:rPr>
          <w:rFonts w:ascii="Century" w:hAnsi="Century"/>
          <w:sz w:val="22"/>
          <w:rtl/>
        </w:rPr>
        <w:t xml:space="preserve"> </w:t>
      </w:r>
      <w:r w:rsidRPr="00F7185E">
        <w:rPr>
          <w:rFonts w:ascii="Century" w:hAnsi="Century" w:hint="eastAsia"/>
          <w:sz w:val="22"/>
          <w:rtl/>
        </w:rPr>
        <w:t>נכד</w:t>
      </w:r>
      <w:r w:rsidRPr="00F7185E">
        <w:rPr>
          <w:rFonts w:ascii="Century" w:hAnsi="Century"/>
          <w:sz w:val="22"/>
          <w:rtl/>
        </w:rPr>
        <w:t xml:space="preserve"> </w:t>
      </w:r>
      <w:r w:rsidRPr="00F7185E">
        <w:rPr>
          <w:rFonts w:ascii="Century" w:hAnsi="Century" w:hint="eastAsia"/>
          <w:sz w:val="22"/>
          <w:rtl/>
        </w:rPr>
        <w:t>של</w:t>
      </w:r>
      <w:r w:rsidRPr="00F7185E">
        <w:rPr>
          <w:rFonts w:ascii="Century" w:hAnsi="Century"/>
          <w:sz w:val="22"/>
          <w:rtl/>
        </w:rPr>
        <w:t xml:space="preserve"> </w:t>
      </w:r>
      <w:r w:rsidRPr="00F7185E">
        <w:rPr>
          <w:rFonts w:ascii="Century" w:hAnsi="Century" w:hint="eastAsia"/>
          <w:sz w:val="22"/>
          <w:rtl/>
        </w:rPr>
        <w:t>יהודי</w:t>
      </w:r>
      <w:r w:rsidRPr="00F7185E">
        <w:rPr>
          <w:rFonts w:ascii="Century" w:hAnsi="Century"/>
          <w:sz w:val="22"/>
          <w:rtl/>
        </w:rPr>
        <w:t>"</w:t>
      </w:r>
      <w:r>
        <w:rPr>
          <w:rFonts w:ascii="Century" w:hAnsi="Century" w:hint="cs"/>
          <w:sz w:val="22"/>
          <w:rtl/>
        </w:rPr>
        <w:t xml:space="preserve">. המשמעות הנודעת למונח "בן זוג" בהקשר זה של החוק זהה ונותרת במקומה. סעיף 4א(ב) לחוק הוא זה שבא ומרחיב באופן נקודתי את ההסדר שנקבע לגבי בן הזוג של ה"יהודי". מכל מקום, </w:t>
      </w:r>
      <w:r w:rsidRPr="00E23DB1">
        <w:rPr>
          <w:rFonts w:hint="cs"/>
          <w:rtl/>
        </w:rPr>
        <w:t xml:space="preserve">אף </w:t>
      </w:r>
      <w:r>
        <w:rPr>
          <w:rFonts w:hint="cs"/>
          <w:rtl/>
        </w:rPr>
        <w:t xml:space="preserve">אם היו צודקים המשיבים בטענתם, גם </w:t>
      </w:r>
      <w:r w:rsidRPr="00E23DB1">
        <w:rPr>
          <w:rFonts w:hint="cs"/>
          <w:rtl/>
        </w:rPr>
        <w:t>לגישת</w:t>
      </w:r>
      <w:r>
        <w:rPr>
          <w:rFonts w:hint="cs"/>
          <w:rtl/>
        </w:rPr>
        <w:t>ו של</w:t>
      </w:r>
      <w:r w:rsidRPr="00E23DB1">
        <w:rPr>
          <w:rFonts w:hint="cs"/>
          <w:rtl/>
        </w:rPr>
        <w:t xml:space="preserve"> חברי </w:t>
      </w:r>
      <w:r>
        <w:rPr>
          <w:rFonts w:hint="cs"/>
          <w:rtl/>
        </w:rPr>
        <w:t>ממלא מקום הנשיא,</w:t>
      </w:r>
      <w:r w:rsidRPr="00E23DB1">
        <w:rPr>
          <w:rFonts w:hint="cs"/>
          <w:rtl/>
        </w:rPr>
        <w:t xml:space="preserve"> אין לתת לטענה </w:t>
      </w:r>
      <w:r>
        <w:rPr>
          <w:rFonts w:hint="cs"/>
          <w:rtl/>
        </w:rPr>
        <w:t xml:space="preserve">זו </w:t>
      </w:r>
      <w:r w:rsidRPr="00E23DB1">
        <w:rPr>
          <w:rFonts w:hint="cs"/>
          <w:rtl/>
        </w:rPr>
        <w:t>משקל מכריע (</w:t>
      </w:r>
      <w:r w:rsidRPr="00E23DB1">
        <w:rPr>
          <w:rFonts w:ascii="Century" w:hAnsi="Century" w:hint="cs"/>
          <w:sz w:val="22"/>
          <w:rtl/>
        </w:rPr>
        <w:t xml:space="preserve">פסקה 25 לחוות דעתו; וראו גם בהקשר זה: </w:t>
      </w:r>
      <w:r w:rsidRPr="00E23DB1">
        <w:rPr>
          <w:rFonts w:hint="eastAsia"/>
          <w:rtl/>
        </w:rPr>
        <w:t>בג</w:t>
      </w:r>
      <w:r w:rsidRPr="00E23DB1">
        <w:rPr>
          <w:rFonts w:hint="cs"/>
          <w:rtl/>
        </w:rPr>
        <w:t>"</w:t>
      </w:r>
      <w:r w:rsidRPr="00E23DB1">
        <w:rPr>
          <w:rFonts w:hint="eastAsia"/>
          <w:rtl/>
        </w:rPr>
        <w:t>ץ</w:t>
      </w:r>
      <w:r w:rsidRPr="00E23DB1">
        <w:rPr>
          <w:rtl/>
        </w:rPr>
        <w:t xml:space="preserve"> 6451/18 </w:t>
      </w:r>
      <w:r w:rsidRPr="00E23DB1">
        <w:rPr>
          <w:rFonts w:ascii="Century" w:hAnsi="Century" w:cs="Miriam" w:hint="eastAsia"/>
          <w:b/>
          <w:spacing w:val="0"/>
          <w:sz w:val="22"/>
          <w:szCs w:val="24"/>
          <w:rtl/>
        </w:rPr>
        <w:t>חיון</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נ</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בית</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הדין</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הארצי</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לעבודה</w:t>
      </w:r>
      <w:r w:rsidRPr="00E23DB1">
        <w:rPr>
          <w:rFonts w:hint="cs"/>
          <w:rtl/>
        </w:rPr>
        <w:t xml:space="preserve">, פסקה 18 לפסק דינו של השופט </w:t>
      </w:r>
      <w:r w:rsidRPr="00E23DB1">
        <w:rPr>
          <w:rFonts w:ascii="Century" w:hAnsi="Century" w:cs="Miriam" w:hint="cs"/>
          <w:b/>
          <w:spacing w:val="0"/>
          <w:sz w:val="22"/>
          <w:szCs w:val="24"/>
          <w:rtl/>
        </w:rPr>
        <w:t>ע' גרוסקופף</w:t>
      </w:r>
      <w:r w:rsidRPr="00E23DB1">
        <w:rPr>
          <w:rFonts w:hint="cs"/>
          <w:rtl/>
        </w:rPr>
        <w:t xml:space="preserve"> (19.7.2021); </w:t>
      </w:r>
      <w:r w:rsidRPr="00E23DB1">
        <w:rPr>
          <w:rFonts w:hint="eastAsia"/>
          <w:rtl/>
        </w:rPr>
        <w:t>בג</w:t>
      </w:r>
      <w:r w:rsidRPr="00E23DB1">
        <w:rPr>
          <w:rtl/>
        </w:rPr>
        <w:t>"</w:t>
      </w:r>
      <w:r w:rsidRPr="00E23DB1">
        <w:rPr>
          <w:rFonts w:hint="eastAsia"/>
          <w:rtl/>
        </w:rPr>
        <w:t>ץ</w:t>
      </w:r>
      <w:r w:rsidRPr="00E23DB1">
        <w:rPr>
          <w:rtl/>
        </w:rPr>
        <w:t xml:space="preserve"> 7029/95 </w:t>
      </w:r>
      <w:r w:rsidRPr="00E23DB1">
        <w:rPr>
          <w:rFonts w:ascii="Century" w:hAnsi="Century" w:cs="Miriam" w:hint="eastAsia"/>
          <w:b/>
          <w:spacing w:val="0"/>
          <w:sz w:val="22"/>
          <w:szCs w:val="24"/>
          <w:rtl/>
        </w:rPr>
        <w:t>הסתדרות</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העובדים</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הכללית</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החדשה</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נ</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בית</w:t>
      </w:r>
      <w:r w:rsidRPr="00E23DB1">
        <w:rPr>
          <w:rFonts w:ascii="Century" w:hAnsi="Century" w:cs="Miriam"/>
          <w:b/>
          <w:spacing w:val="0"/>
          <w:sz w:val="22"/>
          <w:szCs w:val="24"/>
          <w:rtl/>
        </w:rPr>
        <w:t>-</w:t>
      </w:r>
      <w:r w:rsidRPr="00E23DB1">
        <w:rPr>
          <w:rFonts w:ascii="Century" w:hAnsi="Century" w:cs="Miriam" w:hint="eastAsia"/>
          <w:b/>
          <w:spacing w:val="0"/>
          <w:sz w:val="22"/>
          <w:szCs w:val="24"/>
          <w:rtl/>
        </w:rPr>
        <w:t>הדין</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הארצי</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לעבודה</w:t>
      </w:r>
      <w:r w:rsidRPr="00E23DB1">
        <w:rPr>
          <w:rFonts w:ascii="Century" w:hAnsi="Century" w:hint="cs"/>
          <w:sz w:val="22"/>
          <w:rtl/>
        </w:rPr>
        <w:t xml:space="preserve">, </w:t>
      </w:r>
      <w:r w:rsidRPr="00E23DB1">
        <w:rPr>
          <w:rFonts w:hint="cs"/>
          <w:rtl/>
        </w:rPr>
        <w:t>פ"</w:t>
      </w:r>
      <w:r w:rsidRPr="00E23DB1">
        <w:rPr>
          <w:rFonts w:hint="eastAsia"/>
          <w:rtl/>
        </w:rPr>
        <w:t>ד</w:t>
      </w:r>
      <w:r w:rsidRPr="00E23DB1">
        <w:rPr>
          <w:rtl/>
        </w:rPr>
        <w:t xml:space="preserve"> </w:t>
      </w:r>
      <w:r w:rsidRPr="00E23DB1">
        <w:rPr>
          <w:rFonts w:hint="eastAsia"/>
          <w:rtl/>
        </w:rPr>
        <w:t>נא</w:t>
      </w:r>
      <w:r w:rsidRPr="00E23DB1">
        <w:rPr>
          <w:rtl/>
        </w:rPr>
        <w:t>(2) 63</w:t>
      </w:r>
      <w:r w:rsidRPr="00E23DB1">
        <w:rPr>
          <w:rFonts w:hint="cs"/>
          <w:rtl/>
        </w:rPr>
        <w:t>, 99-98 (1997);</w:t>
      </w:r>
      <w:r w:rsidRPr="00E23DB1">
        <w:rPr>
          <w:rFonts w:hint="eastAsia"/>
          <w:rtl/>
        </w:rPr>
        <w:t xml:space="preserve"> </w:t>
      </w:r>
      <w:r w:rsidRPr="00E23DB1">
        <w:rPr>
          <w:rFonts w:ascii="Century" w:hAnsi="Century" w:cs="Miriam" w:hint="eastAsia"/>
          <w:b/>
          <w:spacing w:val="0"/>
          <w:sz w:val="22"/>
          <w:szCs w:val="24"/>
          <w:rtl/>
        </w:rPr>
        <w:t>ברק</w:t>
      </w:r>
      <w:r w:rsidRPr="00E23DB1">
        <w:rPr>
          <w:rFonts w:ascii="Century" w:hAnsi="Century" w:cs="Miriam" w:hint="cs"/>
          <w:b/>
          <w:spacing w:val="0"/>
          <w:sz w:val="22"/>
          <w:szCs w:val="24"/>
          <w:rtl/>
        </w:rPr>
        <w:t>,</w:t>
      </w:r>
      <w:r w:rsidRPr="00E23DB1">
        <w:rPr>
          <w:rtl/>
        </w:rPr>
        <w:t xml:space="preserve"> </w:t>
      </w:r>
      <w:r w:rsidRPr="00E23DB1">
        <w:rPr>
          <w:rFonts w:ascii="Century" w:hAnsi="Century" w:cs="Miriam" w:hint="eastAsia"/>
          <w:b/>
          <w:spacing w:val="0"/>
          <w:sz w:val="22"/>
          <w:szCs w:val="24"/>
          <w:rtl/>
        </w:rPr>
        <w:t>פרשנות</w:t>
      </w:r>
      <w:r w:rsidRPr="00E23DB1">
        <w:rPr>
          <w:rFonts w:ascii="Century" w:hAnsi="Century" w:cs="Miriam"/>
          <w:b/>
          <w:spacing w:val="0"/>
          <w:sz w:val="22"/>
          <w:szCs w:val="24"/>
          <w:rtl/>
        </w:rPr>
        <w:t xml:space="preserve"> </w:t>
      </w:r>
      <w:r w:rsidRPr="00E23DB1">
        <w:rPr>
          <w:rFonts w:ascii="Century" w:hAnsi="Century" w:cs="Miriam" w:hint="eastAsia"/>
          <w:b/>
          <w:spacing w:val="0"/>
          <w:sz w:val="22"/>
          <w:szCs w:val="24"/>
          <w:rtl/>
        </w:rPr>
        <w:t>החקיקה</w:t>
      </w:r>
      <w:r w:rsidRPr="00E23DB1">
        <w:rPr>
          <w:rFonts w:ascii="Century" w:hAnsi="Century" w:hint="cs"/>
          <w:sz w:val="22"/>
          <w:rtl/>
        </w:rPr>
        <w:t>, עמ'</w:t>
      </w:r>
      <w:r w:rsidRPr="00E23DB1">
        <w:rPr>
          <w:rtl/>
        </w:rPr>
        <w:t xml:space="preserve"> </w:t>
      </w:r>
      <w:r w:rsidRPr="00E23DB1">
        <w:rPr>
          <w:rFonts w:ascii="Century" w:hAnsi="Century" w:hint="cs"/>
          <w:sz w:val="22"/>
          <w:rtl/>
        </w:rPr>
        <w:t>314-313</w:t>
      </w:r>
      <w:r w:rsidRPr="00E23DB1">
        <w:rPr>
          <w:rFonts w:hint="cs"/>
          <w:rtl/>
        </w:rPr>
        <w:t xml:space="preserve">). </w:t>
      </w:r>
    </w:p>
    <w:p w:rsidR="00BA03D0" w:rsidRPr="004C35FA" w:rsidRDefault="00BA03D0" w:rsidP="00BA03D0">
      <w:pPr>
        <w:pStyle w:val="Ruller41"/>
        <w:rPr>
          <w:rtl/>
        </w:rPr>
      </w:pPr>
    </w:p>
    <w:p w:rsidR="00BA03D0" w:rsidRDefault="00BA03D0" w:rsidP="00BA03D0">
      <w:pPr>
        <w:pStyle w:val="Ruller4"/>
        <w:textAlignment w:val="baseline"/>
      </w:pPr>
      <w:r>
        <w:rPr>
          <w:rFonts w:hint="cs"/>
          <w:rtl/>
        </w:rPr>
        <w:t xml:space="preserve">דעתי היא אפוא כי לשונו של סעיף 4א לחוק יכולה לשאת משמעות אחת בלבד. על כן, </w:t>
      </w:r>
      <w:r w:rsidRPr="007F5985">
        <w:rPr>
          <w:rFonts w:hint="cs"/>
          <w:rtl/>
        </w:rPr>
        <w:t xml:space="preserve">ובהינתן הכלל שהוזכר לעיל לפיו יש לתת לחוק רק משמעות שלשונו יכולה לשאת (ראו גם: </w:t>
      </w:r>
      <w:r w:rsidRPr="007F5985">
        <w:rPr>
          <w:rFonts w:hint="eastAsia"/>
          <w:rtl/>
        </w:rPr>
        <w:t>בג</w:t>
      </w:r>
      <w:r w:rsidRPr="007F5985">
        <w:rPr>
          <w:rtl/>
        </w:rPr>
        <w:t>"</w:t>
      </w:r>
      <w:r w:rsidRPr="007F5985">
        <w:rPr>
          <w:rFonts w:hint="eastAsia"/>
          <w:rtl/>
        </w:rPr>
        <w:t>ץ</w:t>
      </w:r>
      <w:r w:rsidRPr="007F5985">
        <w:rPr>
          <w:rtl/>
        </w:rPr>
        <w:t xml:space="preserve"> 8338/21 </w:t>
      </w:r>
      <w:r w:rsidRPr="007F5985">
        <w:t>The Lesser Group Limited</w:t>
      </w:r>
      <w:r w:rsidRPr="007F5985">
        <w:rPr>
          <w:rtl/>
        </w:rPr>
        <w:t xml:space="preserve"> </w:t>
      </w:r>
      <w:r w:rsidRPr="007F5985">
        <w:rPr>
          <w:rFonts w:ascii="Century" w:hAnsi="Century" w:cs="Miriam" w:hint="eastAsia"/>
          <w:b/>
          <w:spacing w:val="0"/>
          <w:sz w:val="22"/>
          <w:szCs w:val="24"/>
          <w:rtl/>
        </w:rPr>
        <w:t>נ</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רשות</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ניירות</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ערך</w:t>
      </w:r>
      <w:r w:rsidRPr="007F5985">
        <w:rPr>
          <w:rFonts w:hint="cs"/>
          <w:rtl/>
        </w:rPr>
        <w:t>, פסקה 33</w:t>
      </w:r>
      <w:r w:rsidRPr="007F5985">
        <w:rPr>
          <w:rtl/>
        </w:rPr>
        <w:t xml:space="preserve"> (4.4.2023)</w:t>
      </w:r>
      <w:r w:rsidRPr="007F5985">
        <w:rPr>
          <w:rFonts w:hint="cs"/>
          <w:rtl/>
        </w:rPr>
        <w:t xml:space="preserve">; </w:t>
      </w:r>
      <w:r w:rsidRPr="007F5985">
        <w:rPr>
          <w:rFonts w:hint="eastAsia"/>
          <w:rtl/>
        </w:rPr>
        <w:t>בג</w:t>
      </w:r>
      <w:r w:rsidRPr="007F5985">
        <w:rPr>
          <w:rtl/>
        </w:rPr>
        <w:t>"</w:t>
      </w:r>
      <w:r w:rsidRPr="007F5985">
        <w:rPr>
          <w:rFonts w:hint="eastAsia"/>
          <w:rtl/>
        </w:rPr>
        <w:t>ץ</w:t>
      </w:r>
      <w:r w:rsidRPr="007F5985">
        <w:rPr>
          <w:rtl/>
        </w:rPr>
        <w:t xml:space="preserve"> 62/22 </w:t>
      </w:r>
      <w:r w:rsidRPr="007F5985">
        <w:rPr>
          <w:rFonts w:ascii="Century" w:hAnsi="Century" w:cs="Miriam" w:hint="eastAsia"/>
          <w:b/>
          <w:spacing w:val="0"/>
          <w:sz w:val="22"/>
          <w:szCs w:val="24"/>
          <w:rtl/>
        </w:rPr>
        <w:t>קלאסיק</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הוטל</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מנג</w:t>
      </w:r>
      <w:r w:rsidRPr="007F5985">
        <w:rPr>
          <w:rFonts w:ascii="Century" w:hAnsi="Century" w:cs="Miriam"/>
          <w:b/>
          <w:spacing w:val="0"/>
          <w:sz w:val="22"/>
          <w:szCs w:val="24"/>
          <w:rtl/>
        </w:rPr>
        <w:t>'</w:t>
      </w:r>
      <w:r w:rsidRPr="007F5985">
        <w:rPr>
          <w:rFonts w:ascii="Century" w:hAnsi="Century" w:cs="Miriam" w:hint="eastAsia"/>
          <w:b/>
          <w:spacing w:val="0"/>
          <w:sz w:val="22"/>
          <w:szCs w:val="24"/>
          <w:rtl/>
        </w:rPr>
        <w:t>מנט</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בע</w:t>
      </w:r>
      <w:r w:rsidRPr="007F5985">
        <w:rPr>
          <w:rFonts w:ascii="Century" w:hAnsi="Century" w:cs="Miriam"/>
          <w:b/>
          <w:spacing w:val="0"/>
          <w:sz w:val="22"/>
          <w:szCs w:val="24"/>
          <w:rtl/>
        </w:rPr>
        <w:t>"</w:t>
      </w:r>
      <w:r w:rsidRPr="007F5985">
        <w:rPr>
          <w:rFonts w:ascii="Century" w:hAnsi="Century" w:cs="Miriam" w:hint="eastAsia"/>
          <w:b/>
          <w:spacing w:val="0"/>
          <w:sz w:val="22"/>
          <w:szCs w:val="24"/>
          <w:rtl/>
        </w:rPr>
        <w:t>מ</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נ</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בית</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הדין</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הארצי</w:t>
      </w:r>
      <w:r w:rsidRPr="007F5985">
        <w:rPr>
          <w:rFonts w:ascii="Century" w:hAnsi="Century" w:cs="Miriam"/>
          <w:b/>
          <w:spacing w:val="0"/>
          <w:sz w:val="22"/>
          <w:szCs w:val="24"/>
          <w:rtl/>
        </w:rPr>
        <w:t xml:space="preserve"> </w:t>
      </w:r>
      <w:r w:rsidRPr="007F5985">
        <w:rPr>
          <w:rFonts w:ascii="Century" w:hAnsi="Century" w:cs="Miriam" w:hint="eastAsia"/>
          <w:b/>
          <w:spacing w:val="0"/>
          <w:sz w:val="22"/>
          <w:szCs w:val="24"/>
          <w:rtl/>
        </w:rPr>
        <w:t>לעבודה</w:t>
      </w:r>
      <w:r w:rsidRPr="007F5985">
        <w:rPr>
          <w:rFonts w:ascii="Century" w:hAnsi="Century" w:hint="cs"/>
          <w:sz w:val="22"/>
          <w:rtl/>
        </w:rPr>
        <w:t>, פסקה 11</w:t>
      </w:r>
      <w:r w:rsidRPr="007F5985">
        <w:rPr>
          <w:rtl/>
        </w:rPr>
        <w:t xml:space="preserve"> (24.2.2022)</w:t>
      </w:r>
      <w:r w:rsidRPr="007F5985">
        <w:rPr>
          <w:rFonts w:hint="cs"/>
          <w:rtl/>
        </w:rPr>
        <w:t>; ב</w:t>
      </w:r>
      <w:r w:rsidRPr="007F5985">
        <w:rPr>
          <w:rFonts w:hint="eastAsia"/>
          <w:rtl/>
        </w:rPr>
        <w:t>ג</w:t>
      </w:r>
      <w:r w:rsidRPr="007F5985">
        <w:rPr>
          <w:rtl/>
        </w:rPr>
        <w:t>"</w:t>
      </w:r>
      <w:r w:rsidRPr="007F5985">
        <w:rPr>
          <w:rFonts w:hint="eastAsia"/>
          <w:rtl/>
        </w:rPr>
        <w:t>ץ</w:t>
      </w:r>
      <w:r w:rsidRPr="007F5985">
        <w:rPr>
          <w:rtl/>
        </w:rPr>
        <w:t xml:space="preserve"> 6247/04 </w:t>
      </w:r>
      <w:r w:rsidRPr="007F5985">
        <w:rPr>
          <w:rFonts w:cs="Miriam" w:hint="eastAsia"/>
          <w:b/>
          <w:spacing w:val="0"/>
          <w:sz w:val="22"/>
          <w:szCs w:val="24"/>
          <w:rtl/>
        </w:rPr>
        <w:t>גורודצקי</w:t>
      </w:r>
      <w:r w:rsidRPr="007F5985">
        <w:rPr>
          <w:rFonts w:cs="Miriam"/>
          <w:b/>
          <w:spacing w:val="0"/>
          <w:sz w:val="22"/>
          <w:szCs w:val="24"/>
          <w:rtl/>
        </w:rPr>
        <w:t xml:space="preserve"> </w:t>
      </w:r>
      <w:r w:rsidRPr="007F5985">
        <w:rPr>
          <w:rFonts w:cs="Miriam" w:hint="eastAsia"/>
          <w:b/>
          <w:spacing w:val="0"/>
          <w:sz w:val="22"/>
          <w:szCs w:val="24"/>
          <w:rtl/>
        </w:rPr>
        <w:t>נ</w:t>
      </w:r>
      <w:r w:rsidRPr="007F5985">
        <w:rPr>
          <w:rFonts w:cs="Miriam"/>
          <w:b/>
          <w:spacing w:val="0"/>
          <w:sz w:val="22"/>
          <w:szCs w:val="24"/>
          <w:rtl/>
        </w:rPr>
        <w:t xml:space="preserve">' </w:t>
      </w:r>
      <w:r w:rsidRPr="007F5985">
        <w:rPr>
          <w:rFonts w:cs="Miriam" w:hint="eastAsia"/>
          <w:b/>
          <w:spacing w:val="0"/>
          <w:sz w:val="22"/>
          <w:szCs w:val="24"/>
          <w:rtl/>
        </w:rPr>
        <w:t>שר</w:t>
      </w:r>
      <w:r w:rsidRPr="007F5985">
        <w:rPr>
          <w:rFonts w:cs="Miriam"/>
          <w:b/>
          <w:spacing w:val="0"/>
          <w:sz w:val="22"/>
          <w:szCs w:val="24"/>
          <w:rtl/>
        </w:rPr>
        <w:t xml:space="preserve"> </w:t>
      </w:r>
      <w:r w:rsidRPr="007F5985">
        <w:rPr>
          <w:rFonts w:cs="Miriam" w:hint="eastAsia"/>
          <w:b/>
          <w:spacing w:val="0"/>
          <w:sz w:val="22"/>
          <w:szCs w:val="24"/>
          <w:rtl/>
        </w:rPr>
        <w:t>הפנים</w:t>
      </w:r>
      <w:r w:rsidRPr="007F5985">
        <w:rPr>
          <w:rtl/>
        </w:rPr>
        <w:t xml:space="preserve">, </w:t>
      </w:r>
      <w:r w:rsidRPr="007F5985">
        <w:rPr>
          <w:rFonts w:hint="eastAsia"/>
          <w:rtl/>
        </w:rPr>
        <w:t>פסק</w:t>
      </w:r>
      <w:r w:rsidRPr="007F5985">
        <w:rPr>
          <w:rFonts w:hint="cs"/>
          <w:rtl/>
        </w:rPr>
        <w:t>ה 20</w:t>
      </w:r>
      <w:r w:rsidRPr="007F5985">
        <w:rPr>
          <w:rtl/>
        </w:rPr>
        <w:t xml:space="preserve"> (23.3.2010)</w:t>
      </w:r>
      <w:r w:rsidRPr="007F5985">
        <w:rPr>
          <w:rFonts w:hint="cs"/>
          <w:rtl/>
        </w:rPr>
        <w:t xml:space="preserve"> </w:t>
      </w:r>
      <w:r w:rsidRPr="007F5985">
        <w:rPr>
          <w:rtl/>
        </w:rPr>
        <w:t>(</w:t>
      </w:r>
      <w:r w:rsidRPr="007F5985">
        <w:rPr>
          <w:rFonts w:hint="eastAsia"/>
          <w:rtl/>
        </w:rPr>
        <w:t>להלן</w:t>
      </w:r>
      <w:r w:rsidRPr="007F5985">
        <w:rPr>
          <w:rtl/>
        </w:rPr>
        <w:t xml:space="preserve">: </w:t>
      </w:r>
      <w:r w:rsidRPr="007F5985">
        <w:rPr>
          <w:rFonts w:hint="eastAsia"/>
          <w:rtl/>
        </w:rPr>
        <w:t>עניין</w:t>
      </w:r>
      <w:r w:rsidRPr="007F5985">
        <w:rPr>
          <w:rtl/>
        </w:rPr>
        <w:t xml:space="preserve"> </w:t>
      </w:r>
      <w:r w:rsidRPr="007F5985">
        <w:rPr>
          <w:rFonts w:cs="Miriam" w:hint="eastAsia"/>
          <w:b/>
          <w:spacing w:val="0"/>
          <w:szCs w:val="24"/>
          <w:rtl/>
        </w:rPr>
        <w:t>גורודצקי</w:t>
      </w:r>
      <w:r w:rsidRPr="007F5985">
        <w:rPr>
          <w:rFonts w:hint="cs"/>
          <w:rtl/>
        </w:rPr>
        <w:t xml:space="preserve">)), ניתן </w:t>
      </w:r>
      <w:r>
        <w:rPr>
          <w:rFonts w:hint="cs"/>
          <w:rtl/>
        </w:rPr>
        <w:t xml:space="preserve">היה </w:t>
      </w:r>
      <w:r w:rsidRPr="007F5985">
        <w:rPr>
          <w:rFonts w:hint="cs"/>
          <w:rtl/>
        </w:rPr>
        <w:t xml:space="preserve">לסיים בכך את הדיון. ואולם, ולוּ בשל העובדה שחבריי האריכו </w:t>
      </w:r>
      <w:r>
        <w:rPr>
          <w:rFonts w:hint="cs"/>
          <w:rtl/>
        </w:rPr>
        <w:t>ב</w:t>
      </w:r>
      <w:r w:rsidRPr="007F5985">
        <w:rPr>
          <w:rFonts w:hint="cs"/>
          <w:rtl/>
        </w:rPr>
        <w:t>דברים גם בנוגע לתכלית החקיקה, ובבחינת</w:t>
      </w:r>
      <w:r>
        <w:rPr>
          <w:rFonts w:hint="cs"/>
          <w:rtl/>
        </w:rPr>
        <w:t xml:space="preserve"> למעלה מן הצורך, אוסיף כפי שגם </w:t>
      </w:r>
      <w:r>
        <w:rPr>
          <w:rFonts w:hint="cs"/>
          <w:rtl/>
        </w:rPr>
        <w:lastRenderedPageBreak/>
        <w:t>ציינתי בפסק הדין מושא הדיון הנוסף, כי לטעמי גם בחינת התכלית מוליכה לאותה מסקנה.</w:t>
      </w:r>
    </w:p>
    <w:p w:rsidR="00BA03D0" w:rsidRDefault="00BA03D0" w:rsidP="00BA03D0">
      <w:pPr>
        <w:pStyle w:val="Ruller41"/>
        <w:rPr>
          <w:rtl/>
        </w:rPr>
      </w:pPr>
    </w:p>
    <w:p w:rsidR="00BA03D0" w:rsidRPr="009062D6" w:rsidRDefault="00BA03D0" w:rsidP="00BA03D0">
      <w:pPr>
        <w:pStyle w:val="Ruller41"/>
        <w:rPr>
          <w:rFonts w:ascii="Century" w:hAnsi="Century" w:cs="Miriam"/>
          <w:b/>
          <w:spacing w:val="0"/>
          <w:szCs w:val="24"/>
          <w:rtl/>
        </w:rPr>
      </w:pPr>
      <w:r w:rsidRPr="009062D6">
        <w:rPr>
          <w:rFonts w:ascii="Century" w:hAnsi="Century" w:cs="Miriam" w:hint="cs"/>
          <w:b/>
          <w:spacing w:val="0"/>
          <w:szCs w:val="24"/>
          <w:rtl/>
        </w:rPr>
        <w:t>תכלית החקיקה</w:t>
      </w:r>
    </w:p>
    <w:p w:rsidR="00BA03D0" w:rsidRPr="00301BC8" w:rsidRDefault="00BA03D0" w:rsidP="00BA03D0">
      <w:pPr>
        <w:pStyle w:val="Ruller4"/>
        <w:textAlignment w:val="baseline"/>
        <w:rPr>
          <w:rtl/>
        </w:rPr>
      </w:pPr>
      <w:r>
        <w:rPr>
          <w:rFonts w:hint="cs"/>
          <w:rtl/>
        </w:rPr>
        <w:t xml:space="preserve">חברי ממלא מקום הנשיא סקר בחוות דעתו את תכליותיו השונות של סעיף 4א לחוק ויישמן על הסוגיה שלפנינו. לגישתי, דרך הילוכו זו מוקשית בעיני. התבוננות על סעיף 4א לבדו מספקת לטעמי </w:t>
      </w:r>
      <w:r w:rsidRPr="00744327">
        <w:rPr>
          <w:rFonts w:hint="cs"/>
          <w:rtl/>
        </w:rPr>
        <w:t xml:space="preserve">תמונה צרה בלבד בנוגע לסעיף ולתכליתו, המתבהרת מההקשר הרחב בו הוא עומד </w:t>
      </w:r>
      <w:r w:rsidRPr="00744327">
        <w:rPr>
          <w:rtl/>
        </w:rPr>
        <w:t>–</w:t>
      </w:r>
      <w:r w:rsidRPr="00744327">
        <w:rPr>
          <w:rFonts w:hint="cs"/>
          <w:rtl/>
        </w:rPr>
        <w:t xml:space="preserve"> חוק השבות בכללותו, ומהרקע ההיסטורי שעומד מאחוריו. כפי שנאמר בהקשר זה עוד</w:t>
      </w:r>
      <w:r>
        <w:rPr>
          <w:rFonts w:hint="cs"/>
          <w:rtl/>
        </w:rPr>
        <w:t xml:space="preserve"> מימים ימימה במילותיו של השופט </w:t>
      </w:r>
      <w:r w:rsidRPr="00C82220">
        <w:rPr>
          <w:rFonts w:ascii="Century" w:hAnsi="Century" w:cs="Miriam" w:hint="eastAsia"/>
          <w:b/>
          <w:spacing w:val="0"/>
          <w:sz w:val="22"/>
          <w:szCs w:val="24"/>
          <w:rtl/>
        </w:rPr>
        <w:t>מ</w:t>
      </w:r>
      <w:r w:rsidRPr="00C82220">
        <w:rPr>
          <w:rFonts w:ascii="Century" w:hAnsi="Century" w:cs="Miriam"/>
          <w:b/>
          <w:spacing w:val="0"/>
          <w:sz w:val="22"/>
          <w:szCs w:val="24"/>
          <w:rtl/>
        </w:rPr>
        <w:t xml:space="preserve">' </w:t>
      </w:r>
      <w:r w:rsidRPr="00C82220">
        <w:rPr>
          <w:rFonts w:ascii="Century" w:hAnsi="Century" w:cs="Miriam" w:hint="eastAsia"/>
          <w:b/>
          <w:spacing w:val="0"/>
          <w:sz w:val="22"/>
          <w:szCs w:val="24"/>
          <w:rtl/>
        </w:rPr>
        <w:t>חשין</w:t>
      </w:r>
      <w:r>
        <w:rPr>
          <w:rFonts w:hint="cs"/>
          <w:rtl/>
        </w:rPr>
        <w:t xml:space="preserve">, כפי שגם הוזכר על ידי חברי השופט </w:t>
      </w:r>
      <w:r w:rsidRPr="002D7696">
        <w:rPr>
          <w:rFonts w:ascii="Century" w:hAnsi="Century" w:cs="Miriam" w:hint="cs"/>
          <w:b/>
          <w:spacing w:val="0"/>
          <w:sz w:val="22"/>
          <w:szCs w:val="24"/>
          <w:rtl/>
        </w:rPr>
        <w:t>סולברג</w:t>
      </w:r>
      <w:r>
        <w:rPr>
          <w:rFonts w:hint="cs"/>
          <w:rtl/>
        </w:rPr>
        <w:t>: "לא יהא זה נכון ולא יהא זה ראוי אם נפרש את הוראות הסעיפים 4א ו-4ב לחוק השבות במנותק מחוק השבות המקורי. הוראות חוק השבות במקורן, ועמהן הוראות הסעיפים 4א ו-4ב, אין לפרשן ולבארן במנותק אלו-מאלו: משלימות הן אלו-את-אלו להיותן לאחדים: גוף אחד הן שאבריו מתאמים עצמם אלה-אל-אלה" (</w:t>
      </w:r>
      <w:r w:rsidRPr="000638F5">
        <w:rPr>
          <w:rFonts w:hint="eastAsia"/>
          <w:rtl/>
        </w:rPr>
        <w:t>בג</w:t>
      </w:r>
      <w:r w:rsidRPr="000638F5">
        <w:rPr>
          <w:rtl/>
        </w:rPr>
        <w:t>"</w:t>
      </w:r>
      <w:r w:rsidRPr="000638F5">
        <w:rPr>
          <w:rFonts w:hint="eastAsia"/>
          <w:rtl/>
        </w:rPr>
        <w:t>ץ</w:t>
      </w:r>
      <w:r w:rsidRPr="000638F5">
        <w:rPr>
          <w:rtl/>
        </w:rPr>
        <w:t xml:space="preserve"> 3648/97 </w:t>
      </w:r>
      <w:r w:rsidRPr="000B1660">
        <w:rPr>
          <w:rFonts w:ascii="Century" w:hAnsi="Century" w:cs="Miriam" w:hint="eastAsia"/>
          <w:b/>
          <w:spacing w:val="0"/>
          <w:szCs w:val="24"/>
          <w:rtl/>
        </w:rPr>
        <w:t>סטמקה</w:t>
      </w:r>
      <w:r w:rsidRPr="000B1660">
        <w:rPr>
          <w:rFonts w:ascii="Century" w:hAnsi="Century" w:cs="Miriam"/>
          <w:b/>
          <w:spacing w:val="0"/>
          <w:szCs w:val="24"/>
          <w:rtl/>
        </w:rPr>
        <w:t xml:space="preserve"> </w:t>
      </w:r>
      <w:r w:rsidRPr="000B1660">
        <w:rPr>
          <w:rFonts w:ascii="Century" w:hAnsi="Century" w:cs="Miriam" w:hint="eastAsia"/>
          <w:b/>
          <w:spacing w:val="0"/>
          <w:szCs w:val="24"/>
          <w:rtl/>
        </w:rPr>
        <w:t>נ</w:t>
      </w:r>
      <w:r w:rsidRPr="000B1660">
        <w:rPr>
          <w:rFonts w:ascii="Century" w:hAnsi="Century" w:cs="Miriam"/>
          <w:b/>
          <w:spacing w:val="0"/>
          <w:szCs w:val="24"/>
          <w:rtl/>
        </w:rPr>
        <w:t xml:space="preserve">' </w:t>
      </w:r>
      <w:r w:rsidRPr="000B1660">
        <w:rPr>
          <w:rFonts w:ascii="Century" w:hAnsi="Century" w:cs="Miriam" w:hint="eastAsia"/>
          <w:b/>
          <w:spacing w:val="0"/>
          <w:szCs w:val="24"/>
          <w:rtl/>
        </w:rPr>
        <w:t>שר</w:t>
      </w:r>
      <w:r w:rsidRPr="000B1660">
        <w:rPr>
          <w:rFonts w:ascii="Century" w:hAnsi="Century" w:cs="Miriam"/>
          <w:b/>
          <w:spacing w:val="0"/>
          <w:szCs w:val="24"/>
          <w:rtl/>
        </w:rPr>
        <w:t xml:space="preserve"> </w:t>
      </w:r>
      <w:r w:rsidRPr="000B1660">
        <w:rPr>
          <w:rFonts w:ascii="Century" w:hAnsi="Century" w:cs="Miriam" w:hint="eastAsia"/>
          <w:b/>
          <w:spacing w:val="0"/>
          <w:szCs w:val="24"/>
          <w:rtl/>
        </w:rPr>
        <w:t>הפנים</w:t>
      </w:r>
      <w:r w:rsidRPr="000638F5">
        <w:rPr>
          <w:rtl/>
        </w:rPr>
        <w:t xml:space="preserve">, </w:t>
      </w:r>
      <w:r w:rsidRPr="000638F5">
        <w:rPr>
          <w:rFonts w:hint="eastAsia"/>
          <w:rtl/>
        </w:rPr>
        <w:t>פ</w:t>
      </w:r>
      <w:r w:rsidRPr="000638F5">
        <w:rPr>
          <w:rtl/>
        </w:rPr>
        <w:t>"</w:t>
      </w:r>
      <w:r w:rsidRPr="000638F5">
        <w:rPr>
          <w:rFonts w:hint="eastAsia"/>
          <w:rtl/>
        </w:rPr>
        <w:t>ד</w:t>
      </w:r>
      <w:r w:rsidRPr="000638F5">
        <w:rPr>
          <w:rtl/>
        </w:rPr>
        <w:t xml:space="preserve"> </w:t>
      </w:r>
      <w:r w:rsidRPr="000638F5">
        <w:rPr>
          <w:rFonts w:hint="eastAsia"/>
          <w:rtl/>
        </w:rPr>
        <w:t>נג</w:t>
      </w:r>
      <w:r w:rsidRPr="000638F5">
        <w:rPr>
          <w:rtl/>
        </w:rPr>
        <w:t>(2) 728</w:t>
      </w:r>
      <w:r>
        <w:rPr>
          <w:rFonts w:hint="cs"/>
          <w:rtl/>
        </w:rPr>
        <w:t xml:space="preserve">, 757 </w:t>
      </w:r>
      <w:r w:rsidRPr="000638F5">
        <w:rPr>
          <w:rtl/>
        </w:rPr>
        <w:t>(1999)</w:t>
      </w:r>
      <w:r w:rsidRPr="000638F5">
        <w:rPr>
          <w:rFonts w:hint="cs"/>
          <w:rtl/>
        </w:rPr>
        <w:t xml:space="preserve"> </w:t>
      </w:r>
      <w:r w:rsidRPr="000638F5">
        <w:rPr>
          <w:rtl/>
        </w:rPr>
        <w:t>(</w:t>
      </w:r>
      <w:r w:rsidRPr="000638F5">
        <w:rPr>
          <w:rFonts w:hint="eastAsia"/>
          <w:rtl/>
        </w:rPr>
        <w:t>להלן</w:t>
      </w:r>
      <w:r w:rsidRPr="000638F5">
        <w:rPr>
          <w:rtl/>
        </w:rPr>
        <w:t xml:space="preserve">: </w:t>
      </w:r>
      <w:r w:rsidRPr="000638F5">
        <w:rPr>
          <w:rFonts w:hint="eastAsia"/>
          <w:rtl/>
        </w:rPr>
        <w:t>עניין</w:t>
      </w:r>
      <w:r w:rsidRPr="000638F5">
        <w:rPr>
          <w:rtl/>
        </w:rPr>
        <w:t xml:space="preserve"> </w:t>
      </w:r>
      <w:r w:rsidRPr="000B1660">
        <w:rPr>
          <w:rFonts w:ascii="Century" w:hAnsi="Century" w:cs="Miriam" w:hint="eastAsia"/>
          <w:b/>
          <w:spacing w:val="0"/>
          <w:szCs w:val="24"/>
          <w:rtl/>
        </w:rPr>
        <w:t>סטמקה</w:t>
      </w:r>
      <w:r w:rsidRPr="000638F5">
        <w:rPr>
          <w:rtl/>
        </w:rPr>
        <w:t>)</w:t>
      </w:r>
      <w:r>
        <w:rPr>
          <w:rFonts w:hint="cs"/>
          <w:rtl/>
        </w:rPr>
        <w:t xml:space="preserve">). כמו כן, התבוננות על כלל התכליות שנסקרו בפסיקה בנוגע לסעיף 4א לחוק כניצבות בשורה אחת, מחמיצה לטעמי את כוונת המחוקק. אפתח אפוא בתכליות חוק השבות בכללותו, ולאחר מכן אצלול לתכליות ההסדר הספציפי הנדון בענייננו והמעוגן בסעיף 4א לחוק. </w:t>
      </w:r>
    </w:p>
    <w:p w:rsidR="00BA03D0" w:rsidRPr="00301BC8" w:rsidRDefault="00BA03D0" w:rsidP="00BA03D0">
      <w:pPr>
        <w:pStyle w:val="Ruller41"/>
      </w:pPr>
    </w:p>
    <w:p w:rsidR="00BA03D0" w:rsidRDefault="00BA03D0" w:rsidP="00BA03D0">
      <w:pPr>
        <w:pStyle w:val="Ruller4"/>
        <w:textAlignment w:val="baseline"/>
        <w:rPr>
          <w:rtl/>
        </w:rPr>
      </w:pPr>
      <w:r>
        <w:rPr>
          <w:rFonts w:hint="cs"/>
          <w:rtl/>
        </w:rPr>
        <w:t>חוק השבות זכה לאורך השנים לכינויים ותיאורים המדגישים את החשיבות הרבה הנודעת לו במדינתנו ובשיטתנו המשפטית. יש שכינוהו "אחד מהחשובים שבחוקיה של ישראל, אם לא החשוב שבהם [...] היסודי בחוקים כולם"</w:t>
      </w:r>
      <w:r>
        <w:rPr>
          <w:rtl/>
        </w:rPr>
        <w:t xml:space="preserve"> (</w:t>
      </w:r>
      <w:r w:rsidRPr="001A431D">
        <w:rPr>
          <w:rFonts w:hint="eastAsia"/>
          <w:rtl/>
        </w:rPr>
        <w:t>בג</w:t>
      </w:r>
      <w:r w:rsidRPr="001A431D">
        <w:rPr>
          <w:rtl/>
        </w:rPr>
        <w:t>"</w:t>
      </w:r>
      <w:r w:rsidRPr="001A431D">
        <w:rPr>
          <w:rFonts w:hint="eastAsia"/>
          <w:rtl/>
        </w:rPr>
        <w:t>ץ</w:t>
      </w:r>
      <w:r w:rsidRPr="001A431D">
        <w:rPr>
          <w:rtl/>
        </w:rPr>
        <w:t xml:space="preserve"> 2597/99 </w:t>
      </w:r>
      <w:r w:rsidRPr="002547CA">
        <w:rPr>
          <w:rFonts w:ascii="Century" w:hAnsi="Century" w:cs="Miriam" w:hint="eastAsia"/>
          <w:b/>
          <w:spacing w:val="0"/>
          <w:szCs w:val="24"/>
          <w:rtl/>
        </w:rPr>
        <w:t>רודריגז</w:t>
      </w:r>
      <w:r w:rsidRPr="002547CA">
        <w:rPr>
          <w:rFonts w:ascii="Century" w:hAnsi="Century" w:cs="Miriam"/>
          <w:b/>
          <w:spacing w:val="0"/>
          <w:szCs w:val="24"/>
          <w:rtl/>
        </w:rPr>
        <w:t xml:space="preserve"> </w:t>
      </w:r>
      <w:r w:rsidRPr="002547CA">
        <w:rPr>
          <w:rFonts w:ascii="Century" w:hAnsi="Century" w:cs="Miriam" w:hint="eastAsia"/>
          <w:b/>
          <w:spacing w:val="0"/>
          <w:szCs w:val="24"/>
          <w:rtl/>
        </w:rPr>
        <w:t>טושביים</w:t>
      </w:r>
      <w:r w:rsidRPr="002547CA">
        <w:rPr>
          <w:rFonts w:ascii="Century" w:hAnsi="Century" w:cs="Miriam"/>
          <w:b/>
          <w:spacing w:val="0"/>
          <w:szCs w:val="24"/>
          <w:rtl/>
        </w:rPr>
        <w:t xml:space="preserve"> </w:t>
      </w:r>
      <w:r w:rsidRPr="002547CA">
        <w:rPr>
          <w:rFonts w:ascii="Century" w:hAnsi="Century" w:cs="Miriam" w:hint="eastAsia"/>
          <w:b/>
          <w:spacing w:val="0"/>
          <w:szCs w:val="24"/>
          <w:rtl/>
        </w:rPr>
        <w:t>נ</w:t>
      </w:r>
      <w:r w:rsidRPr="002547CA">
        <w:rPr>
          <w:rFonts w:ascii="Century" w:hAnsi="Century" w:cs="Miriam"/>
          <w:b/>
          <w:spacing w:val="0"/>
          <w:szCs w:val="24"/>
          <w:rtl/>
        </w:rPr>
        <w:t xml:space="preserve">' </w:t>
      </w:r>
      <w:r w:rsidRPr="002547CA">
        <w:rPr>
          <w:rFonts w:ascii="Century" w:hAnsi="Century" w:cs="Miriam" w:hint="eastAsia"/>
          <w:b/>
          <w:spacing w:val="0"/>
          <w:szCs w:val="24"/>
          <w:rtl/>
        </w:rPr>
        <w:t>שר</w:t>
      </w:r>
      <w:r w:rsidRPr="002547CA">
        <w:rPr>
          <w:rFonts w:ascii="Century" w:hAnsi="Century" w:cs="Miriam"/>
          <w:b/>
          <w:spacing w:val="0"/>
          <w:szCs w:val="24"/>
          <w:rtl/>
        </w:rPr>
        <w:t xml:space="preserve"> </w:t>
      </w:r>
      <w:r w:rsidRPr="002547CA">
        <w:rPr>
          <w:rFonts w:ascii="Century" w:hAnsi="Century" w:cs="Miriam" w:hint="eastAsia"/>
          <w:b/>
          <w:spacing w:val="0"/>
          <w:szCs w:val="24"/>
          <w:rtl/>
        </w:rPr>
        <w:t>הפנים</w:t>
      </w:r>
      <w:r w:rsidRPr="001A431D">
        <w:rPr>
          <w:rtl/>
        </w:rPr>
        <w:t xml:space="preserve">, </w:t>
      </w:r>
      <w:r w:rsidRPr="001A431D">
        <w:rPr>
          <w:rFonts w:hint="eastAsia"/>
          <w:rtl/>
        </w:rPr>
        <w:t>פ</w:t>
      </w:r>
      <w:r w:rsidRPr="001A431D">
        <w:rPr>
          <w:rtl/>
        </w:rPr>
        <w:t>"</w:t>
      </w:r>
      <w:r w:rsidRPr="001A431D">
        <w:rPr>
          <w:rFonts w:hint="eastAsia"/>
          <w:rtl/>
        </w:rPr>
        <w:t>ד</w:t>
      </w:r>
      <w:r w:rsidRPr="001A431D">
        <w:rPr>
          <w:rtl/>
        </w:rPr>
        <w:t xml:space="preserve"> </w:t>
      </w:r>
      <w:r w:rsidRPr="001A431D">
        <w:rPr>
          <w:rFonts w:hint="eastAsia"/>
          <w:rtl/>
        </w:rPr>
        <w:t>נ</w:t>
      </w:r>
      <w:r>
        <w:rPr>
          <w:rFonts w:hint="cs"/>
          <w:rtl/>
        </w:rPr>
        <w:t>ח</w:t>
      </w:r>
      <w:r w:rsidRPr="001A431D">
        <w:rPr>
          <w:rtl/>
        </w:rPr>
        <w:t>(</w:t>
      </w:r>
      <w:r>
        <w:rPr>
          <w:rFonts w:hint="cs"/>
          <w:rtl/>
        </w:rPr>
        <w:t>5</w:t>
      </w:r>
      <w:r w:rsidRPr="001A431D">
        <w:rPr>
          <w:rtl/>
        </w:rPr>
        <w:t>) 4</w:t>
      </w:r>
      <w:r>
        <w:rPr>
          <w:rFonts w:hint="cs"/>
          <w:rtl/>
        </w:rPr>
        <w:t>12</w:t>
      </w:r>
      <w:r w:rsidRPr="001A431D">
        <w:rPr>
          <w:rtl/>
        </w:rPr>
        <w:t xml:space="preserve">, </w:t>
      </w:r>
      <w:r>
        <w:rPr>
          <w:rFonts w:hint="cs"/>
          <w:rtl/>
        </w:rPr>
        <w:t>426</w:t>
      </w:r>
      <w:r w:rsidRPr="001A431D">
        <w:rPr>
          <w:rtl/>
        </w:rPr>
        <w:t xml:space="preserve"> (200</w:t>
      </w:r>
      <w:r>
        <w:rPr>
          <w:rFonts w:hint="cs"/>
          <w:rtl/>
        </w:rPr>
        <w:t>4</w:t>
      </w:r>
      <w:r w:rsidRPr="001A431D">
        <w:rPr>
          <w:rtl/>
        </w:rPr>
        <w:t>)</w:t>
      </w:r>
      <w:r>
        <w:rPr>
          <w:rFonts w:hint="cs"/>
          <w:rtl/>
        </w:rPr>
        <w:t xml:space="preserve"> (להלן: עניין </w:t>
      </w:r>
      <w:r w:rsidRPr="002547CA">
        <w:rPr>
          <w:rFonts w:ascii="Century" w:hAnsi="Century" w:cs="Miriam" w:hint="cs"/>
          <w:b/>
          <w:spacing w:val="0"/>
          <w:szCs w:val="24"/>
          <w:rtl/>
        </w:rPr>
        <w:t>טושביים</w:t>
      </w:r>
      <w:r>
        <w:rPr>
          <w:rFonts w:hint="cs"/>
          <w:rtl/>
        </w:rPr>
        <w:t>)</w:t>
      </w:r>
      <w:r w:rsidRPr="001A431D">
        <w:rPr>
          <w:rtl/>
        </w:rPr>
        <w:t>).</w:t>
      </w:r>
      <w:r>
        <w:rPr>
          <w:rFonts w:hint="cs"/>
          <w:rtl/>
        </w:rPr>
        <w:t xml:space="preserve"> יש שסברו כי הוא "אבן התשתית החוקתית למהותה של מדינת ישראל כמדינתו של העם היהודי" (</w:t>
      </w:r>
      <w:r w:rsidRPr="0079702D">
        <w:rPr>
          <w:rFonts w:hint="eastAsia"/>
          <w:rtl/>
        </w:rPr>
        <w:t>ע</w:t>
      </w:r>
      <w:r w:rsidRPr="0079702D">
        <w:rPr>
          <w:rtl/>
        </w:rPr>
        <w:t>"</w:t>
      </w:r>
      <w:r w:rsidRPr="0079702D">
        <w:rPr>
          <w:rFonts w:hint="eastAsia"/>
          <w:rtl/>
        </w:rPr>
        <w:t>ב</w:t>
      </w:r>
      <w:r>
        <w:rPr>
          <w:rtl/>
        </w:rPr>
        <w:t xml:space="preserve"> 2</w:t>
      </w:r>
      <w:r>
        <w:rPr>
          <w:rFonts w:hint="cs"/>
          <w:rtl/>
        </w:rPr>
        <w:t>/</w:t>
      </w:r>
      <w:r w:rsidRPr="0079702D">
        <w:rPr>
          <w:rtl/>
        </w:rPr>
        <w:t xml:space="preserve">88 </w:t>
      </w:r>
      <w:r w:rsidRPr="0094594B">
        <w:rPr>
          <w:rFonts w:ascii="Century" w:hAnsi="Century" w:cs="Miriam" w:hint="eastAsia"/>
          <w:b/>
          <w:spacing w:val="0"/>
          <w:sz w:val="22"/>
          <w:szCs w:val="24"/>
          <w:rtl/>
        </w:rPr>
        <w:t>בן</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שלום</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נ</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ועדת</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הבחירות</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המרכזית</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לכנסת</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השתים</w:t>
      </w:r>
      <w:r w:rsidRPr="0094594B">
        <w:rPr>
          <w:rFonts w:ascii="Century" w:hAnsi="Century" w:cs="Miriam"/>
          <w:b/>
          <w:spacing w:val="0"/>
          <w:sz w:val="22"/>
          <w:szCs w:val="24"/>
          <w:rtl/>
        </w:rPr>
        <w:t>-</w:t>
      </w:r>
      <w:r w:rsidRPr="0094594B">
        <w:rPr>
          <w:rFonts w:ascii="Century" w:hAnsi="Century" w:cs="Miriam" w:hint="eastAsia"/>
          <w:b/>
          <w:spacing w:val="0"/>
          <w:sz w:val="22"/>
          <w:szCs w:val="24"/>
          <w:rtl/>
        </w:rPr>
        <w:t>עשרה</w:t>
      </w:r>
      <w:r w:rsidRPr="0079702D">
        <w:rPr>
          <w:rtl/>
        </w:rPr>
        <w:t xml:space="preserve">, </w:t>
      </w:r>
      <w:r>
        <w:rPr>
          <w:rFonts w:hint="cs"/>
          <w:rtl/>
        </w:rPr>
        <w:t xml:space="preserve">פ"ד </w:t>
      </w:r>
      <w:r w:rsidRPr="0079702D">
        <w:rPr>
          <w:rFonts w:hint="eastAsia"/>
          <w:rtl/>
        </w:rPr>
        <w:t>מג</w:t>
      </w:r>
      <w:r w:rsidRPr="0079702D">
        <w:rPr>
          <w:rtl/>
        </w:rPr>
        <w:t>(4) 221</w:t>
      </w:r>
      <w:r>
        <w:rPr>
          <w:rFonts w:hint="cs"/>
          <w:rtl/>
        </w:rPr>
        <w:t>, 272 (1989)). יש שהתייחסו אליו כאחד מ"</w:t>
      </w:r>
      <w:r>
        <w:rPr>
          <w:rFonts w:hint="eastAsia"/>
          <w:rtl/>
        </w:rPr>
        <w:t>חוקי</w:t>
      </w:r>
      <w:r>
        <w:rPr>
          <w:rtl/>
        </w:rPr>
        <w:t>-</w:t>
      </w:r>
      <w:r>
        <w:rPr>
          <w:rFonts w:hint="eastAsia"/>
          <w:rtl/>
        </w:rPr>
        <w:t>השתיה</w:t>
      </w:r>
      <w:r>
        <w:rPr>
          <w:rtl/>
        </w:rPr>
        <w:t xml:space="preserve"> </w:t>
      </w:r>
      <w:r>
        <w:rPr>
          <w:rFonts w:hint="eastAsia"/>
          <w:rtl/>
        </w:rPr>
        <w:t>של</w:t>
      </w:r>
      <w:r>
        <w:rPr>
          <w:rtl/>
        </w:rPr>
        <w:t xml:space="preserve"> </w:t>
      </w:r>
      <w:r>
        <w:rPr>
          <w:rFonts w:hint="eastAsia"/>
          <w:rtl/>
        </w:rPr>
        <w:t>מדינת</w:t>
      </w:r>
      <w:r>
        <w:rPr>
          <w:rtl/>
        </w:rPr>
        <w:t>-</w:t>
      </w:r>
      <w:r>
        <w:rPr>
          <w:rFonts w:hint="eastAsia"/>
          <w:rtl/>
        </w:rPr>
        <w:t>ישראל</w:t>
      </w:r>
      <w:r>
        <w:rPr>
          <w:rFonts w:hint="cs"/>
          <w:rtl/>
        </w:rPr>
        <w:t>"</w:t>
      </w:r>
      <w:r>
        <w:rPr>
          <w:rtl/>
        </w:rPr>
        <w:t xml:space="preserve"> </w:t>
      </w:r>
      <w:r>
        <w:rPr>
          <w:rFonts w:hint="cs"/>
          <w:rtl/>
        </w:rPr>
        <w:t>(נאומו של דוד בן גוריון בעת העלאת חוק השבות לקריאה ראשונה במליאת הכנסת (ה</w:t>
      </w:r>
      <w:r w:rsidRPr="000C3E1B">
        <w:rPr>
          <w:rFonts w:hint="eastAsia"/>
          <w:rtl/>
        </w:rPr>
        <w:t>תש</w:t>
      </w:r>
      <w:r w:rsidRPr="000C3E1B">
        <w:rPr>
          <w:rtl/>
        </w:rPr>
        <w:t>"</w:t>
      </w:r>
      <w:r w:rsidRPr="000C3E1B">
        <w:rPr>
          <w:rFonts w:hint="eastAsia"/>
          <w:rtl/>
        </w:rPr>
        <w:t>י</w:t>
      </w:r>
      <w:r w:rsidRPr="000C3E1B">
        <w:rPr>
          <w:rtl/>
        </w:rPr>
        <w:t>-1950 (</w:t>
      </w:r>
      <w:r w:rsidRPr="000C3E1B">
        <w:rPr>
          <w:rFonts w:hint="eastAsia"/>
          <w:rtl/>
        </w:rPr>
        <w:t>ד</w:t>
      </w:r>
      <w:r w:rsidRPr="000C3E1B">
        <w:rPr>
          <w:rtl/>
        </w:rPr>
        <w:t>"</w:t>
      </w:r>
      <w:r w:rsidRPr="000C3E1B">
        <w:rPr>
          <w:rFonts w:hint="eastAsia"/>
          <w:rtl/>
        </w:rPr>
        <w:t>כ</w:t>
      </w:r>
      <w:r w:rsidRPr="000C3E1B">
        <w:rPr>
          <w:rtl/>
        </w:rPr>
        <w:t xml:space="preserve"> 6 (</w:t>
      </w:r>
      <w:r w:rsidRPr="000C3E1B">
        <w:rPr>
          <w:rFonts w:hint="eastAsia"/>
          <w:rtl/>
        </w:rPr>
        <w:t>תש</w:t>
      </w:r>
      <w:r w:rsidRPr="000C3E1B">
        <w:rPr>
          <w:rtl/>
        </w:rPr>
        <w:t>"</w:t>
      </w:r>
      <w:r w:rsidRPr="000C3E1B">
        <w:rPr>
          <w:rFonts w:hint="eastAsia"/>
          <w:rtl/>
        </w:rPr>
        <w:t>י</w:t>
      </w:r>
      <w:r>
        <w:rPr>
          <w:rtl/>
        </w:rPr>
        <w:t>) 2035,</w:t>
      </w:r>
      <w:r>
        <w:rPr>
          <w:rFonts w:hint="cs"/>
          <w:rtl/>
        </w:rPr>
        <w:t xml:space="preserve"> 2037-2036</w:t>
      </w:r>
      <w:r>
        <w:rPr>
          <w:rtl/>
        </w:rPr>
        <w:t>)</w:t>
      </w:r>
      <w:r>
        <w:rPr>
          <w:rFonts w:hint="cs"/>
          <w:rtl/>
        </w:rPr>
        <w:t xml:space="preserve">, אשר הוזכר גם על ידי חברי השופט </w:t>
      </w:r>
      <w:r w:rsidRPr="00CD3685">
        <w:rPr>
          <w:rFonts w:ascii="Century" w:hAnsi="Century" w:cs="Miriam" w:hint="cs"/>
          <w:b/>
          <w:spacing w:val="0"/>
          <w:sz w:val="22"/>
          <w:szCs w:val="24"/>
          <w:rtl/>
        </w:rPr>
        <w:t>סולברג</w:t>
      </w:r>
      <w:r>
        <w:rPr>
          <w:rFonts w:hint="cs"/>
          <w:rtl/>
        </w:rPr>
        <w:t>). ויש שכתבו עליו כי "</w:t>
      </w:r>
      <w:r>
        <w:rPr>
          <w:rFonts w:hint="eastAsia"/>
          <w:rtl/>
        </w:rPr>
        <w:t>אין</w:t>
      </w:r>
      <w:r>
        <w:rPr>
          <w:rtl/>
        </w:rPr>
        <w:t xml:space="preserve"> </w:t>
      </w:r>
      <w:r>
        <w:rPr>
          <w:rFonts w:hint="eastAsia"/>
          <w:rtl/>
        </w:rPr>
        <w:t>חוק</w:t>
      </w:r>
      <w:r>
        <w:rPr>
          <w:rtl/>
        </w:rPr>
        <w:t xml:space="preserve"> </w:t>
      </w:r>
      <w:r>
        <w:rPr>
          <w:rFonts w:hint="eastAsia"/>
          <w:rtl/>
        </w:rPr>
        <w:t>עלי</w:t>
      </w:r>
      <w:r>
        <w:rPr>
          <w:rtl/>
        </w:rPr>
        <w:t xml:space="preserve"> </w:t>
      </w:r>
      <w:r>
        <w:rPr>
          <w:rFonts w:hint="eastAsia"/>
          <w:rtl/>
        </w:rPr>
        <w:t>ספר</w:t>
      </w:r>
      <w:r>
        <w:rPr>
          <w:rtl/>
        </w:rPr>
        <w:t xml:space="preserve"> </w:t>
      </w:r>
      <w:r>
        <w:rPr>
          <w:rFonts w:hint="eastAsia"/>
          <w:rtl/>
        </w:rPr>
        <w:t>החוקים</w:t>
      </w:r>
      <w:r>
        <w:rPr>
          <w:rtl/>
        </w:rPr>
        <w:t xml:space="preserve"> </w:t>
      </w:r>
      <w:r>
        <w:rPr>
          <w:rFonts w:hint="eastAsia"/>
          <w:rtl/>
        </w:rPr>
        <w:t>המבטא</w:t>
      </w:r>
      <w:r>
        <w:rPr>
          <w:rtl/>
        </w:rPr>
        <w:t xml:space="preserve"> </w:t>
      </w:r>
      <w:r>
        <w:rPr>
          <w:rFonts w:hint="eastAsia"/>
          <w:rtl/>
        </w:rPr>
        <w:t>טוב</w:t>
      </w:r>
      <w:r>
        <w:rPr>
          <w:rtl/>
        </w:rPr>
        <w:t xml:space="preserve"> </w:t>
      </w:r>
      <w:r>
        <w:rPr>
          <w:rFonts w:hint="eastAsia"/>
          <w:rtl/>
        </w:rPr>
        <w:t>יותר</w:t>
      </w:r>
      <w:r>
        <w:rPr>
          <w:rtl/>
        </w:rPr>
        <w:t xml:space="preserve"> </w:t>
      </w:r>
      <w:r>
        <w:rPr>
          <w:rFonts w:hint="eastAsia"/>
          <w:rtl/>
        </w:rPr>
        <w:t>כחוק</w:t>
      </w:r>
      <w:r>
        <w:rPr>
          <w:rtl/>
        </w:rPr>
        <w:t xml:space="preserve"> </w:t>
      </w:r>
      <w:r>
        <w:rPr>
          <w:rFonts w:hint="eastAsia"/>
          <w:rtl/>
        </w:rPr>
        <w:t>השבות</w:t>
      </w:r>
      <w:r>
        <w:rPr>
          <w:rtl/>
        </w:rPr>
        <w:t xml:space="preserve"> </w:t>
      </w:r>
      <w:r>
        <w:rPr>
          <w:rFonts w:hint="eastAsia"/>
          <w:rtl/>
        </w:rPr>
        <w:t>את</w:t>
      </w:r>
      <w:r>
        <w:rPr>
          <w:rtl/>
        </w:rPr>
        <w:t xml:space="preserve"> </w:t>
      </w:r>
      <w:r>
        <w:rPr>
          <w:rFonts w:hint="eastAsia"/>
          <w:rtl/>
        </w:rPr>
        <w:t>ייחודה</w:t>
      </w:r>
      <w:r>
        <w:rPr>
          <w:rtl/>
        </w:rPr>
        <w:t xml:space="preserve"> </w:t>
      </w:r>
      <w:r>
        <w:rPr>
          <w:rFonts w:hint="eastAsia"/>
          <w:rtl/>
        </w:rPr>
        <w:t>ההיסטורי</w:t>
      </w:r>
      <w:r>
        <w:rPr>
          <w:rtl/>
        </w:rPr>
        <w:t xml:space="preserve"> </w:t>
      </w:r>
      <w:r>
        <w:rPr>
          <w:rFonts w:hint="eastAsia"/>
          <w:rtl/>
        </w:rPr>
        <w:t>של</w:t>
      </w:r>
      <w:r>
        <w:rPr>
          <w:rtl/>
        </w:rPr>
        <w:t xml:space="preserve"> </w:t>
      </w:r>
      <w:r>
        <w:rPr>
          <w:rFonts w:hint="eastAsia"/>
          <w:rtl/>
        </w:rPr>
        <w:t>הקמת</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ותכליתה</w:t>
      </w:r>
      <w:r>
        <w:rPr>
          <w:rtl/>
        </w:rPr>
        <w:t xml:space="preserve"> </w:t>
      </w:r>
      <w:r>
        <w:rPr>
          <w:rFonts w:hint="eastAsia"/>
          <w:rtl/>
        </w:rPr>
        <w:t>בשנת</w:t>
      </w:r>
      <w:r>
        <w:rPr>
          <w:rtl/>
        </w:rPr>
        <w:t xml:space="preserve"> 1948. </w:t>
      </w:r>
      <w:r>
        <w:rPr>
          <w:rFonts w:hint="eastAsia"/>
          <w:rtl/>
        </w:rPr>
        <w:t>החוק</w:t>
      </w:r>
      <w:r>
        <w:rPr>
          <w:rtl/>
        </w:rPr>
        <w:t xml:space="preserve"> </w:t>
      </w:r>
      <w:r>
        <w:rPr>
          <w:rFonts w:hint="eastAsia"/>
          <w:rtl/>
        </w:rPr>
        <w:t>ממזג</w:t>
      </w:r>
      <w:r>
        <w:rPr>
          <w:rtl/>
        </w:rPr>
        <w:t xml:space="preserve"> </w:t>
      </w:r>
      <w:r>
        <w:rPr>
          <w:rFonts w:hint="eastAsia"/>
          <w:rtl/>
        </w:rPr>
        <w:t>בין</w:t>
      </w:r>
      <w:r>
        <w:rPr>
          <w:rtl/>
        </w:rPr>
        <w:t xml:space="preserve"> </w:t>
      </w:r>
      <w:r>
        <w:rPr>
          <w:rFonts w:hint="eastAsia"/>
          <w:rtl/>
        </w:rPr>
        <w:t>ההיסטוריה</w:t>
      </w:r>
      <w:r>
        <w:rPr>
          <w:rtl/>
        </w:rPr>
        <w:t xml:space="preserve">, </w:t>
      </w:r>
      <w:r>
        <w:rPr>
          <w:rFonts w:hint="eastAsia"/>
          <w:rtl/>
        </w:rPr>
        <w:t>התרבות</w:t>
      </w:r>
      <w:r>
        <w:rPr>
          <w:rtl/>
        </w:rPr>
        <w:t xml:space="preserve"> </w:t>
      </w:r>
      <w:r>
        <w:rPr>
          <w:rFonts w:hint="eastAsia"/>
          <w:rtl/>
        </w:rPr>
        <w:t>והדת</w:t>
      </w:r>
      <w:r>
        <w:rPr>
          <w:rtl/>
        </w:rPr>
        <w:t xml:space="preserve">; </w:t>
      </w:r>
      <w:r>
        <w:rPr>
          <w:rFonts w:hint="eastAsia"/>
          <w:rtl/>
        </w:rPr>
        <w:t>בין</w:t>
      </w:r>
      <w:r>
        <w:rPr>
          <w:rtl/>
        </w:rPr>
        <w:t xml:space="preserve"> </w:t>
      </w:r>
      <w:r>
        <w:rPr>
          <w:rFonts w:hint="eastAsia"/>
          <w:rtl/>
        </w:rPr>
        <w:t>העבר</w:t>
      </w:r>
      <w:r>
        <w:rPr>
          <w:rtl/>
        </w:rPr>
        <w:t xml:space="preserve">, </w:t>
      </w:r>
      <w:r>
        <w:rPr>
          <w:rFonts w:hint="eastAsia"/>
          <w:rtl/>
        </w:rPr>
        <w:t>ההווה</w:t>
      </w:r>
      <w:r>
        <w:rPr>
          <w:rtl/>
        </w:rPr>
        <w:t xml:space="preserve"> </w:t>
      </w:r>
      <w:r>
        <w:rPr>
          <w:rFonts w:hint="eastAsia"/>
          <w:rtl/>
        </w:rPr>
        <w:t>והעתיד</w:t>
      </w:r>
      <w:r>
        <w:rPr>
          <w:rtl/>
        </w:rPr>
        <w:t xml:space="preserve">; </w:t>
      </w:r>
      <w:r>
        <w:rPr>
          <w:rFonts w:hint="eastAsia"/>
          <w:rtl/>
        </w:rPr>
        <w:t>בין</w:t>
      </w:r>
      <w:r>
        <w:rPr>
          <w:rtl/>
        </w:rPr>
        <w:t xml:space="preserve"> </w:t>
      </w:r>
      <w:r>
        <w:rPr>
          <w:rFonts w:hint="eastAsia"/>
          <w:rtl/>
        </w:rPr>
        <w:t>השאיפה</w:t>
      </w:r>
      <w:r>
        <w:rPr>
          <w:rtl/>
        </w:rPr>
        <w:t xml:space="preserve">, </w:t>
      </w:r>
      <w:r>
        <w:rPr>
          <w:rFonts w:hint="eastAsia"/>
          <w:rtl/>
        </w:rPr>
        <w:t>החלום</w:t>
      </w:r>
      <w:r>
        <w:rPr>
          <w:rtl/>
        </w:rPr>
        <w:t xml:space="preserve"> </w:t>
      </w:r>
      <w:r>
        <w:rPr>
          <w:rFonts w:hint="eastAsia"/>
          <w:rtl/>
        </w:rPr>
        <w:t>והמציאות</w:t>
      </w:r>
      <w:r>
        <w:rPr>
          <w:rtl/>
        </w:rPr>
        <w:t xml:space="preserve">; </w:t>
      </w:r>
      <w:r>
        <w:rPr>
          <w:rFonts w:hint="eastAsia"/>
          <w:rtl/>
        </w:rPr>
        <w:t>בין</w:t>
      </w:r>
      <w:r>
        <w:rPr>
          <w:rtl/>
        </w:rPr>
        <w:t xml:space="preserve"> </w:t>
      </w:r>
      <w:r>
        <w:rPr>
          <w:rFonts w:hint="eastAsia"/>
          <w:rtl/>
        </w:rPr>
        <w:t>מעוף</w:t>
      </w:r>
      <w:r>
        <w:rPr>
          <w:rtl/>
        </w:rPr>
        <w:t xml:space="preserve"> </w:t>
      </w:r>
      <w:r>
        <w:rPr>
          <w:rFonts w:hint="eastAsia"/>
          <w:rtl/>
        </w:rPr>
        <w:t>השמיים</w:t>
      </w:r>
      <w:r>
        <w:rPr>
          <w:rtl/>
        </w:rPr>
        <w:t xml:space="preserve">, </w:t>
      </w:r>
      <w:r>
        <w:rPr>
          <w:rFonts w:hint="eastAsia"/>
          <w:rtl/>
        </w:rPr>
        <w:t>עפר</w:t>
      </w:r>
      <w:r>
        <w:rPr>
          <w:rtl/>
        </w:rPr>
        <w:t xml:space="preserve"> </w:t>
      </w:r>
      <w:r>
        <w:rPr>
          <w:rFonts w:hint="eastAsia"/>
          <w:rtl/>
        </w:rPr>
        <w:t>הארץ</w:t>
      </w:r>
      <w:r>
        <w:rPr>
          <w:rtl/>
        </w:rPr>
        <w:t xml:space="preserve"> </w:t>
      </w:r>
      <w:r>
        <w:rPr>
          <w:rFonts w:hint="eastAsia"/>
          <w:rtl/>
        </w:rPr>
        <w:t>ומצולות</w:t>
      </w:r>
      <w:r>
        <w:rPr>
          <w:rtl/>
        </w:rPr>
        <w:t xml:space="preserve"> </w:t>
      </w:r>
      <w:r>
        <w:rPr>
          <w:rFonts w:hint="eastAsia"/>
          <w:rtl/>
        </w:rPr>
        <w:t>הים</w:t>
      </w:r>
      <w:r>
        <w:rPr>
          <w:rtl/>
        </w:rPr>
        <w:t xml:space="preserve">" </w:t>
      </w:r>
      <w:r>
        <w:rPr>
          <w:rFonts w:hint="cs"/>
          <w:rtl/>
        </w:rPr>
        <w:t>(</w:t>
      </w:r>
      <w:r>
        <w:rPr>
          <w:rFonts w:hint="eastAsia"/>
          <w:rtl/>
        </w:rPr>
        <w:t>בג</w:t>
      </w:r>
      <w:r>
        <w:rPr>
          <w:rtl/>
        </w:rPr>
        <w:t>"</w:t>
      </w:r>
      <w:r>
        <w:rPr>
          <w:rFonts w:hint="eastAsia"/>
          <w:rtl/>
        </w:rPr>
        <w:t>ץ</w:t>
      </w:r>
      <w:r>
        <w:rPr>
          <w:rtl/>
        </w:rPr>
        <w:t xml:space="preserve"> 10226/08 </w:t>
      </w:r>
      <w:r w:rsidRPr="0094594B">
        <w:rPr>
          <w:rFonts w:ascii="Century" w:hAnsi="Century" w:cs="Miriam" w:hint="eastAsia"/>
          <w:b/>
          <w:spacing w:val="0"/>
          <w:sz w:val="22"/>
          <w:szCs w:val="24"/>
          <w:rtl/>
        </w:rPr>
        <w:t>זבידובסקי</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נ</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שר</w:t>
      </w:r>
      <w:r w:rsidRPr="0094594B">
        <w:rPr>
          <w:rFonts w:ascii="Century" w:hAnsi="Century" w:cs="Miriam"/>
          <w:b/>
          <w:spacing w:val="0"/>
          <w:sz w:val="22"/>
          <w:szCs w:val="24"/>
          <w:rtl/>
        </w:rPr>
        <w:t xml:space="preserve"> </w:t>
      </w:r>
      <w:r w:rsidRPr="0094594B">
        <w:rPr>
          <w:rFonts w:ascii="Century" w:hAnsi="Century" w:cs="Miriam" w:hint="eastAsia"/>
          <w:b/>
          <w:spacing w:val="0"/>
          <w:sz w:val="22"/>
          <w:szCs w:val="24"/>
          <w:rtl/>
        </w:rPr>
        <w:t>הפנים</w:t>
      </w:r>
      <w:r>
        <w:rPr>
          <w:rFonts w:hint="cs"/>
          <w:rtl/>
        </w:rPr>
        <w:t>, פסקה 2</w:t>
      </w:r>
      <w:r w:rsidRPr="008B78A2">
        <w:rPr>
          <w:rtl/>
        </w:rPr>
        <w:t xml:space="preserve"> </w:t>
      </w:r>
      <w:r>
        <w:rPr>
          <w:rtl/>
        </w:rPr>
        <w:t>(2.8.2010)</w:t>
      </w:r>
      <w:r>
        <w:rPr>
          <w:rFonts w:hint="cs"/>
          <w:rtl/>
        </w:rPr>
        <w:t>).</w:t>
      </w:r>
    </w:p>
    <w:p w:rsidR="00BA03D0" w:rsidRDefault="00BA03D0" w:rsidP="00BA03D0">
      <w:pPr>
        <w:pStyle w:val="Ruller41"/>
        <w:rPr>
          <w:rtl/>
        </w:rPr>
      </w:pPr>
    </w:p>
    <w:p w:rsidR="00BA03D0" w:rsidRDefault="00BA03D0" w:rsidP="00BA03D0">
      <w:pPr>
        <w:pStyle w:val="Ruller4"/>
        <w:textAlignment w:val="baseline"/>
        <w:rPr>
          <w:rtl/>
        </w:rPr>
      </w:pPr>
      <w:r>
        <w:rPr>
          <w:rFonts w:hint="cs"/>
          <w:rtl/>
        </w:rPr>
        <w:lastRenderedPageBreak/>
        <w:t xml:space="preserve">חשיבותו הרבה של חוק השבות נובעת מהתכלית העומדת ביסודו: </w:t>
      </w:r>
      <w:r w:rsidRPr="00AE461C">
        <w:rPr>
          <w:rFonts w:hint="eastAsia"/>
          <w:rtl/>
        </w:rPr>
        <w:t>קיבוץ</w:t>
      </w:r>
      <w:r w:rsidRPr="00AE461C">
        <w:rPr>
          <w:rtl/>
        </w:rPr>
        <w:t xml:space="preserve"> </w:t>
      </w:r>
      <w:r w:rsidRPr="00AE461C">
        <w:rPr>
          <w:rFonts w:hint="eastAsia"/>
          <w:rtl/>
        </w:rPr>
        <w:t>גלויות</w:t>
      </w:r>
      <w:r w:rsidRPr="00AE461C">
        <w:rPr>
          <w:rtl/>
        </w:rPr>
        <w:t xml:space="preserve"> </w:t>
      </w:r>
      <w:r w:rsidRPr="00AE461C">
        <w:rPr>
          <w:rFonts w:hint="eastAsia"/>
          <w:rtl/>
        </w:rPr>
        <w:t>העם</w:t>
      </w:r>
      <w:r w:rsidRPr="00AE461C">
        <w:rPr>
          <w:rtl/>
        </w:rPr>
        <w:t xml:space="preserve"> </w:t>
      </w:r>
      <w:r w:rsidRPr="00AE461C">
        <w:rPr>
          <w:rFonts w:hint="eastAsia"/>
          <w:rtl/>
        </w:rPr>
        <w:t>היהודי</w:t>
      </w:r>
      <w:r w:rsidRPr="00AE461C">
        <w:rPr>
          <w:rtl/>
        </w:rPr>
        <w:t xml:space="preserve"> </w:t>
      </w:r>
      <w:r w:rsidRPr="00AE461C">
        <w:rPr>
          <w:rFonts w:hint="eastAsia"/>
          <w:rtl/>
        </w:rPr>
        <w:t>אל</w:t>
      </w:r>
      <w:r w:rsidRPr="00AE461C">
        <w:rPr>
          <w:rtl/>
        </w:rPr>
        <w:t xml:space="preserve"> </w:t>
      </w:r>
      <w:r>
        <w:rPr>
          <w:rFonts w:hint="cs"/>
          <w:rtl/>
        </w:rPr>
        <w:t xml:space="preserve">מדינת ישראל. החוק נועד לעודד ולסייע לאלו המשתייכים לעם היהודי, על כל זרמיו וגווניו, לעלות ארצה ולבנות בה את ביתם. עמדה על כך השופטת </w:t>
      </w:r>
      <w:r w:rsidRPr="004E7A21">
        <w:rPr>
          <w:rFonts w:ascii="Century" w:hAnsi="Century" w:cs="Miriam" w:hint="cs"/>
          <w:b/>
          <w:spacing w:val="0"/>
          <w:sz w:val="22"/>
          <w:szCs w:val="24"/>
          <w:rtl/>
        </w:rPr>
        <w:t>א' פרוקצ'יה</w:t>
      </w:r>
      <w:r>
        <w:rPr>
          <w:rFonts w:hint="cs"/>
          <w:rtl/>
        </w:rPr>
        <w:t xml:space="preserve"> בעניין </w:t>
      </w:r>
      <w:r w:rsidRPr="004E7A21">
        <w:rPr>
          <w:rFonts w:ascii="Century" w:hAnsi="Century" w:cs="Miriam" w:hint="cs"/>
          <w:b/>
          <w:spacing w:val="0"/>
          <w:sz w:val="22"/>
          <w:szCs w:val="24"/>
          <w:rtl/>
        </w:rPr>
        <w:t>טושביים</w:t>
      </w:r>
      <w:r>
        <w:rPr>
          <w:rFonts w:hint="cs"/>
          <w:rtl/>
        </w:rPr>
        <w:t>:</w:t>
      </w:r>
    </w:p>
    <w:p w:rsidR="00BA03D0" w:rsidRPr="001E2E38" w:rsidRDefault="00BA03D0" w:rsidP="00BA03D0">
      <w:pPr>
        <w:pStyle w:val="Ruller41"/>
      </w:pPr>
    </w:p>
    <w:p w:rsidR="00BA03D0" w:rsidRDefault="00BA03D0" w:rsidP="00BA03D0">
      <w:pPr>
        <w:pStyle w:val="Ruller5"/>
        <w:rPr>
          <w:rtl/>
        </w:rPr>
      </w:pPr>
      <w:r>
        <w:rPr>
          <w:rFonts w:hint="cs"/>
          <w:rtl/>
        </w:rPr>
        <w:t>"</w:t>
      </w:r>
      <w:r>
        <w:rPr>
          <w:rFonts w:hint="eastAsia"/>
          <w:rtl/>
        </w:rPr>
        <w:t>ההיסטוריה</w:t>
      </w:r>
      <w:r>
        <w:rPr>
          <w:rtl/>
        </w:rPr>
        <w:t xml:space="preserve"> </w:t>
      </w:r>
      <w:r>
        <w:rPr>
          <w:rFonts w:hint="eastAsia"/>
          <w:rtl/>
        </w:rPr>
        <w:t>הייחודית</w:t>
      </w:r>
      <w:r>
        <w:rPr>
          <w:rtl/>
        </w:rPr>
        <w:t xml:space="preserve"> </w:t>
      </w:r>
      <w:r>
        <w:rPr>
          <w:rFonts w:hint="eastAsia"/>
          <w:rtl/>
        </w:rPr>
        <w:t>של</w:t>
      </w:r>
      <w:r>
        <w:rPr>
          <w:rtl/>
        </w:rPr>
        <w:t xml:space="preserve"> </w:t>
      </w:r>
      <w:r>
        <w:rPr>
          <w:rFonts w:hint="eastAsia"/>
          <w:rtl/>
        </w:rPr>
        <w:t>עם</w:t>
      </w:r>
      <w:r>
        <w:rPr>
          <w:rtl/>
        </w:rPr>
        <w:t xml:space="preserve"> </w:t>
      </w:r>
      <w:r>
        <w:rPr>
          <w:rFonts w:hint="eastAsia"/>
          <w:rtl/>
        </w:rPr>
        <w:t>ישראל</w:t>
      </w:r>
      <w:r>
        <w:rPr>
          <w:rtl/>
        </w:rPr>
        <w:t xml:space="preserve">, </w:t>
      </w:r>
      <w:r>
        <w:rPr>
          <w:rFonts w:hint="eastAsia"/>
          <w:rtl/>
        </w:rPr>
        <w:t>שואת</w:t>
      </w:r>
      <w:r>
        <w:rPr>
          <w:rtl/>
        </w:rPr>
        <w:t xml:space="preserve"> </w:t>
      </w:r>
      <w:r>
        <w:rPr>
          <w:rFonts w:hint="eastAsia"/>
          <w:rtl/>
        </w:rPr>
        <w:t>יהדות</w:t>
      </w:r>
      <w:r>
        <w:rPr>
          <w:rtl/>
        </w:rPr>
        <w:t xml:space="preserve"> </w:t>
      </w:r>
      <w:r>
        <w:rPr>
          <w:rFonts w:hint="eastAsia"/>
          <w:rtl/>
        </w:rPr>
        <w:t>אירופה</w:t>
      </w:r>
      <w:r>
        <w:rPr>
          <w:rtl/>
        </w:rPr>
        <w:t xml:space="preserve"> </w:t>
      </w:r>
      <w:r>
        <w:rPr>
          <w:rFonts w:hint="eastAsia"/>
          <w:rtl/>
        </w:rPr>
        <w:t>באמצע</w:t>
      </w:r>
      <w:r>
        <w:rPr>
          <w:rtl/>
        </w:rPr>
        <w:t xml:space="preserve"> </w:t>
      </w:r>
      <w:r>
        <w:rPr>
          <w:rFonts w:hint="eastAsia"/>
          <w:rtl/>
        </w:rPr>
        <w:t>המאה</w:t>
      </w:r>
      <w:r>
        <w:rPr>
          <w:rtl/>
        </w:rPr>
        <w:t xml:space="preserve"> </w:t>
      </w:r>
      <w:r>
        <w:rPr>
          <w:rFonts w:hint="eastAsia"/>
          <w:rtl/>
        </w:rPr>
        <w:t>הקודמת</w:t>
      </w:r>
      <w:r>
        <w:rPr>
          <w:rtl/>
        </w:rPr>
        <w:t xml:space="preserve"> </w:t>
      </w:r>
      <w:r>
        <w:rPr>
          <w:rFonts w:hint="eastAsia"/>
          <w:rtl/>
        </w:rPr>
        <w:t>והתגשמות</w:t>
      </w:r>
      <w:r>
        <w:rPr>
          <w:rtl/>
        </w:rPr>
        <w:t xml:space="preserve"> </w:t>
      </w:r>
      <w:r>
        <w:rPr>
          <w:rFonts w:hint="eastAsia"/>
          <w:rtl/>
        </w:rPr>
        <w:t>הרעיון</w:t>
      </w:r>
      <w:r>
        <w:rPr>
          <w:rtl/>
        </w:rPr>
        <w:t xml:space="preserve"> </w:t>
      </w:r>
      <w:r>
        <w:rPr>
          <w:rFonts w:hint="eastAsia"/>
          <w:rtl/>
        </w:rPr>
        <w:t>הציוני</w:t>
      </w:r>
      <w:r>
        <w:rPr>
          <w:rtl/>
        </w:rPr>
        <w:t xml:space="preserve"> </w:t>
      </w:r>
      <w:r>
        <w:rPr>
          <w:rFonts w:hint="eastAsia"/>
          <w:rtl/>
        </w:rPr>
        <w:t>הביאו</w:t>
      </w:r>
      <w:r>
        <w:rPr>
          <w:rtl/>
        </w:rPr>
        <w:t xml:space="preserve"> </w:t>
      </w:r>
      <w:r>
        <w:rPr>
          <w:rFonts w:hint="eastAsia"/>
          <w:rtl/>
        </w:rPr>
        <w:t>לחקיקתו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חוק</w:t>
      </w:r>
      <w:r>
        <w:rPr>
          <w:rtl/>
        </w:rPr>
        <w:t xml:space="preserve"> </w:t>
      </w:r>
      <w:r>
        <w:rPr>
          <w:rFonts w:hint="eastAsia"/>
          <w:rtl/>
        </w:rPr>
        <w:t>זה</w:t>
      </w:r>
      <w:r>
        <w:rPr>
          <w:rtl/>
        </w:rPr>
        <w:t xml:space="preserve"> </w:t>
      </w:r>
      <w:r>
        <w:rPr>
          <w:rFonts w:hint="eastAsia"/>
          <w:rtl/>
        </w:rPr>
        <w:t>מבטא</w:t>
      </w:r>
      <w:r>
        <w:rPr>
          <w:rtl/>
        </w:rPr>
        <w:t xml:space="preserve"> </w:t>
      </w:r>
      <w:r>
        <w:rPr>
          <w:rFonts w:hint="eastAsia"/>
          <w:rtl/>
        </w:rPr>
        <w:t>את</w:t>
      </w:r>
      <w:r>
        <w:rPr>
          <w:rtl/>
        </w:rPr>
        <w:t xml:space="preserve"> </w:t>
      </w:r>
      <w:r>
        <w:rPr>
          <w:rFonts w:hint="eastAsia"/>
          <w:rtl/>
        </w:rPr>
        <w:t>הייעוד</w:t>
      </w:r>
      <w:r>
        <w:rPr>
          <w:rtl/>
        </w:rPr>
        <w:t xml:space="preserve"> </w:t>
      </w:r>
      <w:r>
        <w:rPr>
          <w:rFonts w:hint="eastAsia"/>
          <w:rtl/>
        </w:rPr>
        <w:t>המרכזי</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העם</w:t>
      </w:r>
      <w:r>
        <w:rPr>
          <w:rtl/>
        </w:rPr>
        <w:t xml:space="preserve"> </w:t>
      </w:r>
      <w:r>
        <w:rPr>
          <w:rFonts w:hint="eastAsia"/>
          <w:rtl/>
        </w:rPr>
        <w:t>היהודי</w:t>
      </w:r>
      <w:r>
        <w:rPr>
          <w:rtl/>
        </w:rPr>
        <w:t xml:space="preserve"> – </w:t>
      </w:r>
      <w:r>
        <w:rPr>
          <w:rFonts w:hint="eastAsia"/>
          <w:rtl/>
        </w:rPr>
        <w:t>הייעוד</w:t>
      </w:r>
      <w:r>
        <w:rPr>
          <w:rtl/>
        </w:rPr>
        <w:t xml:space="preserve"> </w:t>
      </w:r>
      <w:r>
        <w:rPr>
          <w:rFonts w:hint="eastAsia"/>
          <w:rtl/>
        </w:rPr>
        <w:t>של</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הוא</w:t>
      </w:r>
      <w:r>
        <w:rPr>
          <w:rtl/>
        </w:rPr>
        <w:t xml:space="preserve"> </w:t>
      </w:r>
      <w:r>
        <w:rPr>
          <w:rFonts w:hint="eastAsia"/>
          <w:rtl/>
        </w:rPr>
        <w:t>קובע</w:t>
      </w:r>
      <w:r>
        <w:rPr>
          <w:rtl/>
        </w:rPr>
        <w:t xml:space="preserve"> </w:t>
      </w:r>
      <w:r>
        <w:rPr>
          <w:rFonts w:hint="eastAsia"/>
          <w:rtl/>
        </w:rPr>
        <w:t>את</w:t>
      </w:r>
      <w:r>
        <w:rPr>
          <w:rtl/>
        </w:rPr>
        <w:t xml:space="preserve"> </w:t>
      </w:r>
      <w:r>
        <w:rPr>
          <w:rFonts w:hint="eastAsia"/>
          <w:rtl/>
        </w:rPr>
        <w:t>זכותו</w:t>
      </w:r>
      <w:r>
        <w:rPr>
          <w:rtl/>
        </w:rPr>
        <w:t xml:space="preserve"> </w:t>
      </w:r>
      <w:r>
        <w:rPr>
          <w:rFonts w:hint="eastAsia"/>
          <w:rtl/>
        </w:rPr>
        <w:t>הטבועה</w:t>
      </w:r>
      <w:r>
        <w:rPr>
          <w:rtl/>
        </w:rPr>
        <w:t xml:space="preserve"> </w:t>
      </w:r>
      <w:r>
        <w:rPr>
          <w:rFonts w:hint="eastAsia"/>
          <w:rtl/>
        </w:rPr>
        <w:t>של</w:t>
      </w:r>
      <w:r>
        <w:rPr>
          <w:rtl/>
        </w:rPr>
        <w:t xml:space="preserve"> </w:t>
      </w:r>
      <w:r>
        <w:rPr>
          <w:rFonts w:hint="eastAsia"/>
          <w:rtl/>
        </w:rPr>
        <w:t>כל</w:t>
      </w:r>
      <w:r>
        <w:rPr>
          <w:rtl/>
        </w:rPr>
        <w:t xml:space="preserve"> </w:t>
      </w:r>
      <w:r>
        <w:rPr>
          <w:rFonts w:hint="eastAsia"/>
          <w:rtl/>
        </w:rPr>
        <w:t>יהודי</w:t>
      </w:r>
      <w:r>
        <w:rPr>
          <w:rtl/>
        </w:rPr>
        <w:t xml:space="preserve">, </w:t>
      </w:r>
      <w:r>
        <w:rPr>
          <w:rFonts w:hint="eastAsia"/>
          <w:rtl/>
        </w:rPr>
        <w:t>באשר</w:t>
      </w:r>
      <w:r>
        <w:rPr>
          <w:rtl/>
        </w:rPr>
        <w:t xml:space="preserve"> </w:t>
      </w:r>
      <w:r>
        <w:rPr>
          <w:rFonts w:hint="eastAsia"/>
          <w:rtl/>
        </w:rPr>
        <w:t>הוא</w:t>
      </w:r>
      <w:r>
        <w:rPr>
          <w:rtl/>
        </w:rPr>
        <w:t xml:space="preserve"> </w:t>
      </w:r>
      <w:r>
        <w:rPr>
          <w:rFonts w:hint="eastAsia"/>
          <w:rtl/>
        </w:rPr>
        <w:t>יהודי</w:t>
      </w:r>
      <w:r>
        <w:rPr>
          <w:rtl/>
        </w:rPr>
        <w:t xml:space="preserve">, </w:t>
      </w:r>
      <w:r>
        <w:rPr>
          <w:rFonts w:hint="eastAsia"/>
          <w:rtl/>
        </w:rPr>
        <w:t>לעלות</w:t>
      </w:r>
      <w:r>
        <w:rPr>
          <w:rtl/>
        </w:rPr>
        <w:t xml:space="preserve"> </w:t>
      </w:r>
      <w:r>
        <w:rPr>
          <w:rFonts w:hint="eastAsia"/>
          <w:rtl/>
        </w:rPr>
        <w:t>לארץ</w:t>
      </w:r>
      <w:r>
        <w:rPr>
          <w:rtl/>
        </w:rPr>
        <w:t>-</w:t>
      </w:r>
      <w:r>
        <w:rPr>
          <w:rFonts w:hint="eastAsia"/>
          <w:rtl/>
        </w:rPr>
        <w:t>ישראל</w:t>
      </w:r>
      <w:r>
        <w:rPr>
          <w:rtl/>
        </w:rPr>
        <w:t xml:space="preserve"> </w:t>
      </w:r>
      <w:r>
        <w:rPr>
          <w:rFonts w:hint="eastAsia"/>
          <w:rtl/>
        </w:rPr>
        <w:t>ולהתיישב</w:t>
      </w:r>
      <w:r>
        <w:rPr>
          <w:rtl/>
        </w:rPr>
        <w:t xml:space="preserve"> </w:t>
      </w:r>
      <w:r>
        <w:rPr>
          <w:rFonts w:hint="eastAsia"/>
          <w:rtl/>
        </w:rPr>
        <w:t>בה</w:t>
      </w:r>
      <w:r>
        <w:rPr>
          <w:rtl/>
        </w:rPr>
        <w:t xml:space="preserve">. </w:t>
      </w:r>
      <w:r>
        <w:rPr>
          <w:rFonts w:hint="cs"/>
          <w:rtl/>
        </w:rPr>
        <w:t>'</w:t>
      </w:r>
      <w:r>
        <w:rPr>
          <w:rtl/>
        </w:rPr>
        <w:t>...</w:t>
      </w:r>
      <w:r>
        <w:rPr>
          <w:rFonts w:hint="eastAsia"/>
          <w:rtl/>
        </w:rPr>
        <w:t>זהו</w:t>
      </w:r>
      <w:r>
        <w:rPr>
          <w:rtl/>
        </w:rPr>
        <w:t xml:space="preserve"> </w:t>
      </w:r>
      <w:r>
        <w:rPr>
          <w:rFonts w:hint="eastAsia"/>
          <w:rtl/>
        </w:rPr>
        <w:t>חוק</w:t>
      </w:r>
      <w:r>
        <w:rPr>
          <w:rtl/>
        </w:rPr>
        <w:t xml:space="preserve"> </w:t>
      </w:r>
      <w:r>
        <w:rPr>
          <w:rFonts w:hint="eastAsia"/>
          <w:rtl/>
        </w:rPr>
        <w:t>ההתמדה</w:t>
      </w:r>
      <w:r>
        <w:rPr>
          <w:rtl/>
        </w:rPr>
        <w:t xml:space="preserve"> </w:t>
      </w:r>
      <w:r>
        <w:rPr>
          <w:rFonts w:hint="eastAsia"/>
          <w:rtl/>
        </w:rPr>
        <w:t>של</w:t>
      </w:r>
      <w:r>
        <w:rPr>
          <w:rtl/>
        </w:rPr>
        <w:t xml:space="preserve"> </w:t>
      </w:r>
      <w:r>
        <w:rPr>
          <w:rFonts w:hint="eastAsia"/>
          <w:rtl/>
        </w:rPr>
        <w:t>ההיסטוריה</w:t>
      </w:r>
      <w:r>
        <w:rPr>
          <w:rtl/>
        </w:rPr>
        <w:t xml:space="preserve"> </w:t>
      </w:r>
      <w:r>
        <w:rPr>
          <w:rFonts w:hint="eastAsia"/>
          <w:rtl/>
        </w:rPr>
        <w:t>הישראלית</w:t>
      </w:r>
      <w:r>
        <w:rPr>
          <w:rtl/>
        </w:rPr>
        <w:t xml:space="preserve">... </w:t>
      </w:r>
      <w:r>
        <w:rPr>
          <w:rFonts w:hint="eastAsia"/>
          <w:rtl/>
        </w:rPr>
        <w:t>אשר</w:t>
      </w:r>
      <w:r>
        <w:rPr>
          <w:rtl/>
        </w:rPr>
        <w:t xml:space="preserve"> </w:t>
      </w:r>
      <w:r>
        <w:rPr>
          <w:rFonts w:hint="eastAsia"/>
          <w:rtl/>
        </w:rPr>
        <w:t>בכוחו</w:t>
      </w:r>
      <w:r>
        <w:rPr>
          <w:rtl/>
        </w:rPr>
        <w:t xml:space="preserve"> </w:t>
      </w:r>
      <w:r>
        <w:rPr>
          <w:rFonts w:hint="eastAsia"/>
          <w:rtl/>
        </w:rPr>
        <w:t>הוקמה</w:t>
      </w:r>
      <w:r>
        <w:rPr>
          <w:rtl/>
        </w:rPr>
        <w:t xml:space="preserve"> </w:t>
      </w:r>
      <w:r>
        <w:rPr>
          <w:rFonts w:hint="eastAsia"/>
          <w:rtl/>
        </w:rPr>
        <w:t>מדינת</w:t>
      </w:r>
      <w:r>
        <w:rPr>
          <w:rtl/>
        </w:rPr>
        <w:t>-</w:t>
      </w:r>
      <w:r>
        <w:rPr>
          <w:rFonts w:hint="eastAsia"/>
          <w:rtl/>
        </w:rPr>
        <w:t>ישראל</w:t>
      </w:r>
      <w:r>
        <w:rPr>
          <w:rtl/>
        </w:rPr>
        <w:t xml:space="preserve">. </w:t>
      </w:r>
      <w:r>
        <w:rPr>
          <w:rFonts w:hint="eastAsia"/>
          <w:rtl/>
        </w:rPr>
        <w:t>זכותו</w:t>
      </w:r>
      <w:r>
        <w:rPr>
          <w:rtl/>
        </w:rPr>
        <w:t xml:space="preserve"> </w:t>
      </w:r>
      <w:r>
        <w:rPr>
          <w:rFonts w:hint="eastAsia"/>
          <w:rtl/>
        </w:rPr>
        <w:t>ההיסטורית</w:t>
      </w:r>
      <w:r>
        <w:rPr>
          <w:rtl/>
        </w:rPr>
        <w:t xml:space="preserve"> </w:t>
      </w:r>
      <w:r>
        <w:rPr>
          <w:rFonts w:hint="eastAsia"/>
          <w:rtl/>
        </w:rPr>
        <w:t>של</w:t>
      </w:r>
      <w:r>
        <w:rPr>
          <w:rtl/>
        </w:rPr>
        <w:t xml:space="preserve"> </w:t>
      </w:r>
      <w:r>
        <w:rPr>
          <w:rFonts w:hint="eastAsia"/>
          <w:rtl/>
        </w:rPr>
        <w:t>כל</w:t>
      </w:r>
      <w:r>
        <w:rPr>
          <w:rtl/>
        </w:rPr>
        <w:t xml:space="preserve"> </w:t>
      </w:r>
      <w:r>
        <w:rPr>
          <w:rFonts w:hint="eastAsia"/>
          <w:rtl/>
        </w:rPr>
        <w:t>יהודי</w:t>
      </w:r>
      <w:r>
        <w:rPr>
          <w:rtl/>
        </w:rPr>
        <w:t xml:space="preserve"> </w:t>
      </w:r>
      <w:r>
        <w:rPr>
          <w:rFonts w:hint="eastAsia"/>
          <w:rtl/>
        </w:rPr>
        <w:t>באשר</w:t>
      </w:r>
      <w:r>
        <w:rPr>
          <w:rtl/>
        </w:rPr>
        <w:t xml:space="preserve"> </w:t>
      </w:r>
      <w:r>
        <w:rPr>
          <w:rFonts w:hint="eastAsia"/>
          <w:rtl/>
        </w:rPr>
        <w:t>הוא</w:t>
      </w:r>
      <w:r>
        <w:rPr>
          <w:rtl/>
        </w:rPr>
        <w:t xml:space="preserve"> </w:t>
      </w:r>
      <w:r>
        <w:rPr>
          <w:rFonts w:hint="eastAsia"/>
          <w:rtl/>
        </w:rPr>
        <w:t>לשוב</w:t>
      </w:r>
      <w:r>
        <w:rPr>
          <w:rtl/>
        </w:rPr>
        <w:t xml:space="preserve"> </w:t>
      </w:r>
      <w:r>
        <w:rPr>
          <w:rFonts w:hint="eastAsia"/>
          <w:rtl/>
        </w:rPr>
        <w:t>ולהתיישב</w:t>
      </w:r>
      <w:r>
        <w:rPr>
          <w:rtl/>
        </w:rPr>
        <w:t xml:space="preserve"> </w:t>
      </w:r>
      <w:r>
        <w:rPr>
          <w:rFonts w:hint="eastAsia"/>
          <w:rtl/>
        </w:rPr>
        <w:t>בישראל</w:t>
      </w:r>
      <w:r>
        <w:rPr>
          <w:rtl/>
        </w:rPr>
        <w:t>...</w:t>
      </w:r>
      <w:r>
        <w:rPr>
          <w:rFonts w:hint="cs"/>
          <w:rtl/>
        </w:rPr>
        <w:t>'</w:t>
      </w:r>
      <w:r>
        <w:rPr>
          <w:rtl/>
        </w:rPr>
        <w:t xml:space="preserve"> (</w:t>
      </w:r>
      <w:r>
        <w:rPr>
          <w:rFonts w:hint="eastAsia"/>
          <w:rtl/>
        </w:rPr>
        <w:t>דברי</w:t>
      </w:r>
      <w:r>
        <w:rPr>
          <w:rtl/>
        </w:rPr>
        <w:t xml:space="preserve"> </w:t>
      </w:r>
      <w:r>
        <w:rPr>
          <w:rFonts w:hint="eastAsia"/>
          <w:rtl/>
        </w:rPr>
        <w:t>ראש</w:t>
      </w:r>
      <w:r>
        <w:rPr>
          <w:rtl/>
        </w:rPr>
        <w:t>-</w:t>
      </w:r>
      <w:r>
        <w:rPr>
          <w:rFonts w:hint="eastAsia"/>
          <w:rtl/>
        </w:rPr>
        <w:t>הממשלה</w:t>
      </w:r>
      <w:r>
        <w:rPr>
          <w:rtl/>
        </w:rPr>
        <w:t xml:space="preserve"> </w:t>
      </w:r>
      <w:r>
        <w:rPr>
          <w:rFonts w:hint="eastAsia"/>
          <w:rtl/>
        </w:rPr>
        <w:t>ד</w:t>
      </w:r>
      <w:r>
        <w:rPr>
          <w:rtl/>
        </w:rPr>
        <w:t xml:space="preserve">' </w:t>
      </w:r>
      <w:r>
        <w:rPr>
          <w:rFonts w:hint="eastAsia"/>
          <w:rtl/>
        </w:rPr>
        <w:t>בן</w:t>
      </w:r>
      <w:r>
        <w:rPr>
          <w:rtl/>
        </w:rPr>
        <w:t>-</w:t>
      </w:r>
      <w:r>
        <w:rPr>
          <w:rFonts w:hint="eastAsia"/>
          <w:rtl/>
        </w:rPr>
        <w:t>גוריון</w:t>
      </w:r>
      <w:r>
        <w:rPr>
          <w:rtl/>
        </w:rPr>
        <w:t xml:space="preserve"> </w:t>
      </w:r>
      <w:r>
        <w:rPr>
          <w:rFonts w:hint="eastAsia"/>
          <w:rtl/>
        </w:rPr>
        <w:t>בפתח</w:t>
      </w:r>
      <w:r>
        <w:rPr>
          <w:rtl/>
        </w:rPr>
        <w:t xml:space="preserve"> </w:t>
      </w:r>
      <w:r>
        <w:rPr>
          <w:rFonts w:hint="eastAsia"/>
          <w:rtl/>
        </w:rPr>
        <w:t>הדיון</w:t>
      </w:r>
      <w:r>
        <w:rPr>
          <w:rtl/>
        </w:rPr>
        <w:t xml:space="preserve"> </w:t>
      </w:r>
      <w:r>
        <w:rPr>
          <w:rFonts w:hint="eastAsia"/>
          <w:rtl/>
        </w:rPr>
        <w:t>בהצעת</w:t>
      </w:r>
      <w:r>
        <w:rPr>
          <w:rtl/>
        </w:rPr>
        <w:t xml:space="preserve"> </w:t>
      </w:r>
      <w:r>
        <w:rPr>
          <w:rFonts w:hint="eastAsia"/>
          <w:rtl/>
        </w:rPr>
        <w:t>חוק</w:t>
      </w:r>
      <w:r>
        <w:rPr>
          <w:rtl/>
        </w:rPr>
        <w:t xml:space="preserve"> </w:t>
      </w:r>
      <w:r>
        <w:rPr>
          <w:rFonts w:hint="eastAsia"/>
          <w:rtl/>
        </w:rPr>
        <w:t>השבות</w:t>
      </w:r>
      <w:r>
        <w:rPr>
          <w:rFonts w:hint="cs"/>
          <w:rtl/>
        </w:rPr>
        <w:t xml:space="preserve"> [...]</w:t>
      </w:r>
      <w:r>
        <w:rPr>
          <w:rtl/>
        </w:rPr>
        <w:t xml:space="preserve">). </w:t>
      </w:r>
      <w:r>
        <w:rPr>
          <w:rFonts w:hint="eastAsia"/>
          <w:rtl/>
        </w:rPr>
        <w:t>חזונו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הוא</w:t>
      </w:r>
      <w:r>
        <w:rPr>
          <w:rtl/>
        </w:rPr>
        <w:t xml:space="preserve"> </w:t>
      </w:r>
      <w:r>
        <w:rPr>
          <w:rFonts w:hint="eastAsia"/>
          <w:rtl/>
        </w:rPr>
        <w:t>פתיחת</w:t>
      </w:r>
      <w:r>
        <w:rPr>
          <w:rtl/>
        </w:rPr>
        <w:t xml:space="preserve"> </w:t>
      </w:r>
      <w:r>
        <w:rPr>
          <w:rFonts w:hint="eastAsia"/>
          <w:rtl/>
        </w:rPr>
        <w:t>שערי</w:t>
      </w:r>
      <w:r>
        <w:rPr>
          <w:rtl/>
        </w:rPr>
        <w:t xml:space="preserve"> </w:t>
      </w:r>
      <w:r>
        <w:rPr>
          <w:rFonts w:hint="eastAsia"/>
          <w:rtl/>
        </w:rPr>
        <w:t>הארץ</w:t>
      </w:r>
      <w:r>
        <w:rPr>
          <w:rtl/>
        </w:rPr>
        <w:t xml:space="preserve"> </w:t>
      </w:r>
      <w:r>
        <w:rPr>
          <w:rFonts w:hint="eastAsia"/>
          <w:rtl/>
        </w:rPr>
        <w:t>בפני</w:t>
      </w:r>
      <w:r>
        <w:rPr>
          <w:rtl/>
        </w:rPr>
        <w:t xml:space="preserve"> </w:t>
      </w:r>
      <w:r>
        <w:rPr>
          <w:rFonts w:hint="eastAsia"/>
          <w:rtl/>
        </w:rPr>
        <w:t>כל</w:t>
      </w:r>
      <w:r>
        <w:rPr>
          <w:rtl/>
        </w:rPr>
        <w:t xml:space="preserve"> </w:t>
      </w:r>
      <w:r>
        <w:rPr>
          <w:rFonts w:hint="eastAsia"/>
          <w:rtl/>
        </w:rPr>
        <w:t>יהודי</w:t>
      </w:r>
      <w:r>
        <w:rPr>
          <w:rtl/>
        </w:rPr>
        <w:t xml:space="preserve"> </w:t>
      </w:r>
      <w:r>
        <w:rPr>
          <w:rFonts w:hint="eastAsia"/>
          <w:rtl/>
        </w:rPr>
        <w:t>הרוצה</w:t>
      </w:r>
      <w:r>
        <w:rPr>
          <w:rtl/>
        </w:rPr>
        <w:t xml:space="preserve"> </w:t>
      </w:r>
      <w:r>
        <w:rPr>
          <w:rFonts w:hint="eastAsia"/>
          <w:rtl/>
        </w:rPr>
        <w:t>לעלות</w:t>
      </w:r>
      <w:r>
        <w:rPr>
          <w:rtl/>
        </w:rPr>
        <w:t xml:space="preserve"> </w:t>
      </w:r>
      <w:r>
        <w:rPr>
          <w:rFonts w:hint="eastAsia"/>
          <w:rtl/>
        </w:rPr>
        <w:t>לישראל</w:t>
      </w:r>
      <w:r>
        <w:rPr>
          <w:rtl/>
        </w:rPr>
        <w:t xml:space="preserve"> </w:t>
      </w:r>
      <w:r>
        <w:rPr>
          <w:rFonts w:hint="eastAsia"/>
          <w:rtl/>
        </w:rPr>
        <w:t>והכרזה</w:t>
      </w:r>
      <w:r>
        <w:rPr>
          <w:rtl/>
        </w:rPr>
        <w:t xml:space="preserve"> </w:t>
      </w:r>
      <w:r>
        <w:rPr>
          <w:rFonts w:hint="eastAsia"/>
          <w:rtl/>
        </w:rPr>
        <w:t>על</w:t>
      </w:r>
      <w:r>
        <w:rPr>
          <w:rtl/>
        </w:rPr>
        <w:t xml:space="preserve"> </w:t>
      </w:r>
      <w:r>
        <w:rPr>
          <w:rFonts w:hint="eastAsia"/>
          <w:rtl/>
        </w:rPr>
        <w:t>זכותו</w:t>
      </w:r>
      <w:r>
        <w:rPr>
          <w:rtl/>
        </w:rPr>
        <w:t xml:space="preserve"> </w:t>
      </w:r>
      <w:r>
        <w:rPr>
          <w:rFonts w:hint="eastAsia"/>
          <w:rtl/>
        </w:rPr>
        <w:t>לעשות</w:t>
      </w:r>
      <w:r>
        <w:rPr>
          <w:rtl/>
        </w:rPr>
        <w:t xml:space="preserve"> </w:t>
      </w:r>
      <w:r>
        <w:rPr>
          <w:rFonts w:hint="eastAsia"/>
          <w:rtl/>
        </w:rPr>
        <w:t>כן</w:t>
      </w:r>
      <w:r>
        <w:rPr>
          <w:rtl/>
        </w:rPr>
        <w:t xml:space="preserve">. </w:t>
      </w:r>
      <w:r>
        <w:rPr>
          <w:rFonts w:hint="eastAsia"/>
          <w:rtl/>
        </w:rPr>
        <w:t>הוא</w:t>
      </w:r>
      <w:r>
        <w:rPr>
          <w:rtl/>
        </w:rPr>
        <w:t xml:space="preserve"> </w:t>
      </w:r>
      <w:r>
        <w:rPr>
          <w:rFonts w:hint="eastAsia"/>
          <w:rtl/>
        </w:rPr>
        <w:t>נותן</w:t>
      </w:r>
      <w:r>
        <w:rPr>
          <w:rtl/>
        </w:rPr>
        <w:t xml:space="preserve"> </w:t>
      </w:r>
      <w:r>
        <w:rPr>
          <w:rFonts w:hint="eastAsia"/>
          <w:rtl/>
        </w:rPr>
        <w:t>ביטוי</w:t>
      </w:r>
      <w:r>
        <w:rPr>
          <w:rtl/>
        </w:rPr>
        <w:t xml:space="preserve"> </w:t>
      </w:r>
      <w:r>
        <w:rPr>
          <w:rFonts w:hint="eastAsia"/>
          <w:rtl/>
        </w:rPr>
        <w:t>לכמיהתו</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בשיבת</w:t>
      </w:r>
      <w:r>
        <w:rPr>
          <w:rtl/>
        </w:rPr>
        <w:t xml:space="preserve"> </w:t>
      </w:r>
      <w:r>
        <w:rPr>
          <w:rFonts w:hint="eastAsia"/>
          <w:rtl/>
        </w:rPr>
        <w:t>ציון</w:t>
      </w:r>
      <w:r>
        <w:rPr>
          <w:rtl/>
        </w:rPr>
        <w:t xml:space="preserve"> </w:t>
      </w:r>
      <w:r>
        <w:rPr>
          <w:rFonts w:hint="eastAsia"/>
          <w:rtl/>
        </w:rPr>
        <w:t>ומכריז</w:t>
      </w:r>
      <w:r>
        <w:rPr>
          <w:rtl/>
        </w:rPr>
        <w:t xml:space="preserve"> </w:t>
      </w:r>
      <w:r>
        <w:rPr>
          <w:rFonts w:hint="eastAsia"/>
          <w:rtl/>
        </w:rPr>
        <w:t>על</w:t>
      </w:r>
      <w:r>
        <w:rPr>
          <w:rtl/>
        </w:rPr>
        <w:t xml:space="preserve"> </w:t>
      </w:r>
      <w:r>
        <w:rPr>
          <w:rFonts w:hint="eastAsia"/>
          <w:rtl/>
        </w:rPr>
        <w:t>זכותו</w:t>
      </w:r>
      <w:r>
        <w:rPr>
          <w:rtl/>
        </w:rPr>
        <w:t xml:space="preserve"> </w:t>
      </w:r>
      <w:r>
        <w:rPr>
          <w:rFonts w:hint="eastAsia"/>
          <w:rtl/>
        </w:rPr>
        <w:t>של</w:t>
      </w:r>
      <w:r>
        <w:rPr>
          <w:rtl/>
        </w:rPr>
        <w:t xml:space="preserve"> </w:t>
      </w:r>
      <w:r>
        <w:rPr>
          <w:rFonts w:hint="eastAsia"/>
          <w:rtl/>
        </w:rPr>
        <w:t>כל</w:t>
      </w:r>
      <w:r>
        <w:rPr>
          <w:rtl/>
        </w:rPr>
        <w:t xml:space="preserve"> </w:t>
      </w:r>
      <w:r>
        <w:rPr>
          <w:rFonts w:hint="eastAsia"/>
          <w:rtl/>
        </w:rPr>
        <w:t>יהודי</w:t>
      </w:r>
      <w:r>
        <w:rPr>
          <w:rtl/>
        </w:rPr>
        <w:t xml:space="preserve"> </w:t>
      </w:r>
      <w:r>
        <w:rPr>
          <w:rFonts w:hint="eastAsia"/>
          <w:rtl/>
        </w:rPr>
        <w:t>לעלות</w:t>
      </w:r>
      <w:r>
        <w:rPr>
          <w:rtl/>
        </w:rPr>
        <w:t xml:space="preserve"> </w:t>
      </w:r>
      <w:r>
        <w:rPr>
          <w:rFonts w:hint="eastAsia"/>
          <w:rtl/>
        </w:rPr>
        <w:t>לישראל</w:t>
      </w:r>
      <w:r>
        <w:rPr>
          <w:rFonts w:hint="cs"/>
          <w:rtl/>
        </w:rPr>
        <w:t xml:space="preserve"> [</w:t>
      </w:r>
      <w:r>
        <w:rPr>
          <w:rtl/>
        </w:rPr>
        <w:t>.</w:t>
      </w:r>
      <w:r>
        <w:rPr>
          <w:rFonts w:hint="cs"/>
          <w:rtl/>
        </w:rPr>
        <w:t>..].</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הוא</w:t>
      </w:r>
      <w:r>
        <w:rPr>
          <w:rtl/>
        </w:rPr>
        <w:t xml:space="preserve"> </w:t>
      </w:r>
      <w:r>
        <w:rPr>
          <w:rFonts w:hint="eastAsia"/>
          <w:rtl/>
        </w:rPr>
        <w:t>חוק</w:t>
      </w:r>
      <w:r>
        <w:rPr>
          <w:rtl/>
        </w:rPr>
        <w:t xml:space="preserve"> </w:t>
      </w:r>
      <w:r>
        <w:rPr>
          <w:rFonts w:hint="eastAsia"/>
          <w:rtl/>
        </w:rPr>
        <w:t>של</w:t>
      </w:r>
      <w:r>
        <w:rPr>
          <w:rtl/>
        </w:rPr>
        <w:t xml:space="preserve"> </w:t>
      </w:r>
      <w:r>
        <w:rPr>
          <w:rFonts w:hint="eastAsia"/>
          <w:rtl/>
        </w:rPr>
        <w:t>בנים</w:t>
      </w:r>
      <w:r>
        <w:rPr>
          <w:rtl/>
        </w:rPr>
        <w:t xml:space="preserve"> </w:t>
      </w:r>
      <w:r>
        <w:rPr>
          <w:rFonts w:hint="eastAsia"/>
          <w:rtl/>
        </w:rPr>
        <w:t>השבים</w:t>
      </w:r>
      <w:r>
        <w:rPr>
          <w:rtl/>
        </w:rPr>
        <w:t xml:space="preserve"> </w:t>
      </w:r>
      <w:r>
        <w:rPr>
          <w:rFonts w:hint="eastAsia"/>
          <w:rtl/>
        </w:rPr>
        <w:t>לגבולם</w:t>
      </w:r>
      <w:r>
        <w:rPr>
          <w:rtl/>
        </w:rPr>
        <w:t xml:space="preserve">, </w:t>
      </w:r>
      <w:r>
        <w:rPr>
          <w:rFonts w:hint="eastAsia"/>
          <w:rtl/>
        </w:rPr>
        <w:t>ואין</w:t>
      </w:r>
      <w:r>
        <w:rPr>
          <w:rtl/>
        </w:rPr>
        <w:t xml:space="preserve"> </w:t>
      </w:r>
      <w:r>
        <w:rPr>
          <w:rFonts w:hint="eastAsia"/>
          <w:rtl/>
        </w:rPr>
        <w:t>לנתק</w:t>
      </w:r>
      <w:r>
        <w:rPr>
          <w:rtl/>
        </w:rPr>
        <w:t xml:space="preserve"> </w:t>
      </w:r>
      <w:r>
        <w:rPr>
          <w:rFonts w:hint="eastAsia"/>
          <w:rtl/>
        </w:rPr>
        <w:t>את</w:t>
      </w:r>
      <w:r>
        <w:rPr>
          <w:rtl/>
        </w:rPr>
        <w:t xml:space="preserve"> </w:t>
      </w:r>
      <w:r>
        <w:rPr>
          <w:rFonts w:hint="eastAsia"/>
          <w:rtl/>
        </w:rPr>
        <w:t>משמעות</w:t>
      </w:r>
      <w:r>
        <w:rPr>
          <w:rtl/>
        </w:rPr>
        <w:t xml:space="preserve"> </w:t>
      </w:r>
      <w:r>
        <w:rPr>
          <w:rFonts w:hint="eastAsia"/>
          <w:rtl/>
        </w:rPr>
        <w:t>החוק</w:t>
      </w:r>
      <w:r>
        <w:rPr>
          <w:rtl/>
        </w:rPr>
        <w:t xml:space="preserve"> </w:t>
      </w:r>
      <w:r>
        <w:rPr>
          <w:rFonts w:hint="eastAsia"/>
          <w:rtl/>
        </w:rPr>
        <w:t>הזה</w:t>
      </w:r>
      <w:r>
        <w:rPr>
          <w:rtl/>
        </w:rPr>
        <w:t xml:space="preserve"> </w:t>
      </w:r>
      <w:r>
        <w:rPr>
          <w:rFonts w:hint="eastAsia"/>
          <w:rtl/>
        </w:rPr>
        <w:t>ממקורות</w:t>
      </w:r>
      <w:r>
        <w:rPr>
          <w:rtl/>
        </w:rPr>
        <w:t xml:space="preserve"> </w:t>
      </w:r>
      <w:r>
        <w:rPr>
          <w:rFonts w:hint="eastAsia"/>
          <w:rtl/>
        </w:rPr>
        <w:t>העבר</w:t>
      </w:r>
      <w:r>
        <w:rPr>
          <w:rtl/>
        </w:rPr>
        <w:t xml:space="preserve"> </w:t>
      </w:r>
      <w:r>
        <w:rPr>
          <w:rFonts w:hint="eastAsia"/>
          <w:rtl/>
        </w:rPr>
        <w:t>שמהם</w:t>
      </w:r>
      <w:r>
        <w:rPr>
          <w:rtl/>
        </w:rPr>
        <w:t xml:space="preserve"> </w:t>
      </w:r>
      <w:r>
        <w:rPr>
          <w:rFonts w:hint="eastAsia"/>
          <w:rtl/>
        </w:rPr>
        <w:t>נשאב</w:t>
      </w:r>
      <w:r>
        <w:rPr>
          <w:rtl/>
        </w:rPr>
        <w:t xml:space="preserve"> </w:t>
      </w:r>
      <w:r>
        <w:rPr>
          <w:rFonts w:hint="eastAsia"/>
          <w:rtl/>
        </w:rPr>
        <w:t>תוכנו</w:t>
      </w:r>
      <w:r>
        <w:rPr>
          <w:rtl/>
        </w:rPr>
        <w:t xml:space="preserve"> </w:t>
      </w:r>
      <w:r>
        <w:rPr>
          <w:rFonts w:hint="cs"/>
          <w:rtl/>
        </w:rPr>
        <w:t>'</w:t>
      </w:r>
      <w:r>
        <w:rPr>
          <w:rtl/>
        </w:rPr>
        <w:t>...</w:t>
      </w:r>
      <w:r>
        <w:rPr>
          <w:rFonts w:hint="eastAsia"/>
          <w:rtl/>
        </w:rPr>
        <w:t>ובמקורות</w:t>
      </w:r>
      <w:r>
        <w:rPr>
          <w:rtl/>
        </w:rPr>
        <w:t xml:space="preserve"> </w:t>
      </w:r>
      <w:r>
        <w:rPr>
          <w:rFonts w:hint="eastAsia"/>
          <w:rtl/>
        </w:rPr>
        <w:t>אלה</w:t>
      </w:r>
      <w:r>
        <w:rPr>
          <w:rtl/>
        </w:rPr>
        <w:t xml:space="preserve"> </w:t>
      </w:r>
      <w:r>
        <w:rPr>
          <w:rFonts w:hint="eastAsia"/>
          <w:rtl/>
        </w:rPr>
        <w:t>שלובות</w:t>
      </w:r>
      <w:r>
        <w:rPr>
          <w:rtl/>
        </w:rPr>
        <w:t xml:space="preserve"> </w:t>
      </w:r>
      <w:r>
        <w:rPr>
          <w:rFonts w:hint="eastAsia"/>
          <w:rtl/>
        </w:rPr>
        <w:t>לאומיות</w:t>
      </w:r>
      <w:r>
        <w:rPr>
          <w:rtl/>
        </w:rPr>
        <w:t xml:space="preserve"> </w:t>
      </w:r>
      <w:r>
        <w:rPr>
          <w:rFonts w:hint="eastAsia"/>
          <w:rtl/>
        </w:rPr>
        <w:t>ודת</w:t>
      </w:r>
      <w:r>
        <w:rPr>
          <w:rtl/>
        </w:rPr>
        <w:t xml:space="preserve"> </w:t>
      </w:r>
      <w:r>
        <w:rPr>
          <w:rFonts w:hint="eastAsia"/>
          <w:rtl/>
        </w:rPr>
        <w:t>יחדיו</w:t>
      </w:r>
      <w:r>
        <w:rPr>
          <w:rtl/>
        </w:rPr>
        <w:t xml:space="preserve"> </w:t>
      </w:r>
      <w:r>
        <w:rPr>
          <w:rFonts w:hint="eastAsia"/>
          <w:rtl/>
        </w:rPr>
        <w:t>ללא</w:t>
      </w:r>
      <w:r>
        <w:rPr>
          <w:rtl/>
        </w:rPr>
        <w:t xml:space="preserve"> </w:t>
      </w:r>
      <w:r>
        <w:rPr>
          <w:rFonts w:hint="eastAsia"/>
          <w:rtl/>
        </w:rPr>
        <w:t>הפרד</w:t>
      </w:r>
      <w:r>
        <w:rPr>
          <w:rFonts w:hint="cs"/>
          <w:rtl/>
        </w:rPr>
        <w:t>' [..</w:t>
      </w:r>
      <w:r>
        <w:rPr>
          <w:rtl/>
        </w:rPr>
        <w:t>.</w:t>
      </w:r>
      <w:r>
        <w:rPr>
          <w:rFonts w:hint="cs"/>
          <w:rtl/>
        </w:rPr>
        <w:t>].</w:t>
      </w:r>
      <w:r>
        <w:rPr>
          <w:rtl/>
        </w:rPr>
        <w:t xml:space="preserve"> </w:t>
      </w:r>
      <w:r>
        <w:rPr>
          <w:rFonts w:hint="eastAsia"/>
          <w:rtl/>
        </w:rPr>
        <w:t>זהו</w:t>
      </w:r>
      <w:r>
        <w:rPr>
          <w:rtl/>
        </w:rPr>
        <w:t xml:space="preserve"> </w:t>
      </w:r>
      <w:r>
        <w:rPr>
          <w:rFonts w:hint="eastAsia"/>
          <w:rtl/>
        </w:rPr>
        <w:t>חוק</w:t>
      </w:r>
      <w:r>
        <w:rPr>
          <w:rtl/>
        </w:rPr>
        <w:t xml:space="preserve"> </w:t>
      </w:r>
      <w:r>
        <w:rPr>
          <w:rFonts w:hint="eastAsia"/>
          <w:rtl/>
        </w:rPr>
        <w:t>המבטא</w:t>
      </w:r>
      <w:r>
        <w:rPr>
          <w:rtl/>
        </w:rPr>
        <w:t xml:space="preserve"> </w:t>
      </w:r>
      <w:r>
        <w:rPr>
          <w:rFonts w:hint="eastAsia"/>
          <w:rtl/>
        </w:rPr>
        <w:t>את</w:t>
      </w:r>
      <w:r>
        <w:rPr>
          <w:rtl/>
        </w:rPr>
        <w:t xml:space="preserve"> </w:t>
      </w:r>
      <w:r>
        <w:rPr>
          <w:rFonts w:hint="eastAsia"/>
          <w:rtl/>
        </w:rPr>
        <w:t>הזכות</w:t>
      </w:r>
      <w:r>
        <w:rPr>
          <w:rtl/>
        </w:rPr>
        <w:t xml:space="preserve"> </w:t>
      </w:r>
      <w:r>
        <w:rPr>
          <w:rFonts w:hint="eastAsia"/>
          <w:rtl/>
        </w:rPr>
        <w:t>ההיסטורית</w:t>
      </w:r>
      <w:r>
        <w:rPr>
          <w:rtl/>
        </w:rPr>
        <w:t xml:space="preserve"> </w:t>
      </w:r>
      <w:r>
        <w:rPr>
          <w:rFonts w:hint="eastAsia"/>
          <w:rtl/>
        </w:rPr>
        <w:t>של</w:t>
      </w:r>
      <w:r>
        <w:rPr>
          <w:rtl/>
        </w:rPr>
        <w:t xml:space="preserve"> </w:t>
      </w:r>
      <w:r>
        <w:rPr>
          <w:rFonts w:hint="eastAsia"/>
          <w:rtl/>
        </w:rPr>
        <w:t>יהודי</w:t>
      </w:r>
      <w:r>
        <w:rPr>
          <w:rtl/>
        </w:rPr>
        <w:t xml:space="preserve">, </w:t>
      </w:r>
      <w:r>
        <w:rPr>
          <w:rFonts w:hint="eastAsia"/>
          <w:rtl/>
        </w:rPr>
        <w:t>באשר</w:t>
      </w:r>
      <w:r>
        <w:rPr>
          <w:rtl/>
        </w:rPr>
        <w:t xml:space="preserve"> </w:t>
      </w:r>
      <w:r>
        <w:rPr>
          <w:rFonts w:hint="eastAsia"/>
          <w:rtl/>
        </w:rPr>
        <w:t>הוא</w:t>
      </w:r>
      <w:r>
        <w:rPr>
          <w:rtl/>
        </w:rPr>
        <w:t xml:space="preserve"> </w:t>
      </w:r>
      <w:r>
        <w:rPr>
          <w:rFonts w:hint="eastAsia"/>
          <w:rtl/>
        </w:rPr>
        <w:t>יהודי</w:t>
      </w:r>
      <w:r>
        <w:rPr>
          <w:rtl/>
        </w:rPr>
        <w:t xml:space="preserve">, </w:t>
      </w:r>
      <w:r>
        <w:rPr>
          <w:rFonts w:hint="eastAsia"/>
          <w:rtl/>
        </w:rPr>
        <w:t>להתיישב</w:t>
      </w:r>
      <w:r>
        <w:rPr>
          <w:rtl/>
        </w:rPr>
        <w:t xml:space="preserve"> </w:t>
      </w:r>
      <w:r>
        <w:rPr>
          <w:rFonts w:hint="eastAsia"/>
          <w:rtl/>
        </w:rPr>
        <w:t>בארץ</w:t>
      </w:r>
      <w:r>
        <w:rPr>
          <w:rtl/>
        </w:rPr>
        <w:t xml:space="preserve">, </w:t>
      </w:r>
      <w:r>
        <w:rPr>
          <w:rFonts w:hint="eastAsia"/>
          <w:rtl/>
        </w:rPr>
        <w:t>אשר</w:t>
      </w:r>
      <w:r>
        <w:rPr>
          <w:rtl/>
        </w:rPr>
        <w:t xml:space="preserve"> </w:t>
      </w:r>
      <w:r>
        <w:rPr>
          <w:rFonts w:hint="eastAsia"/>
          <w:rtl/>
        </w:rPr>
        <w:t>מקורה</w:t>
      </w:r>
      <w:r>
        <w:rPr>
          <w:rtl/>
        </w:rPr>
        <w:t xml:space="preserve"> </w:t>
      </w:r>
      <w:r>
        <w:rPr>
          <w:rFonts w:hint="eastAsia"/>
          <w:rtl/>
        </w:rPr>
        <w:t>בקשר</w:t>
      </w:r>
      <w:r>
        <w:rPr>
          <w:rtl/>
        </w:rPr>
        <w:t xml:space="preserve"> </w:t>
      </w:r>
      <w:r>
        <w:rPr>
          <w:rFonts w:hint="eastAsia"/>
          <w:rtl/>
        </w:rPr>
        <w:t>ההיסטורי</w:t>
      </w:r>
      <w:r>
        <w:rPr>
          <w:rtl/>
        </w:rPr>
        <w:t xml:space="preserve"> </w:t>
      </w:r>
      <w:r>
        <w:rPr>
          <w:rFonts w:hint="eastAsia"/>
          <w:rtl/>
        </w:rPr>
        <w:t>שלא</w:t>
      </w:r>
      <w:r>
        <w:rPr>
          <w:rtl/>
        </w:rPr>
        <w:t xml:space="preserve"> </w:t>
      </w:r>
      <w:r>
        <w:rPr>
          <w:rFonts w:hint="eastAsia"/>
          <w:rtl/>
        </w:rPr>
        <w:t>נפסק</w:t>
      </w:r>
      <w:r>
        <w:rPr>
          <w:rtl/>
        </w:rPr>
        <w:t xml:space="preserve"> </w:t>
      </w:r>
      <w:r>
        <w:rPr>
          <w:rFonts w:hint="eastAsia"/>
          <w:rtl/>
        </w:rPr>
        <w:t>מעולם</w:t>
      </w:r>
      <w:r>
        <w:rPr>
          <w:rtl/>
        </w:rPr>
        <w:t xml:space="preserve"> </w:t>
      </w:r>
      <w:r>
        <w:rPr>
          <w:rFonts w:hint="eastAsia"/>
          <w:rtl/>
        </w:rPr>
        <w:t>בין</w:t>
      </w:r>
      <w:r>
        <w:rPr>
          <w:rtl/>
        </w:rPr>
        <w:t xml:space="preserve"> </w:t>
      </w:r>
      <w:r>
        <w:rPr>
          <w:rFonts w:hint="eastAsia"/>
          <w:rtl/>
        </w:rPr>
        <w:t>העם</w:t>
      </w:r>
      <w:r>
        <w:rPr>
          <w:rtl/>
        </w:rPr>
        <w:t xml:space="preserve"> </w:t>
      </w:r>
      <w:r>
        <w:rPr>
          <w:rFonts w:hint="eastAsia"/>
          <w:rtl/>
        </w:rPr>
        <w:t>ובין</w:t>
      </w:r>
      <w:r>
        <w:rPr>
          <w:rtl/>
        </w:rPr>
        <w:t xml:space="preserve"> </w:t>
      </w:r>
      <w:r>
        <w:rPr>
          <w:rFonts w:hint="eastAsia"/>
          <w:rtl/>
        </w:rPr>
        <w:t>ארצו</w:t>
      </w:r>
      <w:r>
        <w:rPr>
          <w:rtl/>
        </w:rPr>
        <w:t xml:space="preserve">. </w:t>
      </w:r>
      <w:r>
        <w:rPr>
          <w:rFonts w:hint="eastAsia"/>
          <w:rtl/>
        </w:rPr>
        <w:t>הוא</w:t>
      </w:r>
      <w:r>
        <w:rPr>
          <w:rtl/>
        </w:rPr>
        <w:t xml:space="preserve"> </w:t>
      </w:r>
      <w:r>
        <w:rPr>
          <w:rFonts w:hint="eastAsia"/>
          <w:rtl/>
        </w:rPr>
        <w:t>נותן</w:t>
      </w:r>
      <w:r>
        <w:rPr>
          <w:rtl/>
        </w:rPr>
        <w:t xml:space="preserve"> </w:t>
      </w:r>
      <w:r>
        <w:rPr>
          <w:rFonts w:hint="eastAsia"/>
          <w:rtl/>
        </w:rPr>
        <w:t>ביטוי</w:t>
      </w:r>
      <w:r>
        <w:rPr>
          <w:rtl/>
        </w:rPr>
        <w:t xml:space="preserve"> </w:t>
      </w:r>
      <w:r>
        <w:rPr>
          <w:rFonts w:hint="eastAsia"/>
          <w:rtl/>
        </w:rPr>
        <w:t>חקיקתי</w:t>
      </w:r>
      <w:r>
        <w:rPr>
          <w:rtl/>
        </w:rPr>
        <w:t xml:space="preserve"> </w:t>
      </w:r>
      <w:r>
        <w:rPr>
          <w:rFonts w:hint="eastAsia"/>
          <w:rtl/>
        </w:rPr>
        <w:t>להיותה</w:t>
      </w:r>
      <w:r>
        <w:rPr>
          <w:rtl/>
        </w:rPr>
        <w:t xml:space="preserve"> </w:t>
      </w:r>
      <w:r>
        <w:rPr>
          <w:rFonts w:hint="eastAsia"/>
          <w:rtl/>
        </w:rPr>
        <w:t>של</w:t>
      </w:r>
      <w:r>
        <w:rPr>
          <w:rtl/>
        </w:rPr>
        <w:t xml:space="preserve"> </w:t>
      </w:r>
      <w:r>
        <w:rPr>
          <w:rFonts w:hint="eastAsia"/>
          <w:rtl/>
        </w:rPr>
        <w:t>ישראל</w:t>
      </w:r>
      <w:r>
        <w:rPr>
          <w:rtl/>
        </w:rPr>
        <w:t xml:space="preserve"> </w:t>
      </w:r>
      <w:r>
        <w:rPr>
          <w:rFonts w:hint="eastAsia"/>
          <w:rtl/>
        </w:rPr>
        <w:t>מדינת</w:t>
      </w:r>
      <w:r>
        <w:rPr>
          <w:rtl/>
        </w:rPr>
        <w:t xml:space="preserve"> </w:t>
      </w:r>
      <w:r>
        <w:rPr>
          <w:rFonts w:hint="eastAsia"/>
          <w:rtl/>
        </w:rPr>
        <w:t>עלייה</w:t>
      </w:r>
      <w:r>
        <w:rPr>
          <w:rtl/>
        </w:rPr>
        <w:t xml:space="preserve"> </w:t>
      </w:r>
      <w:r>
        <w:rPr>
          <w:rFonts w:hint="eastAsia"/>
          <w:rtl/>
        </w:rPr>
        <w:t>ומיזוג</w:t>
      </w:r>
      <w:r>
        <w:rPr>
          <w:rtl/>
        </w:rPr>
        <w:t xml:space="preserve"> </w:t>
      </w:r>
      <w:r>
        <w:rPr>
          <w:rFonts w:hint="eastAsia"/>
          <w:rtl/>
        </w:rPr>
        <w:t>גלויות</w:t>
      </w:r>
      <w:r>
        <w:rPr>
          <w:rFonts w:hint="cs"/>
          <w:rtl/>
        </w:rPr>
        <w:t xml:space="preserve"> [...].</w:t>
      </w:r>
      <w:r>
        <w:rPr>
          <w:rFonts w:hint="eastAsia"/>
          <w:rtl/>
        </w:rPr>
        <w:t>הוא</w:t>
      </w:r>
      <w:r>
        <w:rPr>
          <w:rtl/>
        </w:rPr>
        <w:t xml:space="preserve"> </w:t>
      </w:r>
      <w:r>
        <w:rPr>
          <w:rFonts w:hint="eastAsia"/>
          <w:rtl/>
        </w:rPr>
        <w:t>משתלב</w:t>
      </w:r>
      <w:r>
        <w:rPr>
          <w:rtl/>
        </w:rPr>
        <w:t xml:space="preserve"> </w:t>
      </w:r>
      <w:r>
        <w:rPr>
          <w:rFonts w:hint="eastAsia"/>
          <w:rtl/>
        </w:rPr>
        <w:t>עם</w:t>
      </w:r>
      <w:r>
        <w:rPr>
          <w:rtl/>
        </w:rPr>
        <w:t xml:space="preserve"> </w:t>
      </w:r>
      <w:r>
        <w:rPr>
          <w:rFonts w:hint="eastAsia"/>
          <w:rtl/>
        </w:rPr>
        <w:t>עיקרי</w:t>
      </w:r>
      <w:r>
        <w:rPr>
          <w:rtl/>
        </w:rPr>
        <w:t xml:space="preserve"> </w:t>
      </w:r>
      <w:r>
        <w:rPr>
          <w:rFonts w:hint="eastAsia"/>
          <w:rtl/>
        </w:rPr>
        <w:t>ההכרזה</w:t>
      </w:r>
      <w:r>
        <w:rPr>
          <w:rtl/>
        </w:rPr>
        <w:t xml:space="preserve"> </w:t>
      </w:r>
      <w:r>
        <w:rPr>
          <w:rFonts w:hint="eastAsia"/>
          <w:rtl/>
        </w:rPr>
        <w:t>על</w:t>
      </w:r>
      <w:r>
        <w:rPr>
          <w:rtl/>
        </w:rPr>
        <w:t xml:space="preserve"> </w:t>
      </w:r>
      <w:r>
        <w:rPr>
          <w:rFonts w:hint="eastAsia"/>
          <w:rtl/>
        </w:rPr>
        <w:t>הקמת</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אשר</w:t>
      </w:r>
      <w:r>
        <w:rPr>
          <w:rtl/>
        </w:rPr>
        <w:t xml:space="preserve"> </w:t>
      </w:r>
      <w:r>
        <w:rPr>
          <w:rFonts w:hint="eastAsia"/>
          <w:rtl/>
        </w:rPr>
        <w:t>דיברה</w:t>
      </w:r>
      <w:r>
        <w:rPr>
          <w:rtl/>
        </w:rPr>
        <w:t xml:space="preserve"> </w:t>
      </w:r>
      <w:r>
        <w:rPr>
          <w:rFonts w:hint="eastAsia"/>
          <w:rtl/>
        </w:rPr>
        <w:t>בזכות</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להקים</w:t>
      </w:r>
      <w:r>
        <w:rPr>
          <w:rtl/>
        </w:rPr>
        <w:t xml:space="preserve"> </w:t>
      </w:r>
      <w:r>
        <w:rPr>
          <w:rFonts w:hint="eastAsia"/>
          <w:rtl/>
        </w:rPr>
        <w:t>מחדש</w:t>
      </w:r>
      <w:r>
        <w:rPr>
          <w:rtl/>
        </w:rPr>
        <w:t xml:space="preserve"> </w:t>
      </w:r>
      <w:r>
        <w:rPr>
          <w:rFonts w:hint="eastAsia"/>
          <w:rtl/>
        </w:rPr>
        <w:t>את</w:t>
      </w:r>
      <w:r>
        <w:rPr>
          <w:rtl/>
        </w:rPr>
        <w:t xml:space="preserve"> </w:t>
      </w:r>
      <w:r>
        <w:rPr>
          <w:rFonts w:hint="eastAsia"/>
          <w:rtl/>
        </w:rPr>
        <w:t>ביתו</w:t>
      </w:r>
      <w:r>
        <w:rPr>
          <w:rtl/>
        </w:rPr>
        <w:t xml:space="preserve"> </w:t>
      </w:r>
      <w:r>
        <w:rPr>
          <w:rFonts w:hint="eastAsia"/>
          <w:rtl/>
        </w:rPr>
        <w:t>הלאומי</w:t>
      </w:r>
      <w:r>
        <w:rPr>
          <w:rtl/>
        </w:rPr>
        <w:t xml:space="preserve"> </w:t>
      </w:r>
      <w:r>
        <w:rPr>
          <w:rFonts w:hint="eastAsia"/>
          <w:rtl/>
        </w:rPr>
        <w:t>במדינה</w:t>
      </w:r>
      <w:r>
        <w:rPr>
          <w:rtl/>
        </w:rPr>
        <w:t xml:space="preserve"> </w:t>
      </w:r>
      <w:r>
        <w:rPr>
          <w:rFonts w:hint="eastAsia"/>
          <w:rtl/>
        </w:rPr>
        <w:t>יהודית</w:t>
      </w:r>
      <w:r>
        <w:rPr>
          <w:rtl/>
        </w:rPr>
        <w:t xml:space="preserve"> </w:t>
      </w:r>
      <w:r>
        <w:rPr>
          <w:rFonts w:hint="eastAsia"/>
          <w:rtl/>
        </w:rPr>
        <w:t>בארץ</w:t>
      </w:r>
      <w:r>
        <w:rPr>
          <w:rtl/>
        </w:rPr>
        <w:t>-</w:t>
      </w:r>
      <w:r>
        <w:rPr>
          <w:rFonts w:hint="eastAsia"/>
          <w:rtl/>
        </w:rPr>
        <w:t>ישראל</w:t>
      </w:r>
      <w:r>
        <w:rPr>
          <w:rtl/>
        </w:rPr>
        <w:t xml:space="preserve">, </w:t>
      </w:r>
      <w:r>
        <w:rPr>
          <w:rFonts w:hint="cs"/>
          <w:rtl/>
        </w:rPr>
        <w:t>'</w:t>
      </w:r>
      <w:r>
        <w:rPr>
          <w:rtl/>
        </w:rPr>
        <w:t>...</w:t>
      </w:r>
      <w:r>
        <w:rPr>
          <w:rFonts w:hint="eastAsia"/>
          <w:rtl/>
        </w:rPr>
        <w:t>אשר</w:t>
      </w:r>
      <w:r>
        <w:rPr>
          <w:rtl/>
        </w:rPr>
        <w:t xml:space="preserve"> </w:t>
      </w:r>
      <w:r>
        <w:rPr>
          <w:rFonts w:hint="eastAsia"/>
          <w:rtl/>
        </w:rPr>
        <w:t>תפתח</w:t>
      </w:r>
      <w:r>
        <w:rPr>
          <w:rtl/>
        </w:rPr>
        <w:t xml:space="preserve"> </w:t>
      </w:r>
      <w:r>
        <w:rPr>
          <w:rFonts w:hint="eastAsia"/>
          <w:rtl/>
        </w:rPr>
        <w:t>לרווחה</w:t>
      </w:r>
      <w:r>
        <w:rPr>
          <w:rtl/>
        </w:rPr>
        <w:t xml:space="preserve"> </w:t>
      </w:r>
      <w:r>
        <w:rPr>
          <w:rFonts w:hint="eastAsia"/>
          <w:rtl/>
        </w:rPr>
        <w:t>את</w:t>
      </w:r>
      <w:r>
        <w:rPr>
          <w:rtl/>
        </w:rPr>
        <w:t xml:space="preserve"> </w:t>
      </w:r>
      <w:r>
        <w:rPr>
          <w:rFonts w:hint="eastAsia"/>
          <w:rtl/>
        </w:rPr>
        <w:t>שערי</w:t>
      </w:r>
      <w:r>
        <w:rPr>
          <w:rtl/>
        </w:rPr>
        <w:t xml:space="preserve"> </w:t>
      </w:r>
      <w:r>
        <w:rPr>
          <w:rFonts w:hint="eastAsia"/>
          <w:rtl/>
        </w:rPr>
        <w:t>המולדת</w:t>
      </w:r>
      <w:r>
        <w:rPr>
          <w:rtl/>
        </w:rPr>
        <w:t xml:space="preserve"> </w:t>
      </w:r>
      <w:r>
        <w:rPr>
          <w:rFonts w:hint="eastAsia"/>
          <w:rtl/>
        </w:rPr>
        <w:t>לכל</w:t>
      </w:r>
      <w:r>
        <w:rPr>
          <w:rtl/>
        </w:rPr>
        <w:t xml:space="preserve"> </w:t>
      </w:r>
      <w:r>
        <w:rPr>
          <w:rFonts w:hint="eastAsia"/>
          <w:rtl/>
        </w:rPr>
        <w:t>יהודי</w:t>
      </w:r>
      <w:r>
        <w:rPr>
          <w:rtl/>
        </w:rPr>
        <w:t xml:space="preserve"> </w:t>
      </w:r>
      <w:r>
        <w:rPr>
          <w:rFonts w:hint="eastAsia"/>
          <w:rtl/>
        </w:rPr>
        <w:t>ותעניק</w:t>
      </w:r>
      <w:r>
        <w:rPr>
          <w:rtl/>
        </w:rPr>
        <w:t xml:space="preserve"> </w:t>
      </w:r>
      <w:r>
        <w:rPr>
          <w:rFonts w:hint="eastAsia"/>
          <w:rtl/>
        </w:rPr>
        <w:t>לעם</w:t>
      </w:r>
      <w:r>
        <w:rPr>
          <w:rtl/>
        </w:rPr>
        <w:t xml:space="preserve"> </w:t>
      </w:r>
      <w:r>
        <w:rPr>
          <w:rFonts w:hint="eastAsia"/>
          <w:rtl/>
        </w:rPr>
        <w:t>היהודי</w:t>
      </w:r>
      <w:r>
        <w:rPr>
          <w:rtl/>
        </w:rPr>
        <w:t xml:space="preserve"> </w:t>
      </w:r>
      <w:r>
        <w:rPr>
          <w:rFonts w:hint="eastAsia"/>
          <w:rtl/>
        </w:rPr>
        <w:t>מעמד</w:t>
      </w:r>
      <w:r>
        <w:rPr>
          <w:rtl/>
        </w:rPr>
        <w:t xml:space="preserve"> </w:t>
      </w:r>
      <w:r>
        <w:rPr>
          <w:rFonts w:hint="eastAsia"/>
          <w:rtl/>
        </w:rPr>
        <w:t>של</w:t>
      </w:r>
      <w:r>
        <w:rPr>
          <w:rtl/>
        </w:rPr>
        <w:t xml:space="preserve"> </w:t>
      </w:r>
      <w:r>
        <w:rPr>
          <w:rFonts w:hint="eastAsia"/>
          <w:rtl/>
        </w:rPr>
        <w:t>אומה</w:t>
      </w:r>
      <w:r>
        <w:rPr>
          <w:rtl/>
        </w:rPr>
        <w:t xml:space="preserve"> </w:t>
      </w:r>
      <w:r>
        <w:rPr>
          <w:rFonts w:hint="eastAsia"/>
          <w:rtl/>
        </w:rPr>
        <w:t>שוות</w:t>
      </w:r>
      <w:r>
        <w:rPr>
          <w:rtl/>
        </w:rPr>
        <w:t>-</w:t>
      </w:r>
      <w:r>
        <w:rPr>
          <w:rFonts w:hint="eastAsia"/>
          <w:rtl/>
        </w:rPr>
        <w:t>זכויות</w:t>
      </w:r>
      <w:r>
        <w:rPr>
          <w:rtl/>
        </w:rPr>
        <w:t xml:space="preserve"> </w:t>
      </w:r>
      <w:r>
        <w:rPr>
          <w:rFonts w:hint="eastAsia"/>
          <w:rtl/>
        </w:rPr>
        <w:t>בתוך</w:t>
      </w:r>
      <w:r>
        <w:rPr>
          <w:rtl/>
        </w:rPr>
        <w:t xml:space="preserve"> </w:t>
      </w:r>
      <w:r>
        <w:rPr>
          <w:rFonts w:hint="eastAsia"/>
          <w:rtl/>
        </w:rPr>
        <w:t>משפחת</w:t>
      </w:r>
      <w:r>
        <w:rPr>
          <w:rtl/>
        </w:rPr>
        <w:t xml:space="preserve"> </w:t>
      </w:r>
      <w:r>
        <w:rPr>
          <w:rFonts w:hint="eastAsia"/>
          <w:rtl/>
        </w:rPr>
        <w:t>העמים</w:t>
      </w:r>
      <w:r>
        <w:rPr>
          <w:rFonts w:hint="cs"/>
          <w:rtl/>
        </w:rPr>
        <w:t>'</w:t>
      </w:r>
      <w:r>
        <w:rPr>
          <w:rtl/>
        </w:rPr>
        <w:t xml:space="preserve">, </w:t>
      </w:r>
      <w:r>
        <w:rPr>
          <w:rFonts w:hint="eastAsia"/>
          <w:rtl/>
        </w:rPr>
        <w:t>והצהירה</w:t>
      </w:r>
      <w:r>
        <w:rPr>
          <w:rtl/>
        </w:rPr>
        <w:t xml:space="preserve"> </w:t>
      </w:r>
      <w:r>
        <w:rPr>
          <w:rFonts w:hint="eastAsia"/>
          <w:rtl/>
        </w:rPr>
        <w:t>כי</w:t>
      </w:r>
      <w:r>
        <w:rPr>
          <w:rtl/>
        </w:rPr>
        <w:t xml:space="preserve"> </w:t>
      </w:r>
      <w:r>
        <w:rPr>
          <w:rFonts w:hint="cs"/>
          <w:rtl/>
        </w:rPr>
        <w:t>'</w:t>
      </w:r>
      <w:r>
        <w:rPr>
          <w:rFonts w:hint="eastAsia"/>
          <w:rtl/>
        </w:rPr>
        <w:t>מדינת</w:t>
      </w:r>
      <w:r>
        <w:rPr>
          <w:rtl/>
        </w:rPr>
        <w:t xml:space="preserve"> </w:t>
      </w:r>
      <w:r>
        <w:rPr>
          <w:rFonts w:hint="eastAsia"/>
          <w:rtl/>
        </w:rPr>
        <w:t>ישראל</w:t>
      </w:r>
      <w:r>
        <w:rPr>
          <w:rtl/>
        </w:rPr>
        <w:t xml:space="preserve"> </w:t>
      </w:r>
      <w:r>
        <w:rPr>
          <w:rFonts w:hint="eastAsia"/>
          <w:rtl/>
        </w:rPr>
        <w:t>תהא</w:t>
      </w:r>
      <w:r>
        <w:rPr>
          <w:rtl/>
        </w:rPr>
        <w:t xml:space="preserve"> </w:t>
      </w:r>
      <w:r>
        <w:rPr>
          <w:rFonts w:hint="eastAsia"/>
          <w:rtl/>
        </w:rPr>
        <w:t>פתוחה</w:t>
      </w:r>
      <w:r>
        <w:rPr>
          <w:rtl/>
        </w:rPr>
        <w:t xml:space="preserve"> </w:t>
      </w:r>
      <w:r>
        <w:rPr>
          <w:rFonts w:hint="eastAsia"/>
          <w:rtl/>
        </w:rPr>
        <w:t>לעליה</w:t>
      </w:r>
      <w:r>
        <w:rPr>
          <w:rtl/>
        </w:rPr>
        <w:t xml:space="preserve"> </w:t>
      </w:r>
      <w:r>
        <w:rPr>
          <w:rFonts w:hint="eastAsia"/>
          <w:rtl/>
        </w:rPr>
        <w:t>יהודית</w:t>
      </w:r>
      <w:r>
        <w:rPr>
          <w:rtl/>
        </w:rPr>
        <w:t xml:space="preserve"> </w:t>
      </w:r>
      <w:r>
        <w:rPr>
          <w:rFonts w:hint="eastAsia"/>
          <w:rtl/>
        </w:rPr>
        <w:t>ולקיבוץ</w:t>
      </w:r>
      <w:r>
        <w:rPr>
          <w:rtl/>
        </w:rPr>
        <w:t xml:space="preserve"> </w:t>
      </w:r>
      <w:r>
        <w:rPr>
          <w:rFonts w:hint="eastAsia"/>
          <w:rtl/>
        </w:rPr>
        <w:t>גלויות</w:t>
      </w:r>
      <w:r>
        <w:rPr>
          <w:rtl/>
        </w:rPr>
        <w:t>...</w:t>
      </w:r>
      <w:r>
        <w:rPr>
          <w:rFonts w:hint="cs"/>
          <w:rtl/>
        </w:rPr>
        <w:t>'</w:t>
      </w:r>
      <w:r>
        <w:rPr>
          <w:rtl/>
        </w:rPr>
        <w:t xml:space="preserve">. </w:t>
      </w:r>
      <w:r>
        <w:rPr>
          <w:rFonts w:hint="eastAsia"/>
          <w:rtl/>
        </w:rPr>
        <w:t>לשונו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טעונת</w:t>
      </w:r>
      <w:r>
        <w:rPr>
          <w:rtl/>
        </w:rPr>
        <w:t xml:space="preserve"> </w:t>
      </w:r>
      <w:r>
        <w:rPr>
          <w:rFonts w:hint="eastAsia"/>
          <w:rtl/>
        </w:rPr>
        <w:t>המשמעות</w:t>
      </w:r>
      <w:r>
        <w:rPr>
          <w:rtl/>
        </w:rPr>
        <w:t xml:space="preserve"> </w:t>
      </w:r>
      <w:r>
        <w:rPr>
          <w:rFonts w:hint="eastAsia"/>
          <w:rtl/>
        </w:rPr>
        <w:t>הרגשית</w:t>
      </w:r>
      <w:r>
        <w:rPr>
          <w:rtl/>
        </w:rPr>
        <w:t xml:space="preserve">, </w:t>
      </w:r>
      <w:r>
        <w:rPr>
          <w:rFonts w:hint="eastAsia"/>
          <w:rtl/>
        </w:rPr>
        <w:t>מעידה</w:t>
      </w:r>
      <w:r>
        <w:rPr>
          <w:rtl/>
        </w:rPr>
        <w:t xml:space="preserve"> </w:t>
      </w:r>
      <w:r>
        <w:rPr>
          <w:rFonts w:hint="eastAsia"/>
          <w:rtl/>
        </w:rPr>
        <w:t>על</w:t>
      </w:r>
      <w:r>
        <w:rPr>
          <w:rtl/>
        </w:rPr>
        <w:t xml:space="preserve"> </w:t>
      </w:r>
      <w:r>
        <w:rPr>
          <w:rFonts w:hint="eastAsia"/>
          <w:rtl/>
        </w:rPr>
        <w:t>מעמדו</w:t>
      </w:r>
      <w:r>
        <w:rPr>
          <w:rtl/>
        </w:rPr>
        <w:t xml:space="preserve"> </w:t>
      </w:r>
      <w:r>
        <w:rPr>
          <w:rFonts w:hint="eastAsia"/>
          <w:rtl/>
        </w:rPr>
        <w:t>הסמלי</w:t>
      </w:r>
      <w:r>
        <w:rPr>
          <w:rtl/>
        </w:rPr>
        <w:t xml:space="preserve"> </w:t>
      </w:r>
      <w:r>
        <w:rPr>
          <w:rFonts w:hint="eastAsia"/>
          <w:rtl/>
        </w:rPr>
        <w:t>הרם</w:t>
      </w:r>
      <w:r>
        <w:rPr>
          <w:rFonts w:hint="cs"/>
          <w:rtl/>
        </w:rPr>
        <w:t xml:space="preserve"> [...]" (שם, עמ' 446-445).</w:t>
      </w:r>
    </w:p>
    <w:p w:rsidR="00BA03D0" w:rsidRDefault="00BA03D0" w:rsidP="00BA03D0">
      <w:pPr>
        <w:pStyle w:val="Ruller4"/>
        <w:numPr>
          <w:ilvl w:val="0"/>
          <w:numId w:val="0"/>
        </w:numPr>
      </w:pPr>
    </w:p>
    <w:p w:rsidR="00BA03D0" w:rsidRPr="00A14467" w:rsidRDefault="00BA03D0" w:rsidP="00BA03D0">
      <w:pPr>
        <w:pStyle w:val="Ruller4"/>
        <w:numPr>
          <w:ilvl w:val="0"/>
          <w:numId w:val="0"/>
        </w:numPr>
        <w:rPr>
          <w:rtl/>
        </w:rPr>
      </w:pPr>
      <w:r>
        <w:rPr>
          <w:rtl/>
        </w:rPr>
        <w:tab/>
      </w:r>
      <w:r>
        <w:rPr>
          <w:rFonts w:hint="cs"/>
          <w:rtl/>
        </w:rPr>
        <w:t xml:space="preserve">גם בדבריו של השופט </w:t>
      </w:r>
      <w:r w:rsidRPr="00D25D42">
        <w:rPr>
          <w:rFonts w:ascii="Century" w:hAnsi="Century" w:cs="Miriam" w:hint="cs"/>
          <w:b/>
          <w:spacing w:val="0"/>
          <w:sz w:val="22"/>
          <w:szCs w:val="24"/>
          <w:rtl/>
        </w:rPr>
        <w:t>מ' חשין</w:t>
      </w:r>
      <w:r w:rsidRPr="00366E6E">
        <w:rPr>
          <w:rFonts w:hint="cs"/>
          <w:rtl/>
        </w:rPr>
        <w:t xml:space="preserve"> </w:t>
      </w:r>
      <w:r>
        <w:rPr>
          <w:rFonts w:hint="cs"/>
          <w:rtl/>
        </w:rPr>
        <w:t>ב</w:t>
      </w:r>
      <w:r w:rsidRPr="000638F5">
        <w:rPr>
          <w:rFonts w:hint="eastAsia"/>
          <w:rtl/>
        </w:rPr>
        <w:t>עניין</w:t>
      </w:r>
      <w:r w:rsidRPr="000638F5">
        <w:rPr>
          <w:rtl/>
        </w:rPr>
        <w:t xml:space="preserve"> </w:t>
      </w:r>
      <w:r w:rsidRPr="00D25D42">
        <w:rPr>
          <w:rFonts w:ascii="Century" w:hAnsi="Century" w:cs="Miriam" w:hint="eastAsia"/>
          <w:b/>
          <w:spacing w:val="0"/>
          <w:szCs w:val="24"/>
          <w:rtl/>
        </w:rPr>
        <w:t>סטמקה</w:t>
      </w:r>
      <w:r>
        <w:rPr>
          <w:rFonts w:hint="cs"/>
          <w:rtl/>
        </w:rPr>
        <w:t xml:space="preserve">, אשר הובאו על ידי חברי השופט </w:t>
      </w:r>
      <w:r w:rsidRPr="00C97D00">
        <w:rPr>
          <w:rFonts w:ascii="Century" w:hAnsi="Century" w:cs="Miriam" w:hint="cs"/>
          <w:b/>
          <w:spacing w:val="0"/>
          <w:sz w:val="22"/>
          <w:szCs w:val="24"/>
          <w:rtl/>
        </w:rPr>
        <w:t>סולברג</w:t>
      </w:r>
      <w:r>
        <w:rPr>
          <w:rFonts w:hint="cs"/>
          <w:rtl/>
        </w:rPr>
        <w:t>, ניתן ביטוי לכך:</w:t>
      </w:r>
    </w:p>
    <w:p w:rsidR="00BA03D0" w:rsidRDefault="00BA03D0" w:rsidP="00BA03D0">
      <w:pPr>
        <w:pStyle w:val="Ruller41"/>
        <w:rPr>
          <w:rtl/>
        </w:rPr>
      </w:pPr>
    </w:p>
    <w:p w:rsidR="00BA03D0" w:rsidRDefault="00BA03D0" w:rsidP="00BA03D0">
      <w:pPr>
        <w:pStyle w:val="Ruller5"/>
        <w:rPr>
          <w:rtl/>
        </w:rPr>
      </w:pPr>
      <w:r>
        <w:rPr>
          <w:rFonts w:hint="cs"/>
          <w:rtl/>
        </w:rPr>
        <w:t>"א</w:t>
      </w:r>
      <w:r w:rsidRPr="00366E6E">
        <w:rPr>
          <w:rFonts w:hint="eastAsia"/>
          <w:rtl/>
        </w:rPr>
        <w:t>שר</w:t>
      </w:r>
      <w:r w:rsidRPr="00366E6E">
        <w:rPr>
          <w:rtl/>
        </w:rPr>
        <w:t xml:space="preserve"> </w:t>
      </w:r>
      <w:r w:rsidRPr="00366E6E">
        <w:rPr>
          <w:rFonts w:hint="eastAsia"/>
          <w:rtl/>
        </w:rPr>
        <w:t>לתכליתו</w:t>
      </w:r>
      <w:r w:rsidRPr="00366E6E">
        <w:rPr>
          <w:rtl/>
        </w:rPr>
        <w:t xml:space="preserve"> </w:t>
      </w:r>
      <w:r w:rsidRPr="00366E6E">
        <w:rPr>
          <w:rFonts w:hint="eastAsia"/>
          <w:rtl/>
        </w:rPr>
        <w:t>העיקרית</w:t>
      </w:r>
      <w:r w:rsidRPr="00366E6E">
        <w:rPr>
          <w:rtl/>
        </w:rPr>
        <w:t xml:space="preserve"> </w:t>
      </w:r>
      <w:r w:rsidRPr="00366E6E">
        <w:rPr>
          <w:rFonts w:hint="eastAsia"/>
          <w:rtl/>
        </w:rPr>
        <w:t>של</w:t>
      </w:r>
      <w:r w:rsidRPr="00366E6E">
        <w:rPr>
          <w:rtl/>
        </w:rPr>
        <w:t xml:space="preserve"> </w:t>
      </w:r>
      <w:r w:rsidRPr="00366E6E">
        <w:rPr>
          <w:rFonts w:hint="eastAsia"/>
          <w:rtl/>
        </w:rPr>
        <w:t>חוק</w:t>
      </w:r>
      <w:r w:rsidRPr="00366E6E">
        <w:rPr>
          <w:rtl/>
        </w:rPr>
        <w:t xml:space="preserve"> </w:t>
      </w:r>
      <w:r w:rsidRPr="00366E6E">
        <w:rPr>
          <w:rFonts w:hint="eastAsia"/>
          <w:rtl/>
        </w:rPr>
        <w:t>השבות</w:t>
      </w:r>
      <w:r w:rsidRPr="00366E6E">
        <w:rPr>
          <w:rtl/>
        </w:rPr>
        <w:t xml:space="preserve">: </w:t>
      </w:r>
      <w:r w:rsidRPr="00366E6E">
        <w:rPr>
          <w:rFonts w:hint="eastAsia"/>
          <w:rtl/>
        </w:rPr>
        <w:t>עמדנו</w:t>
      </w:r>
      <w:r w:rsidRPr="00366E6E">
        <w:rPr>
          <w:rtl/>
        </w:rPr>
        <w:t xml:space="preserve"> </w:t>
      </w:r>
      <w:r w:rsidRPr="00366E6E">
        <w:rPr>
          <w:rFonts w:hint="eastAsia"/>
          <w:rtl/>
        </w:rPr>
        <w:t>על</w:t>
      </w:r>
      <w:r w:rsidRPr="00366E6E">
        <w:rPr>
          <w:rtl/>
        </w:rPr>
        <w:t xml:space="preserve"> </w:t>
      </w:r>
      <w:r w:rsidRPr="00366E6E">
        <w:rPr>
          <w:rFonts w:hint="eastAsia"/>
          <w:rtl/>
        </w:rPr>
        <w:t>המיוחדות</w:t>
      </w:r>
      <w:r w:rsidRPr="00366E6E">
        <w:rPr>
          <w:rtl/>
        </w:rPr>
        <w:t xml:space="preserve"> </w:t>
      </w:r>
      <w:r w:rsidRPr="00366E6E">
        <w:rPr>
          <w:rFonts w:hint="eastAsia"/>
          <w:rtl/>
        </w:rPr>
        <w:t>שבחוק</w:t>
      </w:r>
      <w:r w:rsidRPr="00366E6E">
        <w:rPr>
          <w:rtl/>
        </w:rPr>
        <w:t xml:space="preserve"> </w:t>
      </w:r>
      <w:r w:rsidRPr="00366E6E">
        <w:rPr>
          <w:rFonts w:hint="eastAsia"/>
          <w:rtl/>
        </w:rPr>
        <w:t>השבות</w:t>
      </w:r>
      <w:r w:rsidRPr="00366E6E">
        <w:rPr>
          <w:rtl/>
        </w:rPr>
        <w:t xml:space="preserve">, </w:t>
      </w:r>
      <w:r w:rsidRPr="00366E6E">
        <w:rPr>
          <w:rFonts w:hint="eastAsia"/>
          <w:rtl/>
        </w:rPr>
        <w:t>וידענו</w:t>
      </w:r>
      <w:r w:rsidRPr="00366E6E">
        <w:rPr>
          <w:rtl/>
        </w:rPr>
        <w:t xml:space="preserve"> </w:t>
      </w:r>
      <w:r w:rsidRPr="00366E6E">
        <w:rPr>
          <w:rFonts w:hint="eastAsia"/>
          <w:rtl/>
        </w:rPr>
        <w:t>כי</w:t>
      </w:r>
      <w:r w:rsidRPr="00366E6E">
        <w:rPr>
          <w:rtl/>
        </w:rPr>
        <w:t xml:space="preserve"> </w:t>
      </w:r>
      <w:r w:rsidRPr="00366E6E">
        <w:rPr>
          <w:rFonts w:hint="eastAsia"/>
          <w:rtl/>
        </w:rPr>
        <w:t>לבתו</w:t>
      </w:r>
      <w:r w:rsidRPr="00366E6E">
        <w:rPr>
          <w:rtl/>
        </w:rPr>
        <w:t xml:space="preserve"> </w:t>
      </w:r>
      <w:r w:rsidRPr="00366E6E">
        <w:rPr>
          <w:rFonts w:hint="eastAsia"/>
          <w:rtl/>
        </w:rPr>
        <w:t>היא</w:t>
      </w:r>
      <w:r w:rsidRPr="00366E6E">
        <w:rPr>
          <w:rtl/>
        </w:rPr>
        <w:t xml:space="preserve"> </w:t>
      </w:r>
      <w:r w:rsidRPr="00366E6E">
        <w:rPr>
          <w:rFonts w:hint="eastAsia"/>
          <w:rtl/>
        </w:rPr>
        <w:t>במשאת</w:t>
      </w:r>
      <w:r w:rsidRPr="00366E6E">
        <w:rPr>
          <w:rtl/>
        </w:rPr>
        <w:t>-</w:t>
      </w:r>
      <w:r w:rsidRPr="00366E6E">
        <w:rPr>
          <w:rFonts w:hint="eastAsia"/>
          <w:rtl/>
        </w:rPr>
        <w:t>הנפש</w:t>
      </w:r>
      <w:r w:rsidRPr="00366E6E">
        <w:rPr>
          <w:rtl/>
        </w:rPr>
        <w:t xml:space="preserve"> </w:t>
      </w:r>
      <w:r w:rsidRPr="00366E6E">
        <w:rPr>
          <w:rFonts w:hint="eastAsia"/>
          <w:rtl/>
        </w:rPr>
        <w:t>של</w:t>
      </w:r>
      <w:r w:rsidRPr="00366E6E">
        <w:rPr>
          <w:rtl/>
        </w:rPr>
        <w:t xml:space="preserve"> </w:t>
      </w:r>
      <w:r>
        <w:rPr>
          <w:rFonts w:hint="cs"/>
          <w:rtl/>
        </w:rPr>
        <w:t>'</w:t>
      </w:r>
      <w:r w:rsidRPr="00366E6E">
        <w:rPr>
          <w:rFonts w:hint="eastAsia"/>
          <w:rtl/>
        </w:rPr>
        <w:t>ושבו</w:t>
      </w:r>
      <w:r w:rsidRPr="00366E6E">
        <w:rPr>
          <w:rtl/>
        </w:rPr>
        <w:t xml:space="preserve"> </w:t>
      </w:r>
      <w:r w:rsidRPr="00366E6E">
        <w:rPr>
          <w:rFonts w:hint="eastAsia"/>
          <w:rtl/>
        </w:rPr>
        <w:t>בנים</w:t>
      </w:r>
      <w:r w:rsidRPr="00366E6E">
        <w:rPr>
          <w:rtl/>
        </w:rPr>
        <w:t xml:space="preserve"> </w:t>
      </w:r>
      <w:r w:rsidRPr="00366E6E">
        <w:rPr>
          <w:rFonts w:hint="eastAsia"/>
          <w:rtl/>
        </w:rPr>
        <w:t>לגבולם</w:t>
      </w:r>
      <w:r>
        <w:rPr>
          <w:rFonts w:hint="cs"/>
          <w:rtl/>
        </w:rPr>
        <w:t>'</w:t>
      </w:r>
      <w:r w:rsidRPr="00366E6E">
        <w:rPr>
          <w:rtl/>
        </w:rPr>
        <w:t xml:space="preserve">. </w:t>
      </w:r>
      <w:r>
        <w:rPr>
          <w:rFonts w:hint="cs"/>
          <w:rtl/>
        </w:rPr>
        <w:t>'</w:t>
      </w:r>
      <w:r w:rsidRPr="00366E6E">
        <w:rPr>
          <w:rFonts w:hint="eastAsia"/>
          <w:rtl/>
        </w:rPr>
        <w:t>לֶךְ</w:t>
      </w:r>
      <w:r w:rsidRPr="00366E6E">
        <w:rPr>
          <w:rtl/>
        </w:rPr>
        <w:t>-</w:t>
      </w:r>
      <w:r w:rsidRPr="00366E6E">
        <w:rPr>
          <w:rFonts w:hint="eastAsia"/>
          <w:rtl/>
        </w:rPr>
        <w:t>לְךָ</w:t>
      </w:r>
      <w:r w:rsidRPr="00366E6E">
        <w:rPr>
          <w:rtl/>
        </w:rPr>
        <w:t xml:space="preserve"> </w:t>
      </w:r>
      <w:r w:rsidRPr="00366E6E">
        <w:rPr>
          <w:rFonts w:hint="eastAsia"/>
          <w:rtl/>
        </w:rPr>
        <w:t>מֵאַרְצְךָ</w:t>
      </w:r>
      <w:r w:rsidRPr="00366E6E">
        <w:rPr>
          <w:rtl/>
        </w:rPr>
        <w:t xml:space="preserve"> </w:t>
      </w:r>
      <w:r w:rsidRPr="00366E6E">
        <w:rPr>
          <w:rFonts w:hint="eastAsia"/>
          <w:rtl/>
        </w:rPr>
        <w:t>וּמִמּוֹלַדְתְּךָ</w:t>
      </w:r>
      <w:r w:rsidRPr="00366E6E">
        <w:rPr>
          <w:rtl/>
        </w:rPr>
        <w:t xml:space="preserve"> </w:t>
      </w:r>
      <w:r w:rsidRPr="00366E6E">
        <w:rPr>
          <w:rFonts w:hint="eastAsia"/>
          <w:rtl/>
        </w:rPr>
        <w:t>וּמִבֵּית</w:t>
      </w:r>
      <w:r w:rsidRPr="00366E6E">
        <w:rPr>
          <w:rtl/>
        </w:rPr>
        <w:t xml:space="preserve"> </w:t>
      </w:r>
      <w:r w:rsidRPr="00366E6E">
        <w:rPr>
          <w:rFonts w:hint="eastAsia"/>
          <w:rtl/>
        </w:rPr>
        <w:t>אָבִיךָ</w:t>
      </w:r>
      <w:r w:rsidRPr="00366E6E">
        <w:rPr>
          <w:rtl/>
        </w:rPr>
        <w:t xml:space="preserve"> </w:t>
      </w:r>
      <w:r w:rsidRPr="00366E6E">
        <w:rPr>
          <w:rFonts w:hint="eastAsia"/>
          <w:rtl/>
        </w:rPr>
        <w:t>אֶל</w:t>
      </w:r>
      <w:r w:rsidRPr="00366E6E">
        <w:rPr>
          <w:rtl/>
        </w:rPr>
        <w:t>-</w:t>
      </w:r>
      <w:r w:rsidRPr="00366E6E">
        <w:rPr>
          <w:rFonts w:hint="eastAsia"/>
          <w:rtl/>
        </w:rPr>
        <w:t>הָאָרֶץ</w:t>
      </w:r>
      <w:r w:rsidRPr="00366E6E">
        <w:rPr>
          <w:rtl/>
        </w:rPr>
        <w:t xml:space="preserve"> </w:t>
      </w:r>
      <w:r w:rsidRPr="00366E6E">
        <w:rPr>
          <w:rFonts w:hint="eastAsia"/>
          <w:rtl/>
        </w:rPr>
        <w:t>אֲשֶׁר</w:t>
      </w:r>
      <w:r w:rsidRPr="00366E6E">
        <w:rPr>
          <w:rtl/>
        </w:rPr>
        <w:t xml:space="preserve"> </w:t>
      </w:r>
      <w:r w:rsidRPr="00366E6E">
        <w:rPr>
          <w:rFonts w:hint="eastAsia"/>
          <w:rtl/>
        </w:rPr>
        <w:t>אַרְאֶךָּ</w:t>
      </w:r>
      <w:r>
        <w:rPr>
          <w:rFonts w:hint="cs"/>
          <w:rtl/>
        </w:rPr>
        <w:t>'</w:t>
      </w:r>
      <w:r w:rsidRPr="00366E6E">
        <w:rPr>
          <w:rtl/>
        </w:rPr>
        <w:t xml:space="preserve"> (</w:t>
      </w:r>
      <w:r w:rsidRPr="00366E6E">
        <w:rPr>
          <w:rFonts w:hint="eastAsia"/>
          <w:rtl/>
        </w:rPr>
        <w:t>בראשית</w:t>
      </w:r>
      <w:r w:rsidRPr="00366E6E">
        <w:rPr>
          <w:rtl/>
        </w:rPr>
        <w:t xml:space="preserve">, </w:t>
      </w:r>
      <w:r w:rsidRPr="00366E6E">
        <w:rPr>
          <w:rFonts w:hint="eastAsia"/>
          <w:rtl/>
        </w:rPr>
        <w:t>יב</w:t>
      </w:r>
      <w:r w:rsidRPr="00366E6E">
        <w:rPr>
          <w:rtl/>
        </w:rPr>
        <w:t xml:space="preserve">, </w:t>
      </w:r>
      <w:r w:rsidRPr="00366E6E">
        <w:rPr>
          <w:rFonts w:hint="eastAsia"/>
          <w:rtl/>
        </w:rPr>
        <w:t>א</w:t>
      </w:r>
      <w:r w:rsidRPr="00366E6E">
        <w:rPr>
          <w:rtl/>
        </w:rPr>
        <w:t xml:space="preserve">). </w:t>
      </w:r>
      <w:r w:rsidRPr="00366E6E">
        <w:rPr>
          <w:rFonts w:hint="eastAsia"/>
          <w:rtl/>
        </w:rPr>
        <w:t>כך</w:t>
      </w:r>
      <w:r w:rsidRPr="00366E6E">
        <w:rPr>
          <w:rtl/>
        </w:rPr>
        <w:t xml:space="preserve"> </w:t>
      </w:r>
      <w:r w:rsidRPr="00366E6E">
        <w:rPr>
          <w:rFonts w:hint="eastAsia"/>
          <w:rtl/>
        </w:rPr>
        <w:t>ציווה</w:t>
      </w:r>
      <w:r w:rsidRPr="00366E6E">
        <w:rPr>
          <w:rtl/>
        </w:rPr>
        <w:t xml:space="preserve"> </w:t>
      </w:r>
      <w:r w:rsidRPr="00366E6E">
        <w:rPr>
          <w:rFonts w:hint="eastAsia"/>
          <w:rtl/>
        </w:rPr>
        <w:t>האלוהים</w:t>
      </w:r>
      <w:r w:rsidRPr="00366E6E">
        <w:rPr>
          <w:rtl/>
        </w:rPr>
        <w:t xml:space="preserve"> </w:t>
      </w:r>
      <w:r w:rsidRPr="00366E6E">
        <w:rPr>
          <w:rFonts w:hint="eastAsia"/>
          <w:rtl/>
        </w:rPr>
        <w:t>את</w:t>
      </w:r>
      <w:r w:rsidRPr="00366E6E">
        <w:rPr>
          <w:rtl/>
        </w:rPr>
        <w:t xml:space="preserve"> </w:t>
      </w:r>
      <w:r w:rsidRPr="00366E6E">
        <w:rPr>
          <w:rFonts w:hint="eastAsia"/>
          <w:rtl/>
        </w:rPr>
        <w:t>אברם</w:t>
      </w:r>
      <w:r w:rsidRPr="00366E6E">
        <w:rPr>
          <w:rtl/>
        </w:rPr>
        <w:t xml:space="preserve">, </w:t>
      </w:r>
      <w:r w:rsidRPr="00366E6E">
        <w:rPr>
          <w:rFonts w:hint="eastAsia"/>
          <w:rtl/>
        </w:rPr>
        <w:t>ומולדתו</w:t>
      </w:r>
      <w:r w:rsidRPr="00366E6E">
        <w:rPr>
          <w:rtl/>
        </w:rPr>
        <w:t xml:space="preserve"> </w:t>
      </w:r>
      <w:r w:rsidRPr="00366E6E">
        <w:rPr>
          <w:rFonts w:hint="eastAsia"/>
          <w:rtl/>
        </w:rPr>
        <w:lastRenderedPageBreak/>
        <w:t>של</w:t>
      </w:r>
      <w:r w:rsidRPr="00366E6E">
        <w:rPr>
          <w:rtl/>
        </w:rPr>
        <w:t xml:space="preserve"> </w:t>
      </w:r>
      <w:r w:rsidRPr="00366E6E">
        <w:rPr>
          <w:rFonts w:hint="eastAsia"/>
          <w:rtl/>
        </w:rPr>
        <w:t>העברי</w:t>
      </w:r>
      <w:r w:rsidRPr="00366E6E">
        <w:rPr>
          <w:rtl/>
        </w:rPr>
        <w:t xml:space="preserve"> – </w:t>
      </w:r>
      <w:r w:rsidRPr="00366E6E">
        <w:rPr>
          <w:rFonts w:hint="eastAsia"/>
          <w:rtl/>
        </w:rPr>
        <w:t>היהודי</w:t>
      </w:r>
      <w:r w:rsidRPr="00366E6E">
        <w:rPr>
          <w:rtl/>
        </w:rPr>
        <w:t xml:space="preserve"> – </w:t>
      </w:r>
      <w:r w:rsidRPr="00366E6E">
        <w:rPr>
          <w:rFonts w:hint="eastAsia"/>
          <w:rtl/>
        </w:rPr>
        <w:t>מאז</w:t>
      </w:r>
      <w:r w:rsidRPr="00366E6E">
        <w:rPr>
          <w:rtl/>
        </w:rPr>
        <w:t xml:space="preserve"> </w:t>
      </w:r>
      <w:r w:rsidRPr="00366E6E">
        <w:rPr>
          <w:rFonts w:hint="eastAsia"/>
          <w:rtl/>
        </w:rPr>
        <w:t>היא</w:t>
      </w:r>
      <w:r w:rsidRPr="00366E6E">
        <w:rPr>
          <w:rtl/>
        </w:rPr>
        <w:t xml:space="preserve"> </w:t>
      </w:r>
      <w:r w:rsidRPr="00366E6E">
        <w:rPr>
          <w:rFonts w:hint="eastAsia"/>
          <w:rtl/>
        </w:rPr>
        <w:t>ארץ</w:t>
      </w:r>
      <w:r w:rsidRPr="00366E6E">
        <w:rPr>
          <w:rtl/>
        </w:rPr>
        <w:t>-</w:t>
      </w:r>
      <w:r w:rsidRPr="00366E6E">
        <w:rPr>
          <w:rFonts w:hint="eastAsia"/>
          <w:rtl/>
        </w:rPr>
        <w:t>ישראל</w:t>
      </w:r>
      <w:r w:rsidRPr="00366E6E">
        <w:rPr>
          <w:rtl/>
        </w:rPr>
        <w:t xml:space="preserve">. </w:t>
      </w:r>
      <w:r w:rsidRPr="00366E6E">
        <w:rPr>
          <w:rFonts w:hint="eastAsia"/>
          <w:rtl/>
        </w:rPr>
        <w:t>יהודי</w:t>
      </w:r>
      <w:r w:rsidRPr="00366E6E">
        <w:rPr>
          <w:rtl/>
        </w:rPr>
        <w:t xml:space="preserve">, </w:t>
      </w:r>
      <w:r w:rsidRPr="00366E6E">
        <w:rPr>
          <w:rFonts w:hint="eastAsia"/>
          <w:rtl/>
        </w:rPr>
        <w:t>כל</w:t>
      </w:r>
      <w:r w:rsidRPr="00366E6E">
        <w:rPr>
          <w:rtl/>
        </w:rPr>
        <w:t xml:space="preserve"> </w:t>
      </w:r>
      <w:r w:rsidRPr="00366E6E">
        <w:rPr>
          <w:rFonts w:hint="eastAsia"/>
          <w:rtl/>
        </w:rPr>
        <w:t>יהודי</w:t>
      </w:r>
      <w:r w:rsidRPr="00366E6E">
        <w:rPr>
          <w:rtl/>
        </w:rPr>
        <w:t xml:space="preserve"> </w:t>
      </w:r>
      <w:r w:rsidRPr="00366E6E">
        <w:rPr>
          <w:rFonts w:hint="eastAsia"/>
          <w:rtl/>
        </w:rPr>
        <w:t>באשר</w:t>
      </w:r>
      <w:r w:rsidRPr="00366E6E">
        <w:rPr>
          <w:rtl/>
        </w:rPr>
        <w:t xml:space="preserve"> </w:t>
      </w:r>
      <w:r w:rsidRPr="00366E6E">
        <w:rPr>
          <w:rFonts w:hint="eastAsia"/>
          <w:rtl/>
        </w:rPr>
        <w:t>הוא</w:t>
      </w:r>
      <w:r w:rsidRPr="00366E6E">
        <w:rPr>
          <w:rtl/>
        </w:rPr>
        <w:t xml:space="preserve"> </w:t>
      </w:r>
      <w:r w:rsidRPr="00366E6E">
        <w:rPr>
          <w:rFonts w:hint="eastAsia"/>
          <w:rtl/>
        </w:rPr>
        <w:t>שם</w:t>
      </w:r>
      <w:r w:rsidRPr="00366E6E">
        <w:rPr>
          <w:rtl/>
        </w:rPr>
        <w:t xml:space="preserve">, </w:t>
      </w:r>
      <w:r w:rsidRPr="00366E6E">
        <w:rPr>
          <w:rFonts w:hint="eastAsia"/>
          <w:rtl/>
        </w:rPr>
        <w:t>מולדתו</w:t>
      </w:r>
      <w:r w:rsidRPr="00366E6E">
        <w:rPr>
          <w:rtl/>
        </w:rPr>
        <w:t xml:space="preserve"> </w:t>
      </w:r>
      <w:r w:rsidRPr="00366E6E">
        <w:rPr>
          <w:rFonts w:hint="eastAsia"/>
          <w:rtl/>
        </w:rPr>
        <w:t>ההיסטורית</w:t>
      </w:r>
      <w:r w:rsidRPr="00366E6E">
        <w:rPr>
          <w:rtl/>
        </w:rPr>
        <w:t xml:space="preserve"> </w:t>
      </w:r>
      <w:r w:rsidRPr="00366E6E">
        <w:rPr>
          <w:rFonts w:hint="eastAsia"/>
          <w:rtl/>
        </w:rPr>
        <w:t>היא</w:t>
      </w:r>
      <w:r w:rsidRPr="00366E6E">
        <w:rPr>
          <w:rtl/>
        </w:rPr>
        <w:t xml:space="preserve"> </w:t>
      </w:r>
      <w:r w:rsidRPr="00366E6E">
        <w:rPr>
          <w:rFonts w:hint="eastAsia"/>
          <w:rtl/>
        </w:rPr>
        <w:t>ארץ</w:t>
      </w:r>
      <w:r w:rsidRPr="00366E6E">
        <w:rPr>
          <w:rtl/>
        </w:rPr>
        <w:t>-</w:t>
      </w:r>
      <w:r w:rsidRPr="00366E6E">
        <w:rPr>
          <w:rFonts w:hint="eastAsia"/>
          <w:rtl/>
        </w:rPr>
        <w:t>ישראל</w:t>
      </w:r>
      <w:r w:rsidRPr="00366E6E">
        <w:rPr>
          <w:rtl/>
        </w:rPr>
        <w:t xml:space="preserve">, </w:t>
      </w:r>
      <w:r w:rsidRPr="00366E6E">
        <w:rPr>
          <w:rFonts w:hint="eastAsia"/>
          <w:rtl/>
        </w:rPr>
        <w:t>ואם</w:t>
      </w:r>
      <w:r w:rsidRPr="00366E6E">
        <w:rPr>
          <w:rtl/>
        </w:rPr>
        <w:t xml:space="preserve"> </w:t>
      </w:r>
      <w:r w:rsidRPr="00366E6E">
        <w:rPr>
          <w:rFonts w:hint="eastAsia"/>
          <w:rtl/>
        </w:rPr>
        <w:t>אך</w:t>
      </w:r>
      <w:r w:rsidRPr="00366E6E">
        <w:rPr>
          <w:rtl/>
        </w:rPr>
        <w:t xml:space="preserve"> </w:t>
      </w:r>
      <w:r w:rsidRPr="00366E6E">
        <w:rPr>
          <w:rFonts w:hint="eastAsia"/>
          <w:rtl/>
        </w:rPr>
        <w:t>יבקש</w:t>
      </w:r>
      <w:r w:rsidRPr="00366E6E">
        <w:rPr>
          <w:rtl/>
        </w:rPr>
        <w:t xml:space="preserve"> </w:t>
      </w:r>
      <w:r w:rsidRPr="00366E6E">
        <w:rPr>
          <w:rFonts w:hint="eastAsia"/>
          <w:rtl/>
        </w:rPr>
        <w:t>לקיים</w:t>
      </w:r>
      <w:r w:rsidRPr="00366E6E">
        <w:rPr>
          <w:rtl/>
        </w:rPr>
        <w:t xml:space="preserve"> </w:t>
      </w:r>
      <w:r w:rsidRPr="00366E6E">
        <w:rPr>
          <w:rFonts w:hint="eastAsia"/>
          <w:rtl/>
        </w:rPr>
        <w:t>את</w:t>
      </w:r>
      <w:r w:rsidRPr="00366E6E">
        <w:rPr>
          <w:rtl/>
        </w:rPr>
        <w:t xml:space="preserve"> </w:t>
      </w:r>
      <w:r w:rsidRPr="00366E6E">
        <w:rPr>
          <w:rFonts w:hint="eastAsia"/>
          <w:rtl/>
        </w:rPr>
        <w:t>ציוויו</w:t>
      </w:r>
      <w:r w:rsidRPr="00366E6E">
        <w:rPr>
          <w:rtl/>
        </w:rPr>
        <w:t xml:space="preserve"> </w:t>
      </w:r>
      <w:r w:rsidRPr="00366E6E">
        <w:rPr>
          <w:rFonts w:hint="eastAsia"/>
          <w:rtl/>
        </w:rPr>
        <w:t>של</w:t>
      </w:r>
      <w:r w:rsidRPr="00366E6E">
        <w:rPr>
          <w:rtl/>
        </w:rPr>
        <w:t xml:space="preserve"> </w:t>
      </w:r>
      <w:r w:rsidRPr="00366E6E">
        <w:rPr>
          <w:rFonts w:hint="eastAsia"/>
          <w:rtl/>
        </w:rPr>
        <w:t>האל</w:t>
      </w:r>
      <w:r w:rsidRPr="00366E6E">
        <w:rPr>
          <w:rtl/>
        </w:rPr>
        <w:t xml:space="preserve"> </w:t>
      </w:r>
      <w:r w:rsidRPr="00366E6E">
        <w:rPr>
          <w:rFonts w:hint="eastAsia"/>
          <w:rtl/>
        </w:rPr>
        <w:t>לאברם</w:t>
      </w:r>
      <w:r w:rsidRPr="00366E6E">
        <w:rPr>
          <w:rtl/>
        </w:rPr>
        <w:t xml:space="preserve">, </w:t>
      </w:r>
      <w:r w:rsidRPr="00366E6E">
        <w:rPr>
          <w:rFonts w:hint="eastAsia"/>
          <w:rtl/>
        </w:rPr>
        <w:t>נקבל</w:t>
      </w:r>
      <w:r w:rsidRPr="00366E6E">
        <w:rPr>
          <w:rtl/>
        </w:rPr>
        <w:t xml:space="preserve"> </w:t>
      </w:r>
      <w:r w:rsidRPr="00366E6E">
        <w:rPr>
          <w:rFonts w:hint="eastAsia"/>
          <w:rtl/>
        </w:rPr>
        <w:t>אותו</w:t>
      </w:r>
      <w:r w:rsidRPr="00366E6E">
        <w:rPr>
          <w:rtl/>
        </w:rPr>
        <w:t xml:space="preserve"> </w:t>
      </w:r>
      <w:r w:rsidRPr="00366E6E">
        <w:rPr>
          <w:rFonts w:hint="eastAsia"/>
          <w:rtl/>
        </w:rPr>
        <w:t>בלב</w:t>
      </w:r>
      <w:r w:rsidRPr="00366E6E">
        <w:rPr>
          <w:rtl/>
        </w:rPr>
        <w:t xml:space="preserve"> </w:t>
      </w:r>
      <w:r w:rsidRPr="00366E6E">
        <w:rPr>
          <w:rFonts w:hint="eastAsia"/>
          <w:rtl/>
        </w:rPr>
        <w:t>פתוח</w:t>
      </w:r>
      <w:r w:rsidRPr="00366E6E">
        <w:rPr>
          <w:rtl/>
        </w:rPr>
        <w:t xml:space="preserve"> </w:t>
      </w:r>
      <w:r w:rsidRPr="00366E6E">
        <w:rPr>
          <w:rFonts w:hint="eastAsia"/>
          <w:rtl/>
        </w:rPr>
        <w:t>כְּקַבְּלֶנּוּ</w:t>
      </w:r>
      <w:r w:rsidRPr="00366E6E">
        <w:rPr>
          <w:rtl/>
        </w:rPr>
        <w:t xml:space="preserve"> </w:t>
      </w:r>
      <w:r w:rsidRPr="00366E6E">
        <w:rPr>
          <w:rFonts w:hint="eastAsia"/>
          <w:rtl/>
        </w:rPr>
        <w:t>בן</w:t>
      </w:r>
      <w:r w:rsidRPr="00366E6E">
        <w:rPr>
          <w:rtl/>
        </w:rPr>
        <w:t xml:space="preserve"> </w:t>
      </w:r>
      <w:r w:rsidRPr="00366E6E">
        <w:rPr>
          <w:rFonts w:hint="eastAsia"/>
          <w:rtl/>
        </w:rPr>
        <w:t>אובד</w:t>
      </w:r>
      <w:r>
        <w:rPr>
          <w:rFonts w:hint="cs"/>
          <w:rtl/>
        </w:rPr>
        <w:t xml:space="preserve">. [...] </w:t>
      </w:r>
      <w:r w:rsidRPr="00AE461C">
        <w:rPr>
          <w:rFonts w:hint="eastAsia"/>
          <w:rtl/>
        </w:rPr>
        <w:t>חוק</w:t>
      </w:r>
      <w:r w:rsidRPr="00AE461C">
        <w:rPr>
          <w:rtl/>
        </w:rPr>
        <w:t xml:space="preserve"> </w:t>
      </w:r>
      <w:r w:rsidRPr="00AE461C">
        <w:rPr>
          <w:rFonts w:hint="eastAsia"/>
          <w:rtl/>
        </w:rPr>
        <w:t>השבות</w:t>
      </w:r>
      <w:r w:rsidRPr="00AE461C">
        <w:rPr>
          <w:rtl/>
        </w:rPr>
        <w:t xml:space="preserve">, </w:t>
      </w:r>
      <w:r w:rsidRPr="00AE461C">
        <w:rPr>
          <w:rFonts w:hint="eastAsia"/>
          <w:rtl/>
        </w:rPr>
        <w:t>כשמו</w:t>
      </w:r>
      <w:r w:rsidRPr="00AE461C">
        <w:rPr>
          <w:rtl/>
        </w:rPr>
        <w:t>-</w:t>
      </w:r>
      <w:r w:rsidRPr="00AE461C">
        <w:rPr>
          <w:rFonts w:hint="eastAsia"/>
          <w:rtl/>
        </w:rPr>
        <w:t>כן</w:t>
      </w:r>
      <w:r w:rsidRPr="00AE461C">
        <w:rPr>
          <w:rtl/>
        </w:rPr>
        <w:t>-</w:t>
      </w:r>
      <w:r w:rsidRPr="00AE461C">
        <w:rPr>
          <w:rFonts w:hint="eastAsia"/>
          <w:rtl/>
        </w:rPr>
        <w:t>הוא</w:t>
      </w:r>
      <w:r w:rsidRPr="00AE461C">
        <w:rPr>
          <w:rtl/>
        </w:rPr>
        <w:t xml:space="preserve">, </w:t>
      </w:r>
      <w:r w:rsidRPr="00AE461C">
        <w:rPr>
          <w:rFonts w:hint="eastAsia"/>
          <w:rtl/>
        </w:rPr>
        <w:t>מַפְנֶה</w:t>
      </w:r>
      <w:r w:rsidRPr="00AE461C">
        <w:rPr>
          <w:rtl/>
        </w:rPr>
        <w:t xml:space="preserve"> </w:t>
      </w:r>
      <w:r w:rsidRPr="00AE461C">
        <w:rPr>
          <w:rFonts w:hint="eastAsia"/>
          <w:rtl/>
        </w:rPr>
        <w:t>הוא</w:t>
      </w:r>
      <w:r w:rsidRPr="00AE461C">
        <w:rPr>
          <w:rtl/>
        </w:rPr>
        <w:t xml:space="preserve"> </w:t>
      </w:r>
      <w:r w:rsidRPr="00AE461C">
        <w:rPr>
          <w:rFonts w:hint="eastAsia"/>
          <w:rtl/>
        </w:rPr>
        <w:t>פניו</w:t>
      </w:r>
      <w:r w:rsidRPr="00AE461C">
        <w:rPr>
          <w:rtl/>
        </w:rPr>
        <w:t xml:space="preserve"> </w:t>
      </w:r>
      <w:r w:rsidRPr="00AE461C">
        <w:rPr>
          <w:rFonts w:hint="eastAsia"/>
          <w:rtl/>
        </w:rPr>
        <w:t>אל</w:t>
      </w:r>
      <w:r w:rsidRPr="00AE461C">
        <w:rPr>
          <w:rtl/>
        </w:rPr>
        <w:t xml:space="preserve"> </w:t>
      </w:r>
      <w:r w:rsidRPr="00AE461C">
        <w:rPr>
          <w:rFonts w:hint="eastAsia"/>
          <w:rtl/>
        </w:rPr>
        <w:t>היהודים</w:t>
      </w:r>
      <w:r w:rsidRPr="00AE461C">
        <w:rPr>
          <w:rtl/>
        </w:rPr>
        <w:t xml:space="preserve"> </w:t>
      </w:r>
      <w:r w:rsidRPr="00AE461C">
        <w:rPr>
          <w:rFonts w:hint="eastAsia"/>
          <w:rtl/>
        </w:rPr>
        <w:t>באשר</w:t>
      </w:r>
      <w:r w:rsidRPr="00AE461C">
        <w:rPr>
          <w:rtl/>
        </w:rPr>
        <w:t>-</w:t>
      </w:r>
      <w:r w:rsidRPr="00AE461C">
        <w:rPr>
          <w:rFonts w:hint="eastAsia"/>
          <w:rtl/>
        </w:rPr>
        <w:t>הם</w:t>
      </w:r>
      <w:r w:rsidRPr="00AE461C">
        <w:rPr>
          <w:rtl/>
        </w:rPr>
        <w:t>-</w:t>
      </w:r>
      <w:r w:rsidRPr="00AE461C">
        <w:rPr>
          <w:rFonts w:hint="eastAsia"/>
          <w:rtl/>
        </w:rPr>
        <w:t>שם</w:t>
      </w:r>
      <w:r w:rsidRPr="00AE461C">
        <w:rPr>
          <w:rtl/>
        </w:rPr>
        <w:t xml:space="preserve">. </w:t>
      </w:r>
      <w:r w:rsidRPr="00AE461C">
        <w:rPr>
          <w:rFonts w:hint="eastAsia"/>
          <w:rtl/>
        </w:rPr>
        <w:t>מזמין</w:t>
      </w:r>
      <w:r w:rsidRPr="00AE461C">
        <w:rPr>
          <w:rtl/>
        </w:rPr>
        <w:t xml:space="preserve"> </w:t>
      </w:r>
      <w:r w:rsidRPr="00AE461C">
        <w:rPr>
          <w:rFonts w:hint="eastAsia"/>
          <w:rtl/>
        </w:rPr>
        <w:t>הוא</w:t>
      </w:r>
      <w:r w:rsidRPr="00AE461C">
        <w:rPr>
          <w:rtl/>
        </w:rPr>
        <w:t xml:space="preserve"> </w:t>
      </w:r>
      <w:r w:rsidRPr="00AE461C">
        <w:rPr>
          <w:rFonts w:hint="eastAsia"/>
          <w:rtl/>
        </w:rPr>
        <w:t>את</w:t>
      </w:r>
      <w:r w:rsidRPr="00AE461C">
        <w:rPr>
          <w:rtl/>
        </w:rPr>
        <w:t xml:space="preserve"> </w:t>
      </w:r>
      <w:r w:rsidRPr="00AE461C">
        <w:rPr>
          <w:rFonts w:hint="eastAsia"/>
          <w:rtl/>
        </w:rPr>
        <w:t>היהודים</w:t>
      </w:r>
      <w:r w:rsidRPr="00AE461C">
        <w:rPr>
          <w:rtl/>
        </w:rPr>
        <w:t xml:space="preserve"> </w:t>
      </w:r>
      <w:r w:rsidRPr="00AE461C">
        <w:rPr>
          <w:rFonts w:hint="eastAsia"/>
          <w:rtl/>
        </w:rPr>
        <w:t>לשוב</w:t>
      </w:r>
      <w:r w:rsidRPr="00AE461C">
        <w:rPr>
          <w:rtl/>
        </w:rPr>
        <w:t xml:space="preserve"> </w:t>
      </w:r>
      <w:r w:rsidRPr="00AE461C">
        <w:rPr>
          <w:rFonts w:hint="eastAsia"/>
          <w:rtl/>
        </w:rPr>
        <w:t>אל</w:t>
      </w:r>
      <w:r w:rsidRPr="00AE461C">
        <w:rPr>
          <w:rtl/>
        </w:rPr>
        <w:t xml:space="preserve"> </w:t>
      </w:r>
      <w:r w:rsidRPr="00AE461C">
        <w:rPr>
          <w:rFonts w:hint="eastAsia"/>
          <w:rtl/>
        </w:rPr>
        <w:t>ביתם</w:t>
      </w:r>
      <w:r w:rsidRPr="00AE461C">
        <w:rPr>
          <w:rtl/>
        </w:rPr>
        <w:t xml:space="preserve">, </w:t>
      </w:r>
      <w:r w:rsidRPr="00AE461C">
        <w:rPr>
          <w:rFonts w:hint="eastAsia"/>
          <w:rtl/>
        </w:rPr>
        <w:t>לחזור</w:t>
      </w:r>
      <w:r w:rsidRPr="00AE461C">
        <w:rPr>
          <w:rtl/>
        </w:rPr>
        <w:t xml:space="preserve"> </w:t>
      </w:r>
      <w:r w:rsidRPr="00AE461C">
        <w:rPr>
          <w:rFonts w:hint="eastAsia"/>
          <w:rtl/>
        </w:rPr>
        <w:t>ארצה</w:t>
      </w:r>
      <w:r w:rsidRPr="00AE461C">
        <w:rPr>
          <w:rtl/>
        </w:rPr>
        <w:t xml:space="preserve">. </w:t>
      </w:r>
      <w:r w:rsidRPr="00AE461C">
        <w:rPr>
          <w:rFonts w:hint="eastAsia"/>
          <w:rtl/>
        </w:rPr>
        <w:t>כל</w:t>
      </w:r>
      <w:r w:rsidRPr="00AE461C">
        <w:rPr>
          <w:rtl/>
        </w:rPr>
        <w:t xml:space="preserve"> </w:t>
      </w:r>
      <w:r w:rsidRPr="00AE461C">
        <w:rPr>
          <w:rFonts w:hint="eastAsia"/>
          <w:rtl/>
        </w:rPr>
        <w:t>יהודי</w:t>
      </w:r>
      <w:r w:rsidRPr="00AE461C">
        <w:rPr>
          <w:rtl/>
        </w:rPr>
        <w:t xml:space="preserve"> </w:t>
      </w:r>
      <w:r w:rsidRPr="00AE461C">
        <w:rPr>
          <w:rFonts w:hint="eastAsia"/>
          <w:rtl/>
        </w:rPr>
        <w:t>באשר</w:t>
      </w:r>
      <w:r w:rsidRPr="00AE461C">
        <w:rPr>
          <w:rtl/>
        </w:rPr>
        <w:t>-</w:t>
      </w:r>
      <w:r w:rsidRPr="00AE461C">
        <w:rPr>
          <w:rFonts w:hint="eastAsia"/>
          <w:rtl/>
        </w:rPr>
        <w:t>הוא</w:t>
      </w:r>
      <w:r w:rsidRPr="00AE461C">
        <w:rPr>
          <w:rtl/>
        </w:rPr>
        <w:t xml:space="preserve">, </w:t>
      </w:r>
      <w:r w:rsidRPr="00AE461C">
        <w:rPr>
          <w:rFonts w:hint="eastAsia"/>
          <w:rtl/>
        </w:rPr>
        <w:t>מחזיק</w:t>
      </w:r>
      <w:r w:rsidRPr="00AE461C">
        <w:rPr>
          <w:rtl/>
        </w:rPr>
        <w:t xml:space="preserve"> </w:t>
      </w:r>
      <w:r w:rsidRPr="00AE461C">
        <w:rPr>
          <w:rFonts w:hint="eastAsia"/>
          <w:rtl/>
        </w:rPr>
        <w:t>כל</w:t>
      </w:r>
      <w:r w:rsidRPr="00AE461C">
        <w:rPr>
          <w:rtl/>
        </w:rPr>
        <w:t>-</w:t>
      </w:r>
      <w:r w:rsidRPr="00AE461C">
        <w:rPr>
          <w:rFonts w:hint="eastAsia"/>
          <w:rtl/>
        </w:rPr>
        <w:t>העת</w:t>
      </w:r>
      <w:r w:rsidRPr="00AE461C">
        <w:rPr>
          <w:rtl/>
        </w:rPr>
        <w:t xml:space="preserve"> </w:t>
      </w:r>
      <w:r w:rsidRPr="00AE461C">
        <w:rPr>
          <w:rFonts w:hint="eastAsia"/>
          <w:rtl/>
        </w:rPr>
        <w:t>במעין</w:t>
      </w:r>
      <w:r w:rsidRPr="00AE461C">
        <w:rPr>
          <w:rtl/>
        </w:rPr>
        <w:t>-</w:t>
      </w:r>
      <w:r w:rsidRPr="00AE461C">
        <w:rPr>
          <w:rFonts w:hint="eastAsia"/>
          <w:rtl/>
        </w:rPr>
        <w:t>אופציה</w:t>
      </w:r>
      <w:r w:rsidRPr="00AE461C">
        <w:rPr>
          <w:rtl/>
        </w:rPr>
        <w:t>-</w:t>
      </w:r>
      <w:r w:rsidRPr="00AE461C">
        <w:rPr>
          <w:rFonts w:hint="eastAsia"/>
          <w:rtl/>
        </w:rPr>
        <w:t>למניה</w:t>
      </w:r>
      <w:r w:rsidRPr="00AE461C">
        <w:rPr>
          <w:rtl/>
        </w:rPr>
        <w:t xml:space="preserve"> </w:t>
      </w:r>
      <w:r w:rsidRPr="00AE461C">
        <w:rPr>
          <w:rFonts w:hint="eastAsia"/>
          <w:rtl/>
        </w:rPr>
        <w:t>הניתנת</w:t>
      </w:r>
      <w:r w:rsidRPr="00AE461C">
        <w:rPr>
          <w:rtl/>
        </w:rPr>
        <w:t xml:space="preserve"> </w:t>
      </w:r>
      <w:r w:rsidRPr="00AE461C">
        <w:rPr>
          <w:rFonts w:hint="eastAsia"/>
          <w:rtl/>
        </w:rPr>
        <w:t>למימוש</w:t>
      </w:r>
      <w:r w:rsidRPr="00AE461C">
        <w:rPr>
          <w:rtl/>
        </w:rPr>
        <w:t xml:space="preserve"> </w:t>
      </w:r>
      <w:r w:rsidRPr="00AE461C">
        <w:rPr>
          <w:rFonts w:hint="eastAsia"/>
          <w:rtl/>
        </w:rPr>
        <w:t>לרצונו</w:t>
      </w:r>
      <w:r w:rsidRPr="00AE461C">
        <w:rPr>
          <w:rtl/>
        </w:rPr>
        <w:t xml:space="preserve"> </w:t>
      </w:r>
      <w:r w:rsidRPr="00AE461C">
        <w:rPr>
          <w:rFonts w:hint="eastAsia"/>
          <w:rtl/>
        </w:rPr>
        <w:t>בלבד</w:t>
      </w:r>
      <w:r>
        <w:rPr>
          <w:rtl/>
        </w:rPr>
        <w:t xml:space="preserve">. </w:t>
      </w:r>
      <w:r>
        <w:rPr>
          <w:rFonts w:hint="cs"/>
          <w:rtl/>
        </w:rPr>
        <w:t>'</w:t>
      </w:r>
      <w:r w:rsidRPr="00AE461C">
        <w:rPr>
          <w:rFonts w:hint="eastAsia"/>
          <w:rtl/>
        </w:rPr>
        <w:t>חוק</w:t>
      </w:r>
      <w:r w:rsidRPr="00AE461C">
        <w:rPr>
          <w:rtl/>
        </w:rPr>
        <w:t xml:space="preserve"> </w:t>
      </w:r>
      <w:r w:rsidRPr="00AE461C">
        <w:rPr>
          <w:rFonts w:hint="eastAsia"/>
          <w:rtl/>
        </w:rPr>
        <w:t>השבות</w:t>
      </w:r>
      <w:r w:rsidRPr="00AE461C">
        <w:rPr>
          <w:rtl/>
        </w:rPr>
        <w:t xml:space="preserve"> </w:t>
      </w:r>
      <w:r w:rsidRPr="00AE461C">
        <w:rPr>
          <w:rFonts w:hint="eastAsia"/>
          <w:rtl/>
        </w:rPr>
        <w:t>בא</w:t>
      </w:r>
      <w:r w:rsidRPr="00AE461C">
        <w:rPr>
          <w:rtl/>
        </w:rPr>
        <w:t xml:space="preserve"> </w:t>
      </w:r>
      <w:r w:rsidRPr="00AE461C">
        <w:rPr>
          <w:rFonts w:hint="eastAsia"/>
          <w:rtl/>
        </w:rPr>
        <w:t>לקבוע</w:t>
      </w:r>
      <w:r w:rsidRPr="00AE461C">
        <w:rPr>
          <w:rtl/>
        </w:rPr>
        <w:t xml:space="preserve"> </w:t>
      </w:r>
      <w:r w:rsidRPr="00AE461C">
        <w:rPr>
          <w:rFonts w:hint="eastAsia"/>
          <w:rtl/>
        </w:rPr>
        <w:t>עיקרון</w:t>
      </w:r>
      <w:r w:rsidRPr="00AE461C">
        <w:rPr>
          <w:rtl/>
        </w:rPr>
        <w:t xml:space="preserve">, </w:t>
      </w:r>
      <w:r w:rsidRPr="00AE461C">
        <w:rPr>
          <w:rFonts w:hint="eastAsia"/>
          <w:rtl/>
        </w:rPr>
        <w:t>שכל</w:t>
      </w:r>
      <w:r w:rsidRPr="00AE461C">
        <w:rPr>
          <w:rtl/>
        </w:rPr>
        <w:t xml:space="preserve"> </w:t>
      </w:r>
      <w:r w:rsidRPr="00AE461C">
        <w:rPr>
          <w:rFonts w:hint="eastAsia"/>
          <w:rtl/>
        </w:rPr>
        <w:t>עם</w:t>
      </w:r>
      <w:r w:rsidRPr="00AE461C">
        <w:rPr>
          <w:rtl/>
        </w:rPr>
        <w:t xml:space="preserve"> </w:t>
      </w:r>
      <w:r w:rsidRPr="00AE461C">
        <w:rPr>
          <w:rFonts w:hint="eastAsia"/>
          <w:rtl/>
        </w:rPr>
        <w:t>ישראל</w:t>
      </w:r>
      <w:r w:rsidRPr="00AE461C">
        <w:rPr>
          <w:rtl/>
        </w:rPr>
        <w:t xml:space="preserve"> </w:t>
      </w:r>
      <w:r w:rsidRPr="00AE461C">
        <w:rPr>
          <w:rFonts w:hint="eastAsia"/>
          <w:rtl/>
        </w:rPr>
        <w:t>בעולם</w:t>
      </w:r>
      <w:r w:rsidRPr="00AE461C">
        <w:rPr>
          <w:rtl/>
        </w:rPr>
        <w:t xml:space="preserve"> </w:t>
      </w:r>
      <w:r w:rsidRPr="00AE461C">
        <w:rPr>
          <w:rFonts w:hint="eastAsia"/>
          <w:rtl/>
        </w:rPr>
        <w:t>כולו</w:t>
      </w:r>
      <w:r w:rsidRPr="00AE461C">
        <w:rPr>
          <w:rtl/>
        </w:rPr>
        <w:t xml:space="preserve"> </w:t>
      </w:r>
      <w:r w:rsidRPr="00AE461C">
        <w:rPr>
          <w:rFonts w:hint="eastAsia"/>
          <w:rtl/>
        </w:rPr>
        <w:t>יש</w:t>
      </w:r>
      <w:r w:rsidRPr="00AE461C">
        <w:rPr>
          <w:rtl/>
        </w:rPr>
        <w:t xml:space="preserve"> </w:t>
      </w:r>
      <w:r w:rsidRPr="00AE461C">
        <w:rPr>
          <w:rFonts w:hint="eastAsia"/>
          <w:rtl/>
        </w:rPr>
        <w:t>לו</w:t>
      </w:r>
      <w:r w:rsidRPr="00AE461C">
        <w:rPr>
          <w:rtl/>
        </w:rPr>
        <w:t xml:space="preserve"> </w:t>
      </w:r>
      <w:r w:rsidRPr="00AE461C">
        <w:rPr>
          <w:rFonts w:hint="eastAsia"/>
          <w:rtl/>
        </w:rPr>
        <w:t>חלק</w:t>
      </w:r>
      <w:r w:rsidRPr="00AE461C">
        <w:rPr>
          <w:rtl/>
        </w:rPr>
        <w:t xml:space="preserve"> </w:t>
      </w:r>
      <w:r w:rsidRPr="00AE461C">
        <w:rPr>
          <w:rFonts w:hint="eastAsia"/>
          <w:rtl/>
        </w:rPr>
        <w:t>ונחלה</w:t>
      </w:r>
      <w:r w:rsidRPr="00AE461C">
        <w:rPr>
          <w:rtl/>
        </w:rPr>
        <w:t xml:space="preserve"> </w:t>
      </w:r>
      <w:r w:rsidRPr="00AE461C">
        <w:rPr>
          <w:rFonts w:hint="eastAsia"/>
          <w:rtl/>
        </w:rPr>
        <w:t>בישראל</w:t>
      </w:r>
      <w:r w:rsidRPr="00AE461C">
        <w:rPr>
          <w:rtl/>
        </w:rPr>
        <w:t xml:space="preserve">, </w:t>
      </w:r>
      <w:r w:rsidRPr="00AE461C">
        <w:rPr>
          <w:rFonts w:hint="eastAsia"/>
          <w:rtl/>
        </w:rPr>
        <w:t>וכאשר</w:t>
      </w:r>
      <w:r w:rsidRPr="00AE461C">
        <w:rPr>
          <w:rtl/>
        </w:rPr>
        <w:t xml:space="preserve"> </w:t>
      </w:r>
      <w:r w:rsidRPr="00AE461C">
        <w:rPr>
          <w:rFonts w:hint="eastAsia"/>
          <w:rtl/>
        </w:rPr>
        <w:t>אדם</w:t>
      </w:r>
      <w:r w:rsidRPr="00AE461C">
        <w:rPr>
          <w:rtl/>
        </w:rPr>
        <w:t xml:space="preserve"> </w:t>
      </w:r>
      <w:r w:rsidRPr="00AE461C">
        <w:rPr>
          <w:rFonts w:hint="eastAsia"/>
          <w:rtl/>
        </w:rPr>
        <w:t>מישראל</w:t>
      </w:r>
      <w:r w:rsidRPr="00AE461C">
        <w:rPr>
          <w:rtl/>
        </w:rPr>
        <w:t xml:space="preserve"> </w:t>
      </w:r>
      <w:r w:rsidRPr="00AE461C">
        <w:rPr>
          <w:rFonts w:hint="eastAsia"/>
          <w:rtl/>
        </w:rPr>
        <w:t>רוצה</w:t>
      </w:r>
      <w:r w:rsidRPr="00AE461C">
        <w:rPr>
          <w:rtl/>
        </w:rPr>
        <w:t xml:space="preserve"> </w:t>
      </w:r>
      <w:r w:rsidRPr="00AE461C">
        <w:rPr>
          <w:rFonts w:hint="eastAsia"/>
          <w:rtl/>
        </w:rPr>
        <w:t>לחזור</w:t>
      </w:r>
      <w:r w:rsidRPr="00AE461C">
        <w:rPr>
          <w:rtl/>
        </w:rPr>
        <w:t xml:space="preserve"> </w:t>
      </w:r>
      <w:r w:rsidRPr="00AE461C">
        <w:rPr>
          <w:rFonts w:hint="eastAsia"/>
          <w:rtl/>
        </w:rPr>
        <w:t>למולדתו</w:t>
      </w:r>
      <w:r w:rsidRPr="00AE461C">
        <w:rPr>
          <w:rtl/>
        </w:rPr>
        <w:t xml:space="preserve">, </w:t>
      </w:r>
      <w:r w:rsidRPr="00AE461C">
        <w:rPr>
          <w:rFonts w:hint="eastAsia"/>
          <w:rtl/>
        </w:rPr>
        <w:t>לישראל</w:t>
      </w:r>
      <w:r w:rsidRPr="00AE461C">
        <w:rPr>
          <w:rtl/>
        </w:rPr>
        <w:t xml:space="preserve">, </w:t>
      </w:r>
      <w:r w:rsidRPr="00AE461C">
        <w:rPr>
          <w:rFonts w:hint="eastAsia"/>
          <w:rtl/>
        </w:rPr>
        <w:t>הוא</w:t>
      </w:r>
      <w:r w:rsidRPr="00AE461C">
        <w:rPr>
          <w:rtl/>
        </w:rPr>
        <w:t xml:space="preserve"> </w:t>
      </w:r>
      <w:r w:rsidRPr="00AE461C">
        <w:rPr>
          <w:rFonts w:hint="eastAsia"/>
          <w:rtl/>
        </w:rPr>
        <w:t>איננו</w:t>
      </w:r>
      <w:r w:rsidRPr="00AE461C">
        <w:rPr>
          <w:rtl/>
        </w:rPr>
        <w:t xml:space="preserve"> </w:t>
      </w:r>
      <w:r w:rsidRPr="00AE461C">
        <w:rPr>
          <w:rFonts w:hint="eastAsia"/>
          <w:rtl/>
        </w:rPr>
        <w:t>בבחינת</w:t>
      </w:r>
      <w:r w:rsidRPr="00AE461C">
        <w:rPr>
          <w:rtl/>
        </w:rPr>
        <w:t xml:space="preserve"> </w:t>
      </w:r>
      <w:r w:rsidRPr="00AE461C">
        <w:rPr>
          <w:rFonts w:hint="eastAsia"/>
          <w:rtl/>
        </w:rPr>
        <w:t>מהגר</w:t>
      </w:r>
      <w:r w:rsidRPr="00AE461C">
        <w:rPr>
          <w:rtl/>
        </w:rPr>
        <w:t xml:space="preserve">, </w:t>
      </w:r>
      <w:r w:rsidRPr="00AE461C">
        <w:rPr>
          <w:rFonts w:hint="eastAsia"/>
          <w:rtl/>
        </w:rPr>
        <w:t>אלא</w:t>
      </w:r>
      <w:r w:rsidRPr="00AE461C">
        <w:rPr>
          <w:rtl/>
        </w:rPr>
        <w:t xml:space="preserve"> </w:t>
      </w:r>
      <w:r w:rsidRPr="00AE461C">
        <w:rPr>
          <w:rFonts w:hint="eastAsia"/>
          <w:rtl/>
        </w:rPr>
        <w:t>בבחינת</w:t>
      </w:r>
      <w:r w:rsidRPr="00AE461C">
        <w:rPr>
          <w:rtl/>
        </w:rPr>
        <w:t xml:space="preserve"> </w:t>
      </w:r>
      <w:r w:rsidRPr="00AE461C">
        <w:rPr>
          <w:rFonts w:hint="eastAsia"/>
          <w:rtl/>
        </w:rPr>
        <w:t>שב</w:t>
      </w:r>
      <w:r w:rsidRPr="00AE461C">
        <w:rPr>
          <w:rtl/>
        </w:rPr>
        <w:t xml:space="preserve"> </w:t>
      </w:r>
      <w:r w:rsidRPr="00AE461C">
        <w:rPr>
          <w:rFonts w:hint="eastAsia"/>
          <w:rtl/>
        </w:rPr>
        <w:t>למולדתו</w:t>
      </w:r>
      <w:r>
        <w:rPr>
          <w:rFonts w:hint="cs"/>
          <w:rtl/>
        </w:rPr>
        <w:t>'"</w:t>
      </w:r>
      <w:r>
        <w:rPr>
          <w:rtl/>
        </w:rPr>
        <w:t xml:space="preserve"> </w:t>
      </w:r>
      <w:r>
        <w:rPr>
          <w:rFonts w:hint="cs"/>
          <w:rtl/>
        </w:rPr>
        <w:t xml:space="preserve">(שם, עמ' 758-757; ראו גם: </w:t>
      </w:r>
      <w:r w:rsidRPr="000638F5">
        <w:rPr>
          <w:rtl/>
        </w:rPr>
        <w:t xml:space="preserve">בג"ץ 1188/10 </w:t>
      </w:r>
      <w:r w:rsidRPr="00CF37F7">
        <w:rPr>
          <w:rFonts w:ascii="Century" w:hAnsi="Century" w:cs="Miriam"/>
          <w:b/>
          <w:spacing w:val="0"/>
          <w:szCs w:val="24"/>
          <w:rtl/>
        </w:rPr>
        <w:t>פוזרסקי נ' משרד הפנים</w:t>
      </w:r>
      <w:r w:rsidRPr="000638F5">
        <w:rPr>
          <w:rFonts w:hint="cs"/>
          <w:rtl/>
        </w:rPr>
        <w:t>, פסקה 20</w:t>
      </w:r>
      <w:r w:rsidRPr="000638F5">
        <w:rPr>
          <w:rtl/>
        </w:rPr>
        <w:t xml:space="preserve"> (31.7.2013)</w:t>
      </w:r>
      <w:r w:rsidRPr="000638F5">
        <w:rPr>
          <w:rFonts w:hint="cs"/>
          <w:rtl/>
        </w:rPr>
        <w:t xml:space="preserve"> (להלן: עניין </w:t>
      </w:r>
      <w:r w:rsidRPr="00CF37F7">
        <w:rPr>
          <w:rFonts w:ascii="Century" w:hAnsi="Century" w:cs="Miriam" w:hint="cs"/>
          <w:b/>
          <w:spacing w:val="0"/>
          <w:szCs w:val="24"/>
          <w:rtl/>
        </w:rPr>
        <w:t>פוזרסקי</w:t>
      </w:r>
      <w:r w:rsidRPr="000638F5">
        <w:rPr>
          <w:rFonts w:hint="cs"/>
          <w:rtl/>
        </w:rPr>
        <w:t>);</w:t>
      </w:r>
      <w:r w:rsidRPr="000638F5">
        <w:rPr>
          <w:rFonts w:hint="eastAsia"/>
          <w:rtl/>
        </w:rPr>
        <w:t xml:space="preserve"> </w:t>
      </w:r>
      <w:r>
        <w:rPr>
          <w:rFonts w:hint="cs"/>
          <w:rtl/>
        </w:rPr>
        <w:t xml:space="preserve">עניין </w:t>
      </w:r>
      <w:r w:rsidRPr="009A62F2">
        <w:rPr>
          <w:rFonts w:ascii="Century" w:hAnsi="Century" w:cs="Miriam" w:hint="cs"/>
          <w:b/>
          <w:spacing w:val="0"/>
          <w:szCs w:val="24"/>
          <w:rtl/>
        </w:rPr>
        <w:t>טושביים</w:t>
      </w:r>
      <w:r>
        <w:rPr>
          <w:rFonts w:hint="cs"/>
          <w:rtl/>
        </w:rPr>
        <w:t xml:space="preserve">, עמ' 427). </w:t>
      </w:r>
    </w:p>
    <w:p w:rsidR="00BA03D0" w:rsidRDefault="00BA03D0" w:rsidP="00BA03D0">
      <w:pPr>
        <w:pStyle w:val="Ruller41"/>
        <w:rPr>
          <w:rtl/>
        </w:rPr>
      </w:pPr>
    </w:p>
    <w:p w:rsidR="00BA03D0" w:rsidRDefault="00BA03D0" w:rsidP="00BA03D0">
      <w:pPr>
        <w:pStyle w:val="Ruller41"/>
        <w:rPr>
          <w:rtl/>
        </w:rPr>
      </w:pPr>
      <w:r>
        <w:rPr>
          <w:rtl/>
        </w:rPr>
        <w:tab/>
      </w:r>
      <w:r>
        <w:rPr>
          <w:rFonts w:hint="cs"/>
          <w:rtl/>
        </w:rPr>
        <w:t xml:space="preserve">ודברים דומים נאמרו על ידי ראש הממשלה דאז דוד בן גוריון, בעת העלאת החוק לקריאה ראשונה במליאת הכנסת: </w:t>
      </w:r>
    </w:p>
    <w:p w:rsidR="00BA03D0" w:rsidRDefault="00BA03D0" w:rsidP="00BA03D0">
      <w:pPr>
        <w:pStyle w:val="Ruller41"/>
        <w:rPr>
          <w:rtl/>
        </w:rPr>
      </w:pPr>
    </w:p>
    <w:p w:rsidR="00BA03D0" w:rsidRPr="00522CF6" w:rsidRDefault="00BA03D0" w:rsidP="00BA03D0">
      <w:pPr>
        <w:pStyle w:val="Ruller5"/>
        <w:rPr>
          <w:rtl/>
        </w:rPr>
      </w:pPr>
      <w:r>
        <w:rPr>
          <w:rFonts w:hint="cs"/>
          <w:rtl/>
        </w:rPr>
        <w:t>"</w:t>
      </w:r>
      <w:r>
        <w:rPr>
          <w:rFonts w:hint="eastAsia"/>
          <w:rtl/>
        </w:rPr>
        <w:t>הוא</w:t>
      </w:r>
      <w:r>
        <w:rPr>
          <w:rtl/>
        </w:rPr>
        <w:t xml:space="preserve"> </w:t>
      </w:r>
      <w:r>
        <w:rPr>
          <w:rFonts w:hint="eastAsia"/>
          <w:rtl/>
        </w:rPr>
        <w:t>מכיל</w:t>
      </w:r>
      <w:r>
        <w:rPr>
          <w:rtl/>
        </w:rPr>
        <w:t xml:space="preserve"> </w:t>
      </w:r>
      <w:r>
        <w:rPr>
          <w:rFonts w:hint="eastAsia"/>
          <w:rtl/>
        </w:rPr>
        <w:t>ייעוד</w:t>
      </w:r>
      <w:r>
        <w:rPr>
          <w:rtl/>
        </w:rPr>
        <w:t xml:space="preserve"> </w:t>
      </w:r>
      <w:r>
        <w:rPr>
          <w:rFonts w:hint="eastAsia"/>
          <w:rtl/>
        </w:rPr>
        <w:t>מרכזי</w:t>
      </w:r>
      <w:r>
        <w:rPr>
          <w:rtl/>
        </w:rPr>
        <w:t xml:space="preserve"> </w:t>
      </w:r>
      <w:r>
        <w:rPr>
          <w:rFonts w:hint="eastAsia"/>
          <w:rtl/>
        </w:rPr>
        <w:t>של</w:t>
      </w:r>
      <w:r>
        <w:rPr>
          <w:rtl/>
        </w:rPr>
        <w:t xml:space="preserve"> </w:t>
      </w:r>
      <w:r>
        <w:rPr>
          <w:rFonts w:hint="eastAsia"/>
          <w:rtl/>
        </w:rPr>
        <w:t>מדינתנו</w:t>
      </w:r>
      <w:r>
        <w:rPr>
          <w:rtl/>
        </w:rPr>
        <w:t xml:space="preserve">, </w:t>
      </w:r>
      <w:r>
        <w:rPr>
          <w:rFonts w:hint="eastAsia"/>
          <w:rtl/>
        </w:rPr>
        <w:t>הייעוד</w:t>
      </w:r>
      <w:r>
        <w:rPr>
          <w:rtl/>
        </w:rPr>
        <w:t xml:space="preserve"> </w:t>
      </w:r>
      <w:r>
        <w:rPr>
          <w:rFonts w:hint="eastAsia"/>
          <w:rtl/>
        </w:rPr>
        <w:t>של</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חוק</w:t>
      </w:r>
      <w:r>
        <w:rPr>
          <w:rtl/>
        </w:rPr>
        <w:t xml:space="preserve"> </w:t>
      </w:r>
      <w:r>
        <w:rPr>
          <w:rFonts w:hint="eastAsia"/>
          <w:rtl/>
        </w:rPr>
        <w:t>זה</w:t>
      </w:r>
      <w:r>
        <w:rPr>
          <w:rtl/>
        </w:rPr>
        <w:t xml:space="preserve"> </w:t>
      </w:r>
      <w:r>
        <w:rPr>
          <w:rFonts w:hint="eastAsia"/>
          <w:rtl/>
        </w:rPr>
        <w:t>קובע</w:t>
      </w:r>
      <w:r>
        <w:rPr>
          <w:rtl/>
        </w:rPr>
        <w:t xml:space="preserve">, </w:t>
      </w:r>
      <w:r>
        <w:rPr>
          <w:rFonts w:hint="eastAsia"/>
          <w:rtl/>
        </w:rPr>
        <w:t>שלא</w:t>
      </w:r>
      <w:r>
        <w:rPr>
          <w:rtl/>
        </w:rPr>
        <w:t xml:space="preserve"> </w:t>
      </w:r>
      <w:r>
        <w:rPr>
          <w:rFonts w:hint="eastAsia"/>
          <w:rtl/>
        </w:rPr>
        <w:t>המדינה</w:t>
      </w:r>
      <w:r>
        <w:rPr>
          <w:rtl/>
        </w:rPr>
        <w:t xml:space="preserve"> </w:t>
      </w:r>
      <w:r>
        <w:rPr>
          <w:rFonts w:hint="eastAsia"/>
          <w:rtl/>
        </w:rPr>
        <w:t>מקנה</w:t>
      </w:r>
      <w:r>
        <w:rPr>
          <w:rtl/>
        </w:rPr>
        <w:t xml:space="preserve"> </w:t>
      </w:r>
      <w:r>
        <w:rPr>
          <w:rFonts w:hint="eastAsia"/>
          <w:rtl/>
        </w:rPr>
        <w:t>ליהודי</w:t>
      </w:r>
      <w:r>
        <w:rPr>
          <w:rtl/>
        </w:rPr>
        <w:t xml:space="preserve"> </w:t>
      </w:r>
      <w:r>
        <w:rPr>
          <w:rFonts w:hint="eastAsia"/>
          <w:rtl/>
        </w:rPr>
        <w:t>חוץ</w:t>
      </w:r>
      <w:r>
        <w:rPr>
          <w:rtl/>
        </w:rPr>
        <w:t>-</w:t>
      </w:r>
      <w:r>
        <w:rPr>
          <w:rFonts w:hint="eastAsia"/>
          <w:rtl/>
        </w:rPr>
        <w:t>לארץ</w:t>
      </w:r>
      <w:r>
        <w:rPr>
          <w:rtl/>
        </w:rPr>
        <w:t xml:space="preserve"> </w:t>
      </w:r>
      <w:r>
        <w:rPr>
          <w:rFonts w:hint="eastAsia"/>
          <w:rtl/>
        </w:rPr>
        <w:t>זכות</w:t>
      </w:r>
      <w:r>
        <w:rPr>
          <w:rtl/>
        </w:rPr>
        <w:t xml:space="preserve"> </w:t>
      </w:r>
      <w:r>
        <w:rPr>
          <w:rFonts w:hint="eastAsia"/>
          <w:rtl/>
        </w:rPr>
        <w:t>להתיישב</w:t>
      </w:r>
      <w:r>
        <w:rPr>
          <w:rtl/>
        </w:rPr>
        <w:t xml:space="preserve"> </w:t>
      </w:r>
      <w:r>
        <w:rPr>
          <w:rFonts w:hint="eastAsia"/>
          <w:rtl/>
        </w:rPr>
        <w:t>במדינה</w:t>
      </w:r>
      <w:r>
        <w:rPr>
          <w:rtl/>
        </w:rPr>
        <w:t xml:space="preserve">, </w:t>
      </w:r>
      <w:r>
        <w:rPr>
          <w:rFonts w:hint="eastAsia"/>
          <w:rtl/>
        </w:rPr>
        <w:t>אלא</w:t>
      </w:r>
      <w:r>
        <w:rPr>
          <w:rtl/>
        </w:rPr>
        <w:t xml:space="preserve"> </w:t>
      </w:r>
      <w:r>
        <w:rPr>
          <w:rFonts w:hint="eastAsia"/>
          <w:rtl/>
        </w:rPr>
        <w:t>זכות</w:t>
      </w:r>
      <w:r>
        <w:rPr>
          <w:rtl/>
        </w:rPr>
        <w:t xml:space="preserve"> </w:t>
      </w:r>
      <w:r>
        <w:rPr>
          <w:rFonts w:hint="eastAsia"/>
          <w:rtl/>
        </w:rPr>
        <w:t>זו</w:t>
      </w:r>
      <w:r>
        <w:rPr>
          <w:rtl/>
        </w:rPr>
        <w:t xml:space="preserve"> </w:t>
      </w:r>
      <w:r>
        <w:rPr>
          <w:rFonts w:hint="eastAsia"/>
          <w:rtl/>
        </w:rPr>
        <w:t>טבועה</w:t>
      </w:r>
      <w:r>
        <w:rPr>
          <w:rtl/>
        </w:rPr>
        <w:t xml:space="preserve"> </w:t>
      </w:r>
      <w:r>
        <w:rPr>
          <w:rFonts w:hint="eastAsia"/>
          <w:rtl/>
        </w:rPr>
        <w:t>בו</w:t>
      </w:r>
      <w:r>
        <w:rPr>
          <w:rtl/>
        </w:rPr>
        <w:t xml:space="preserve"> </w:t>
      </w:r>
      <w:r>
        <w:rPr>
          <w:rFonts w:hint="eastAsia"/>
          <w:rtl/>
        </w:rPr>
        <w:t>באשר</w:t>
      </w:r>
      <w:r>
        <w:rPr>
          <w:rtl/>
        </w:rPr>
        <w:t xml:space="preserve"> </w:t>
      </w:r>
      <w:r>
        <w:rPr>
          <w:rFonts w:hint="eastAsia"/>
          <w:rtl/>
        </w:rPr>
        <w:t>הוא</w:t>
      </w:r>
      <w:r>
        <w:rPr>
          <w:rtl/>
        </w:rPr>
        <w:t xml:space="preserve"> </w:t>
      </w:r>
      <w:r>
        <w:rPr>
          <w:rFonts w:hint="eastAsia"/>
          <w:rtl/>
        </w:rPr>
        <w:t>יהודי</w:t>
      </w:r>
      <w:r>
        <w:rPr>
          <w:rtl/>
        </w:rPr>
        <w:t xml:space="preserve">, </w:t>
      </w:r>
      <w:r>
        <w:rPr>
          <w:rFonts w:hint="eastAsia"/>
          <w:rtl/>
        </w:rPr>
        <w:t>אם</w:t>
      </w:r>
      <w:r>
        <w:rPr>
          <w:rtl/>
        </w:rPr>
        <w:t xml:space="preserve"> </w:t>
      </w:r>
      <w:r>
        <w:rPr>
          <w:rFonts w:hint="eastAsia"/>
          <w:rtl/>
        </w:rPr>
        <w:t>רק</w:t>
      </w:r>
      <w:r>
        <w:rPr>
          <w:rtl/>
        </w:rPr>
        <w:t xml:space="preserve"> </w:t>
      </w:r>
      <w:r>
        <w:rPr>
          <w:rFonts w:hint="eastAsia"/>
          <w:rtl/>
        </w:rPr>
        <w:t>יש</w:t>
      </w:r>
      <w:r>
        <w:rPr>
          <w:rtl/>
        </w:rPr>
        <w:t xml:space="preserve"> </w:t>
      </w:r>
      <w:r>
        <w:rPr>
          <w:rFonts w:hint="eastAsia"/>
          <w:rtl/>
        </w:rPr>
        <w:t>ברצונו</w:t>
      </w:r>
      <w:r>
        <w:rPr>
          <w:rtl/>
        </w:rPr>
        <w:t xml:space="preserve"> </w:t>
      </w:r>
      <w:r>
        <w:rPr>
          <w:rFonts w:hint="eastAsia"/>
          <w:rtl/>
        </w:rPr>
        <w:t>להצטרף</w:t>
      </w:r>
      <w:r>
        <w:rPr>
          <w:rtl/>
        </w:rPr>
        <w:t xml:space="preserve"> </w:t>
      </w:r>
      <w:r>
        <w:rPr>
          <w:rFonts w:hint="eastAsia"/>
          <w:rtl/>
        </w:rPr>
        <w:t>לישובה</w:t>
      </w:r>
      <w:r>
        <w:rPr>
          <w:rtl/>
        </w:rPr>
        <w:t xml:space="preserve"> </w:t>
      </w:r>
      <w:r>
        <w:rPr>
          <w:rFonts w:hint="eastAsia"/>
          <w:rtl/>
        </w:rPr>
        <w:t>של</w:t>
      </w:r>
      <w:r>
        <w:rPr>
          <w:rtl/>
        </w:rPr>
        <w:t xml:space="preserve"> </w:t>
      </w:r>
      <w:r>
        <w:rPr>
          <w:rFonts w:hint="eastAsia"/>
          <w:rtl/>
        </w:rPr>
        <w:t>הארץ</w:t>
      </w:r>
      <w:r>
        <w:rPr>
          <w:rtl/>
        </w:rPr>
        <w:t>...</w:t>
      </w:r>
      <w:r>
        <w:rPr>
          <w:rFonts w:hint="cs"/>
          <w:rtl/>
        </w:rPr>
        <w:t xml:space="preserve"> זכות זו קדמה למדינת-ישראל, והיא-היא שבנתה המדינה" (שם, עמ' 2037-2036</w:t>
      </w:r>
      <w:r>
        <w:rPr>
          <w:rtl/>
        </w:rPr>
        <w:t>)</w:t>
      </w:r>
      <w:r>
        <w:rPr>
          <w:rFonts w:hint="cs"/>
          <w:rtl/>
        </w:rPr>
        <w:t>.</w:t>
      </w:r>
    </w:p>
    <w:p w:rsidR="00BA03D0" w:rsidRDefault="00BA03D0" w:rsidP="00BA03D0">
      <w:pPr>
        <w:pStyle w:val="Ruller4"/>
        <w:numPr>
          <w:ilvl w:val="0"/>
          <w:numId w:val="0"/>
        </w:numPr>
        <w:rPr>
          <w:rtl/>
        </w:rPr>
      </w:pPr>
    </w:p>
    <w:p w:rsidR="00BA03D0" w:rsidRDefault="00BA03D0" w:rsidP="00BA03D0">
      <w:pPr>
        <w:pStyle w:val="Ruller4"/>
        <w:textAlignment w:val="baseline"/>
        <w:rPr>
          <w:rFonts w:ascii="FrankRuehl" w:hAnsi="FrankRuehl"/>
          <w:rtl/>
        </w:rPr>
      </w:pPr>
      <w:r>
        <w:rPr>
          <w:rFonts w:hint="cs"/>
          <w:rtl/>
        </w:rPr>
        <w:t xml:space="preserve">חוק השבות, המהווה כאמור כלי מרכזי ביותר לקיבוץ גלויות ולהגשמת המטרה של עליית העם היהודי לארצו, מביא לידי ביטוי את אחד מעקרונות היסוד של מדינת ישראל </w:t>
      </w:r>
      <w:r>
        <w:rPr>
          <w:rtl/>
        </w:rPr>
        <w:t>–</w:t>
      </w:r>
      <w:r>
        <w:rPr>
          <w:rFonts w:hint="cs"/>
          <w:rtl/>
        </w:rPr>
        <w:t xml:space="preserve"> היותה מדינה </w:t>
      </w:r>
      <w:r w:rsidRPr="00956BD8">
        <w:rPr>
          <w:rFonts w:ascii="Century" w:hAnsi="Century" w:cs="Miriam" w:hint="cs"/>
          <w:b/>
          <w:spacing w:val="0"/>
          <w:sz w:val="22"/>
          <w:szCs w:val="24"/>
          <w:rtl/>
        </w:rPr>
        <w:t>יהודית</w:t>
      </w:r>
      <w:r>
        <w:rPr>
          <w:rFonts w:hint="cs"/>
          <w:rtl/>
        </w:rPr>
        <w:t>. עיקרון זה מלווה את פסיקתנו כבר מראשיתה בתצורות שונות, והוא קיבל ביטוי חוקתי במסגרת סעיף 1א לחוק יסוד: כבוד האדם וחירותו הקובע כי חוק היסוד נועד "</w:t>
      </w:r>
      <w:r w:rsidRPr="00597B8A">
        <w:rPr>
          <w:rFonts w:hint="eastAsia"/>
          <w:rtl/>
        </w:rPr>
        <w:t>להגן</w:t>
      </w:r>
      <w:r w:rsidRPr="00597B8A">
        <w:rPr>
          <w:rtl/>
        </w:rPr>
        <w:t xml:space="preserve"> </w:t>
      </w:r>
      <w:r w:rsidRPr="00597B8A">
        <w:rPr>
          <w:rFonts w:hint="eastAsia"/>
          <w:rtl/>
        </w:rPr>
        <w:t>על</w:t>
      </w:r>
      <w:r w:rsidRPr="00597B8A">
        <w:rPr>
          <w:rtl/>
        </w:rPr>
        <w:t xml:space="preserve"> </w:t>
      </w:r>
      <w:r w:rsidRPr="00597B8A">
        <w:rPr>
          <w:rFonts w:hint="eastAsia"/>
          <w:rtl/>
        </w:rPr>
        <w:t>כבוד</w:t>
      </w:r>
      <w:r w:rsidRPr="00597B8A">
        <w:rPr>
          <w:rtl/>
        </w:rPr>
        <w:t xml:space="preserve"> </w:t>
      </w:r>
      <w:r w:rsidRPr="00597B8A">
        <w:rPr>
          <w:rFonts w:hint="eastAsia"/>
          <w:rtl/>
        </w:rPr>
        <w:t>האדם</w:t>
      </w:r>
      <w:r w:rsidRPr="00597B8A">
        <w:rPr>
          <w:rtl/>
        </w:rPr>
        <w:t xml:space="preserve"> </w:t>
      </w:r>
      <w:r w:rsidRPr="00597B8A">
        <w:rPr>
          <w:rFonts w:hint="eastAsia"/>
          <w:rtl/>
        </w:rPr>
        <w:t>וחירותו</w:t>
      </w:r>
      <w:r w:rsidRPr="00597B8A">
        <w:rPr>
          <w:rtl/>
        </w:rPr>
        <w:t xml:space="preserve">, </w:t>
      </w:r>
      <w:r w:rsidRPr="00597B8A">
        <w:rPr>
          <w:rFonts w:hint="eastAsia"/>
          <w:rtl/>
        </w:rPr>
        <w:t>כדי</w:t>
      </w:r>
      <w:r w:rsidRPr="00597B8A">
        <w:rPr>
          <w:rtl/>
        </w:rPr>
        <w:t xml:space="preserve"> </w:t>
      </w:r>
      <w:r w:rsidRPr="00597B8A">
        <w:rPr>
          <w:rFonts w:hint="eastAsia"/>
          <w:rtl/>
        </w:rPr>
        <w:t>לעגן</w:t>
      </w:r>
      <w:r w:rsidRPr="00597B8A">
        <w:rPr>
          <w:rtl/>
        </w:rPr>
        <w:t xml:space="preserve"> </w:t>
      </w:r>
      <w:r w:rsidRPr="00597B8A">
        <w:rPr>
          <w:rFonts w:hint="eastAsia"/>
          <w:rtl/>
        </w:rPr>
        <w:t>בחוק</w:t>
      </w:r>
      <w:r w:rsidRPr="00597B8A">
        <w:rPr>
          <w:rtl/>
        </w:rPr>
        <w:t>-</w:t>
      </w:r>
      <w:r w:rsidRPr="00597B8A">
        <w:rPr>
          <w:rFonts w:hint="eastAsia"/>
          <w:rtl/>
        </w:rPr>
        <w:t>יסוד</w:t>
      </w:r>
      <w:r w:rsidRPr="00597B8A">
        <w:rPr>
          <w:rtl/>
        </w:rPr>
        <w:t xml:space="preserve"> </w:t>
      </w:r>
      <w:r w:rsidRPr="00597B8A">
        <w:rPr>
          <w:rFonts w:hint="eastAsia"/>
          <w:rtl/>
        </w:rPr>
        <w:t>את</w:t>
      </w:r>
      <w:r w:rsidRPr="00597B8A">
        <w:rPr>
          <w:rtl/>
        </w:rPr>
        <w:t xml:space="preserve"> </w:t>
      </w:r>
      <w:r w:rsidRPr="00597B8A">
        <w:rPr>
          <w:rFonts w:hint="eastAsia"/>
          <w:rtl/>
        </w:rPr>
        <w:t>ערכיה</w:t>
      </w:r>
      <w:r w:rsidRPr="00597B8A">
        <w:rPr>
          <w:rtl/>
        </w:rPr>
        <w:t xml:space="preserve"> </w:t>
      </w:r>
      <w:r w:rsidRPr="00597B8A">
        <w:rPr>
          <w:rFonts w:hint="eastAsia"/>
          <w:rtl/>
        </w:rPr>
        <w:t>של</w:t>
      </w:r>
      <w:r w:rsidRPr="00597B8A">
        <w:rPr>
          <w:rtl/>
        </w:rPr>
        <w:t xml:space="preserve"> </w:t>
      </w:r>
      <w:r w:rsidRPr="00597B8A">
        <w:rPr>
          <w:rFonts w:hint="eastAsia"/>
          <w:rtl/>
        </w:rPr>
        <w:t>מדינת</w:t>
      </w:r>
      <w:r w:rsidRPr="00597B8A">
        <w:rPr>
          <w:rtl/>
        </w:rPr>
        <w:t xml:space="preserve"> </w:t>
      </w:r>
      <w:r w:rsidRPr="00597B8A">
        <w:rPr>
          <w:rFonts w:hint="eastAsia"/>
          <w:rtl/>
        </w:rPr>
        <w:t>ישראל</w:t>
      </w:r>
      <w:r w:rsidRPr="00597B8A">
        <w:rPr>
          <w:rtl/>
        </w:rPr>
        <w:t xml:space="preserve"> </w:t>
      </w:r>
      <w:r w:rsidRPr="00597B8A">
        <w:rPr>
          <w:rFonts w:hint="eastAsia"/>
          <w:rtl/>
        </w:rPr>
        <w:t>כמדינה</w:t>
      </w:r>
      <w:r w:rsidRPr="00597B8A">
        <w:rPr>
          <w:rtl/>
        </w:rPr>
        <w:t xml:space="preserve"> </w:t>
      </w:r>
      <w:r w:rsidRPr="00597B8A">
        <w:rPr>
          <w:rFonts w:hint="eastAsia"/>
          <w:rtl/>
        </w:rPr>
        <w:t>יהודית</w:t>
      </w:r>
      <w:r w:rsidRPr="00597B8A">
        <w:rPr>
          <w:rtl/>
        </w:rPr>
        <w:t xml:space="preserve"> </w:t>
      </w:r>
      <w:r w:rsidRPr="00597B8A">
        <w:rPr>
          <w:rFonts w:hint="eastAsia"/>
          <w:rtl/>
        </w:rPr>
        <w:t>ודמוקרטית</w:t>
      </w:r>
      <w:r>
        <w:rPr>
          <w:rFonts w:hint="cs"/>
          <w:rtl/>
        </w:rPr>
        <w:t xml:space="preserve">". כשלושה עשורים לאחר מכן העניק המחוקק ביטוי חוקתי משמעותי אף יותר לעיקרון זה במסגרת חוק יסוד: ישראל </w:t>
      </w:r>
      <w:r>
        <w:rPr>
          <w:rtl/>
        </w:rPr>
        <w:t>–</w:t>
      </w:r>
      <w:r>
        <w:rPr>
          <w:rFonts w:hint="cs"/>
          <w:rtl/>
        </w:rPr>
        <w:t xml:space="preserve"> מדינת הלאום של העם היהודי (להלן: </w:t>
      </w:r>
      <w:r w:rsidRPr="00352D5E">
        <w:rPr>
          <w:rFonts w:ascii="Century" w:hAnsi="Century" w:cs="Miriam" w:hint="cs"/>
          <w:b/>
          <w:spacing w:val="0"/>
          <w:sz w:val="22"/>
          <w:szCs w:val="24"/>
          <w:rtl/>
        </w:rPr>
        <w:t>חוק יסוד הלאום</w:t>
      </w:r>
      <w:r>
        <w:rPr>
          <w:rFonts w:hint="cs"/>
          <w:rtl/>
        </w:rPr>
        <w:t xml:space="preserve">), אשר עיגן בתוכו את </w:t>
      </w:r>
      <w:r w:rsidRPr="00956BD8">
        <w:rPr>
          <w:rFonts w:ascii="FrankRuehl" w:hAnsi="FrankRuehl" w:hint="cs"/>
          <w:color w:val="000000"/>
          <w:sz w:val="28"/>
          <w:rtl/>
        </w:rPr>
        <w:t xml:space="preserve">מאפיינה </w:t>
      </w:r>
      <w:r w:rsidRPr="00956BD8">
        <w:rPr>
          <w:rFonts w:ascii="FrankRuehl" w:hAnsi="FrankRuehl"/>
          <w:color w:val="000000"/>
          <w:sz w:val="28"/>
          <w:rtl/>
        </w:rPr>
        <w:t>היהודיים</w:t>
      </w:r>
      <w:r w:rsidRPr="00956BD8">
        <w:rPr>
          <w:rFonts w:ascii="FrankRuehl" w:hAnsi="FrankRuehl" w:hint="cs"/>
          <w:color w:val="000000"/>
          <w:sz w:val="28"/>
          <w:rtl/>
        </w:rPr>
        <w:t>-הלאומיים</w:t>
      </w:r>
      <w:r w:rsidRPr="00956BD8">
        <w:rPr>
          <w:rFonts w:ascii="FrankRuehl" w:hAnsi="FrankRuehl"/>
          <w:color w:val="000000"/>
          <w:sz w:val="28"/>
          <w:rtl/>
        </w:rPr>
        <w:t xml:space="preserve"> של המדינה</w:t>
      </w:r>
      <w:r w:rsidRPr="00956BD8">
        <w:rPr>
          <w:rFonts w:ascii="FrankRuehl" w:hAnsi="FrankRuehl" w:hint="cs"/>
          <w:color w:val="000000"/>
          <w:sz w:val="28"/>
          <w:rtl/>
        </w:rPr>
        <w:t xml:space="preserve"> ובכללם השאיפה ל</w:t>
      </w:r>
      <w:r w:rsidRPr="00956BD8">
        <w:rPr>
          <w:rFonts w:ascii="FrankRuehl" w:hAnsi="FrankRuehl"/>
          <w:color w:val="000000"/>
          <w:sz w:val="28"/>
          <w:rtl/>
        </w:rPr>
        <w:t xml:space="preserve">קיבוץ גלויות וקליטת עליה </w:t>
      </w:r>
      <w:r w:rsidRPr="00956BD8">
        <w:rPr>
          <w:rFonts w:ascii="FrankRuehl" w:hAnsi="FrankRuehl" w:hint="cs"/>
          <w:color w:val="000000"/>
          <w:sz w:val="28"/>
          <w:rtl/>
        </w:rPr>
        <w:t>ול</w:t>
      </w:r>
      <w:r w:rsidRPr="00956BD8">
        <w:rPr>
          <w:rFonts w:ascii="FrankRuehl" w:hAnsi="FrankRuehl"/>
          <w:color w:val="000000"/>
          <w:sz w:val="28"/>
          <w:rtl/>
        </w:rPr>
        <w:t>התיישבות יהודית בארץ</w:t>
      </w:r>
      <w:r w:rsidRPr="00956BD8">
        <w:rPr>
          <w:rFonts w:ascii="FrankRuehl" w:hAnsi="FrankRuehl" w:hint="cs"/>
          <w:rtl/>
        </w:rPr>
        <w:t xml:space="preserve">. </w:t>
      </w:r>
      <w:r>
        <w:rPr>
          <w:rFonts w:hint="cs"/>
          <w:rtl/>
        </w:rPr>
        <w:t>ב</w:t>
      </w:r>
      <w:r w:rsidRPr="00CE74E0">
        <w:rPr>
          <w:rFonts w:hint="eastAsia"/>
          <w:rtl/>
        </w:rPr>
        <w:t>בג</w:t>
      </w:r>
      <w:r w:rsidRPr="00CE74E0">
        <w:rPr>
          <w:rFonts w:hint="cs"/>
          <w:rtl/>
        </w:rPr>
        <w:t>"</w:t>
      </w:r>
      <w:r w:rsidRPr="00CE74E0">
        <w:rPr>
          <w:rFonts w:hint="eastAsia"/>
          <w:rtl/>
        </w:rPr>
        <w:t>ץ</w:t>
      </w:r>
      <w:r w:rsidRPr="00CE74E0">
        <w:rPr>
          <w:rtl/>
        </w:rPr>
        <w:t xml:space="preserve"> 5555/18 </w:t>
      </w:r>
      <w:r w:rsidRPr="00CE74E0">
        <w:rPr>
          <w:rFonts w:ascii="Century" w:hAnsi="Century" w:cs="Miriam" w:hint="eastAsia"/>
          <w:b/>
          <w:spacing w:val="0"/>
          <w:sz w:val="22"/>
          <w:szCs w:val="24"/>
          <w:rtl/>
        </w:rPr>
        <w:t>ח</w:t>
      </w:r>
      <w:r w:rsidRPr="00CE74E0">
        <w:rPr>
          <w:rFonts w:ascii="Century" w:hAnsi="Century" w:cs="Miriam"/>
          <w:b/>
          <w:spacing w:val="0"/>
          <w:sz w:val="22"/>
          <w:szCs w:val="24"/>
          <w:rtl/>
        </w:rPr>
        <w:t>"</w:t>
      </w:r>
      <w:r w:rsidRPr="00CE74E0">
        <w:rPr>
          <w:rFonts w:ascii="Century" w:hAnsi="Century" w:cs="Miriam" w:hint="eastAsia"/>
          <w:b/>
          <w:spacing w:val="0"/>
          <w:sz w:val="22"/>
          <w:szCs w:val="24"/>
          <w:rtl/>
        </w:rPr>
        <w:t>כ</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אכרם</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חסון</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נ</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כנסת</w:t>
      </w:r>
      <w:r w:rsidRPr="00CE74E0">
        <w:rPr>
          <w:rFonts w:ascii="Century" w:hAnsi="Century" w:cs="Miriam"/>
          <w:b/>
          <w:spacing w:val="0"/>
          <w:sz w:val="22"/>
          <w:szCs w:val="24"/>
          <w:rtl/>
        </w:rPr>
        <w:t xml:space="preserve"> </w:t>
      </w:r>
      <w:r w:rsidRPr="00CE74E0">
        <w:rPr>
          <w:rFonts w:ascii="Century" w:hAnsi="Century" w:cs="Miriam" w:hint="eastAsia"/>
          <w:b/>
          <w:spacing w:val="0"/>
          <w:sz w:val="22"/>
          <w:szCs w:val="24"/>
          <w:rtl/>
        </w:rPr>
        <w:t>ישראל</w:t>
      </w:r>
      <w:r w:rsidRPr="00CE74E0">
        <w:rPr>
          <w:rFonts w:hint="cs"/>
          <w:rtl/>
        </w:rPr>
        <w:t xml:space="preserve"> </w:t>
      </w:r>
      <w:r>
        <w:rPr>
          <w:rFonts w:hint="cs"/>
          <w:rtl/>
        </w:rPr>
        <w:t>(8.7.2021) עמדתי על אפיונה של מדינת ישראל כמדינה יהודית ועל עיגונו של עיקרון זה במסגרת חוק יסוד הלאום, בצייני את הדברים הבאים</w:t>
      </w:r>
      <w:r w:rsidRPr="00CE74E0">
        <w:rPr>
          <w:rFonts w:hint="cs"/>
          <w:rtl/>
        </w:rPr>
        <w:t>:</w:t>
      </w:r>
    </w:p>
    <w:p w:rsidR="00BA03D0" w:rsidRDefault="00BA03D0" w:rsidP="00BA03D0">
      <w:pPr>
        <w:pStyle w:val="Ruller41"/>
        <w:rPr>
          <w:rtl/>
        </w:rPr>
      </w:pPr>
    </w:p>
    <w:p w:rsidR="00BA03D0" w:rsidRDefault="00BA03D0" w:rsidP="00BA03D0">
      <w:pPr>
        <w:pStyle w:val="Ruller5"/>
        <w:rPr>
          <w:rtl/>
        </w:rPr>
      </w:pPr>
      <w:r>
        <w:rPr>
          <w:rFonts w:hint="cs"/>
          <w:rtl/>
        </w:rPr>
        <w:t>"</w:t>
      </w:r>
      <w:r>
        <w:rPr>
          <w:rFonts w:hint="eastAsia"/>
          <w:rtl/>
        </w:rPr>
        <w:t>אפיונה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כמדינה</w:t>
      </w:r>
      <w:r>
        <w:rPr>
          <w:rtl/>
        </w:rPr>
        <w:t xml:space="preserve"> </w:t>
      </w:r>
      <w:r>
        <w:rPr>
          <w:rFonts w:hint="cs"/>
          <w:rtl/>
        </w:rPr>
        <w:t>'</w:t>
      </w:r>
      <w:r>
        <w:rPr>
          <w:rFonts w:hint="eastAsia"/>
          <w:rtl/>
        </w:rPr>
        <w:t>יהודית</w:t>
      </w:r>
      <w:r>
        <w:rPr>
          <w:rFonts w:hint="cs"/>
          <w:rtl/>
        </w:rPr>
        <w:t>'</w:t>
      </w:r>
      <w:r>
        <w:rPr>
          <w:rtl/>
        </w:rPr>
        <w:t xml:space="preserve"> </w:t>
      </w:r>
      <w:r>
        <w:rPr>
          <w:rFonts w:hint="eastAsia"/>
          <w:rtl/>
        </w:rPr>
        <w:t>נידון</w:t>
      </w:r>
      <w:r>
        <w:rPr>
          <w:rtl/>
        </w:rPr>
        <w:t xml:space="preserve"> </w:t>
      </w:r>
      <w:r>
        <w:rPr>
          <w:rFonts w:hint="eastAsia"/>
          <w:rtl/>
        </w:rPr>
        <w:t>אפוא</w:t>
      </w:r>
      <w:r>
        <w:rPr>
          <w:rtl/>
        </w:rPr>
        <w:t xml:space="preserve"> </w:t>
      </w:r>
      <w:r>
        <w:rPr>
          <w:rFonts w:hint="eastAsia"/>
          <w:rtl/>
        </w:rPr>
        <w:t>במגוון</w:t>
      </w:r>
      <w:r>
        <w:rPr>
          <w:rtl/>
        </w:rPr>
        <w:t xml:space="preserve"> </w:t>
      </w:r>
      <w:r>
        <w:rPr>
          <w:rFonts w:hint="eastAsia"/>
          <w:rtl/>
        </w:rPr>
        <w:t>הקשרים</w:t>
      </w:r>
      <w:r>
        <w:rPr>
          <w:rtl/>
        </w:rPr>
        <w:t xml:space="preserve">. </w:t>
      </w:r>
      <w:r>
        <w:rPr>
          <w:rFonts w:hint="eastAsia"/>
          <w:rtl/>
        </w:rPr>
        <w:t>ברם</w:t>
      </w:r>
      <w:r>
        <w:rPr>
          <w:rtl/>
        </w:rPr>
        <w:t xml:space="preserve">, </w:t>
      </w:r>
      <w:r>
        <w:rPr>
          <w:rFonts w:hint="eastAsia"/>
          <w:rtl/>
        </w:rPr>
        <w:t>אף</w:t>
      </w:r>
      <w:r>
        <w:rPr>
          <w:rtl/>
        </w:rPr>
        <w:t xml:space="preserve"> </w:t>
      </w:r>
      <w:r>
        <w:rPr>
          <w:rFonts w:hint="eastAsia"/>
          <w:rtl/>
        </w:rPr>
        <w:t>כי</w:t>
      </w:r>
      <w:r>
        <w:rPr>
          <w:rtl/>
        </w:rPr>
        <w:t xml:space="preserve"> </w:t>
      </w:r>
      <w:r>
        <w:rPr>
          <w:rFonts w:hint="eastAsia"/>
          <w:rtl/>
        </w:rPr>
        <w:t>הוצהר</w:t>
      </w:r>
      <w:r>
        <w:rPr>
          <w:rtl/>
        </w:rPr>
        <w:t xml:space="preserve"> </w:t>
      </w:r>
      <w:r>
        <w:rPr>
          <w:rFonts w:hint="eastAsia"/>
          <w:rtl/>
        </w:rPr>
        <w:t>כי</w:t>
      </w:r>
      <w:r>
        <w:rPr>
          <w:rtl/>
        </w:rPr>
        <w:t xml:space="preserve"> </w:t>
      </w:r>
      <w:r>
        <w:rPr>
          <w:rFonts w:hint="eastAsia"/>
          <w:rtl/>
        </w:rPr>
        <w:t>ההכרה</w:t>
      </w:r>
      <w:r>
        <w:rPr>
          <w:rtl/>
        </w:rPr>
        <w:t xml:space="preserve"> </w:t>
      </w:r>
      <w:r>
        <w:rPr>
          <w:rFonts w:hint="eastAsia"/>
          <w:rtl/>
        </w:rPr>
        <w:t>ביסוד</w:t>
      </w:r>
      <w:r>
        <w:rPr>
          <w:rtl/>
        </w:rPr>
        <w:t xml:space="preserve"> </w:t>
      </w:r>
      <w:r>
        <w:rPr>
          <w:rFonts w:hint="eastAsia"/>
          <w:rtl/>
        </w:rPr>
        <w:t>זה</w:t>
      </w:r>
      <w:r>
        <w:rPr>
          <w:rtl/>
        </w:rPr>
        <w:t xml:space="preserve"> </w:t>
      </w:r>
      <w:r>
        <w:rPr>
          <w:rFonts w:hint="eastAsia"/>
          <w:rtl/>
        </w:rPr>
        <w:lastRenderedPageBreak/>
        <w:t>באה</w:t>
      </w:r>
      <w:r>
        <w:rPr>
          <w:rtl/>
        </w:rPr>
        <w:t xml:space="preserve"> </w:t>
      </w:r>
      <w:r>
        <w:rPr>
          <w:rFonts w:hint="eastAsia"/>
          <w:rtl/>
        </w:rPr>
        <w:t>בגדר</w:t>
      </w:r>
      <w:r>
        <w:rPr>
          <w:rtl/>
        </w:rPr>
        <w:t xml:space="preserve"> </w:t>
      </w:r>
      <w:r>
        <w:rPr>
          <w:rFonts w:hint="eastAsia"/>
          <w:rtl/>
        </w:rPr>
        <w:t>עיקרון</w:t>
      </w:r>
      <w:r>
        <w:rPr>
          <w:rtl/>
        </w:rPr>
        <w:t xml:space="preserve"> </w:t>
      </w:r>
      <w:r>
        <w:rPr>
          <w:rFonts w:hint="eastAsia"/>
          <w:rtl/>
        </w:rPr>
        <w:t>יסוד</w:t>
      </w:r>
      <w:r>
        <w:rPr>
          <w:rtl/>
        </w:rPr>
        <w:t xml:space="preserve"> </w:t>
      </w:r>
      <w:r>
        <w:rPr>
          <w:rFonts w:hint="eastAsia"/>
          <w:rtl/>
        </w:rPr>
        <w:t>של</w:t>
      </w:r>
      <w:r>
        <w:rPr>
          <w:rtl/>
        </w:rPr>
        <w:t xml:space="preserve"> </w:t>
      </w:r>
      <w:r>
        <w:rPr>
          <w:rFonts w:hint="eastAsia"/>
          <w:rtl/>
        </w:rPr>
        <w:t>משפטנו</w:t>
      </w:r>
      <w:r>
        <w:rPr>
          <w:rtl/>
        </w:rPr>
        <w:t xml:space="preserve">, </w:t>
      </w:r>
      <w:r>
        <w:rPr>
          <w:rFonts w:hint="eastAsia"/>
          <w:rtl/>
        </w:rPr>
        <w:t>בסופו</w:t>
      </w:r>
      <w:r>
        <w:rPr>
          <w:rtl/>
        </w:rPr>
        <w:t xml:space="preserve"> </w:t>
      </w:r>
      <w:r>
        <w:rPr>
          <w:rFonts w:hint="eastAsia"/>
          <w:rtl/>
        </w:rPr>
        <w:t>של</w:t>
      </w:r>
      <w:r>
        <w:rPr>
          <w:rtl/>
        </w:rPr>
        <w:t xml:space="preserve"> </w:t>
      </w:r>
      <w:r>
        <w:rPr>
          <w:rFonts w:hint="eastAsia"/>
          <w:rtl/>
        </w:rPr>
        <w:t>יום</w:t>
      </w:r>
      <w:r>
        <w:rPr>
          <w:rtl/>
        </w:rPr>
        <w:t xml:space="preserve"> </w:t>
      </w:r>
      <w:r>
        <w:rPr>
          <w:rFonts w:hint="eastAsia"/>
          <w:rtl/>
        </w:rPr>
        <w:t>הוא</w:t>
      </w:r>
      <w:r>
        <w:rPr>
          <w:rtl/>
        </w:rPr>
        <w:t xml:space="preserve"> </w:t>
      </w:r>
      <w:r>
        <w:rPr>
          <w:rFonts w:hint="eastAsia"/>
          <w:rtl/>
        </w:rPr>
        <w:t>נותר</w:t>
      </w:r>
      <w:r>
        <w:rPr>
          <w:rtl/>
        </w:rPr>
        <w:t xml:space="preserve"> </w:t>
      </w:r>
      <w:r>
        <w:rPr>
          <w:rFonts w:hint="eastAsia"/>
          <w:rtl/>
        </w:rPr>
        <w:t>במידה</w:t>
      </w:r>
      <w:r>
        <w:rPr>
          <w:rtl/>
        </w:rPr>
        <w:t xml:space="preserve"> </w:t>
      </w:r>
      <w:r>
        <w:rPr>
          <w:rFonts w:hint="eastAsia"/>
          <w:rtl/>
        </w:rPr>
        <w:t>רבה</w:t>
      </w:r>
      <w:r>
        <w:rPr>
          <w:rtl/>
        </w:rPr>
        <w:t xml:space="preserve"> </w:t>
      </w:r>
      <w:r>
        <w:rPr>
          <w:rFonts w:hint="cs"/>
          <w:rtl/>
        </w:rPr>
        <w:t>'</w:t>
      </w:r>
      <w:r>
        <w:rPr>
          <w:rFonts w:hint="eastAsia"/>
          <w:rtl/>
        </w:rPr>
        <w:t>מדדה</w:t>
      </w:r>
      <w:r>
        <w:rPr>
          <w:rtl/>
        </w:rPr>
        <w:t xml:space="preserve"> </w:t>
      </w:r>
      <w:r>
        <w:rPr>
          <w:rFonts w:hint="eastAsia"/>
          <w:rtl/>
        </w:rPr>
        <w:t>מאחור</w:t>
      </w:r>
      <w:r>
        <w:rPr>
          <w:rFonts w:hint="cs"/>
          <w:rtl/>
        </w:rPr>
        <w:t>' [...].</w:t>
      </w:r>
      <w:r>
        <w:rPr>
          <w:rtl/>
        </w:rPr>
        <w:t xml:space="preserve"> </w:t>
      </w:r>
      <w:r>
        <w:rPr>
          <w:rFonts w:hint="eastAsia"/>
          <w:rtl/>
        </w:rPr>
        <w:t>זאת</w:t>
      </w:r>
      <w:r>
        <w:rPr>
          <w:rtl/>
        </w:rPr>
        <w:t xml:space="preserve"> </w:t>
      </w:r>
      <w:r>
        <w:rPr>
          <w:rFonts w:hint="eastAsia"/>
          <w:rtl/>
        </w:rPr>
        <w:t>אולי</w:t>
      </w:r>
      <w:r>
        <w:rPr>
          <w:rtl/>
        </w:rPr>
        <w:t xml:space="preserve"> </w:t>
      </w:r>
      <w:r>
        <w:rPr>
          <w:rFonts w:hint="eastAsia"/>
          <w:rtl/>
        </w:rPr>
        <w:t>בשל</w:t>
      </w:r>
      <w:r>
        <w:rPr>
          <w:rtl/>
        </w:rPr>
        <w:t xml:space="preserve"> </w:t>
      </w:r>
      <w:r>
        <w:rPr>
          <w:rFonts w:hint="eastAsia"/>
          <w:rtl/>
        </w:rPr>
        <w:t>קשת</w:t>
      </w:r>
      <w:r>
        <w:rPr>
          <w:rtl/>
        </w:rPr>
        <w:t xml:space="preserve"> </w:t>
      </w:r>
      <w:r>
        <w:rPr>
          <w:rFonts w:hint="eastAsia"/>
          <w:rtl/>
        </w:rPr>
        <w:t>המובנים</w:t>
      </w:r>
      <w:r>
        <w:rPr>
          <w:rtl/>
        </w:rPr>
        <w:t xml:space="preserve"> </w:t>
      </w:r>
      <w:r>
        <w:rPr>
          <w:rFonts w:hint="eastAsia"/>
          <w:rtl/>
        </w:rPr>
        <w:t>השונים</w:t>
      </w:r>
      <w:r>
        <w:rPr>
          <w:rtl/>
        </w:rPr>
        <w:t xml:space="preserve"> </w:t>
      </w:r>
      <w:r>
        <w:rPr>
          <w:rFonts w:hint="eastAsia"/>
          <w:rtl/>
        </w:rPr>
        <w:t>שיכולים</w:t>
      </w:r>
      <w:r>
        <w:rPr>
          <w:rtl/>
        </w:rPr>
        <w:t xml:space="preserve"> </w:t>
      </w:r>
      <w:r>
        <w:rPr>
          <w:rFonts w:hint="eastAsia"/>
          <w:rtl/>
        </w:rPr>
        <w:t>לאפיין</w:t>
      </w:r>
      <w:r>
        <w:rPr>
          <w:rtl/>
        </w:rPr>
        <w:t xml:space="preserve"> </w:t>
      </w:r>
      <w:r>
        <w:rPr>
          <w:rFonts w:hint="eastAsia"/>
          <w:rtl/>
        </w:rPr>
        <w:t>את</w:t>
      </w:r>
      <w:r>
        <w:rPr>
          <w:rtl/>
        </w:rPr>
        <w:t xml:space="preserve"> </w:t>
      </w:r>
      <w:r>
        <w:rPr>
          <w:rFonts w:hint="eastAsia"/>
          <w:rtl/>
        </w:rPr>
        <w:t>היסוד</w:t>
      </w:r>
      <w:r>
        <w:rPr>
          <w:rtl/>
        </w:rPr>
        <w:t xml:space="preserve"> </w:t>
      </w:r>
      <w:r>
        <w:rPr>
          <w:rFonts w:hint="cs"/>
          <w:rtl/>
        </w:rPr>
        <w:t>'</w:t>
      </w:r>
      <w:r>
        <w:rPr>
          <w:rFonts w:hint="eastAsia"/>
          <w:rtl/>
        </w:rPr>
        <w:t>היהודי</w:t>
      </w:r>
      <w:r>
        <w:rPr>
          <w:rFonts w:hint="cs"/>
          <w:rtl/>
        </w:rPr>
        <w:t>'</w:t>
      </w:r>
      <w:r>
        <w:rPr>
          <w:rtl/>
        </w:rPr>
        <w:t xml:space="preserve"> </w:t>
      </w:r>
      <w:r>
        <w:rPr>
          <w:rFonts w:hint="eastAsia"/>
          <w:rtl/>
        </w:rPr>
        <w:t>והקושי</w:t>
      </w:r>
      <w:r>
        <w:rPr>
          <w:rtl/>
        </w:rPr>
        <w:t xml:space="preserve"> </w:t>
      </w:r>
      <w:r>
        <w:rPr>
          <w:rFonts w:hint="eastAsia"/>
          <w:rtl/>
        </w:rPr>
        <w:t>למצוא</w:t>
      </w:r>
      <w:r>
        <w:rPr>
          <w:rtl/>
        </w:rPr>
        <w:t xml:space="preserve"> </w:t>
      </w:r>
      <w:r>
        <w:rPr>
          <w:rFonts w:hint="eastAsia"/>
          <w:rtl/>
        </w:rPr>
        <w:t>ליסוד</w:t>
      </w:r>
      <w:r>
        <w:rPr>
          <w:rtl/>
        </w:rPr>
        <w:t xml:space="preserve"> </w:t>
      </w:r>
      <w:r>
        <w:rPr>
          <w:rFonts w:hint="eastAsia"/>
          <w:rtl/>
        </w:rPr>
        <w:t>זה</w:t>
      </w:r>
      <w:r>
        <w:rPr>
          <w:rtl/>
        </w:rPr>
        <w:t xml:space="preserve"> </w:t>
      </w:r>
      <w:r>
        <w:rPr>
          <w:rFonts w:hint="eastAsia"/>
          <w:rtl/>
        </w:rPr>
        <w:t>אפיון</w:t>
      </w:r>
      <w:r>
        <w:rPr>
          <w:rtl/>
        </w:rPr>
        <w:t xml:space="preserve"> </w:t>
      </w:r>
      <w:r>
        <w:rPr>
          <w:rFonts w:hint="eastAsia"/>
          <w:rtl/>
        </w:rPr>
        <w:t>מוסכם</w:t>
      </w:r>
      <w:r>
        <w:rPr>
          <w:rFonts w:hint="cs"/>
          <w:rtl/>
        </w:rPr>
        <w:t xml:space="preserve"> [...].</w:t>
      </w:r>
      <w:r>
        <w:rPr>
          <w:rtl/>
        </w:rPr>
        <w:t xml:space="preserve"> </w:t>
      </w:r>
      <w:r>
        <w:rPr>
          <w:rFonts w:hint="eastAsia"/>
          <w:rtl/>
        </w:rPr>
        <w:t>בתוך</w:t>
      </w:r>
      <w:r>
        <w:rPr>
          <w:rtl/>
        </w:rPr>
        <w:t xml:space="preserve"> </w:t>
      </w:r>
      <w:r>
        <w:rPr>
          <w:rFonts w:hint="eastAsia"/>
          <w:rtl/>
        </w:rPr>
        <w:t>כך</w:t>
      </w:r>
      <w:r>
        <w:rPr>
          <w:rtl/>
        </w:rPr>
        <w:t xml:space="preserve">, </w:t>
      </w:r>
      <w:r>
        <w:rPr>
          <w:rFonts w:hint="eastAsia"/>
          <w:rtl/>
        </w:rPr>
        <w:t>הושמעו</w:t>
      </w:r>
      <w:r>
        <w:rPr>
          <w:rtl/>
        </w:rPr>
        <w:t xml:space="preserve"> </w:t>
      </w:r>
      <w:r>
        <w:rPr>
          <w:rFonts w:hint="eastAsia"/>
          <w:rtl/>
        </w:rPr>
        <w:t>דעות</w:t>
      </w:r>
      <w:r>
        <w:rPr>
          <w:rtl/>
        </w:rPr>
        <w:t xml:space="preserve"> </w:t>
      </w:r>
      <w:r>
        <w:rPr>
          <w:rFonts w:hint="eastAsia"/>
          <w:rtl/>
        </w:rPr>
        <w:t>שונות</w:t>
      </w:r>
      <w:r>
        <w:rPr>
          <w:rtl/>
        </w:rPr>
        <w:t xml:space="preserve"> </w:t>
      </w:r>
      <w:r>
        <w:rPr>
          <w:rFonts w:hint="eastAsia"/>
          <w:rtl/>
        </w:rPr>
        <w:t>לגבי</w:t>
      </w:r>
      <w:r>
        <w:rPr>
          <w:rtl/>
        </w:rPr>
        <w:t xml:space="preserve"> </w:t>
      </w:r>
      <w:r>
        <w:rPr>
          <w:rFonts w:hint="eastAsia"/>
          <w:rtl/>
        </w:rPr>
        <w:t>היקף</w:t>
      </w:r>
      <w:r>
        <w:rPr>
          <w:rtl/>
        </w:rPr>
        <w:t xml:space="preserve"> </w:t>
      </w:r>
      <w:r>
        <w:rPr>
          <w:rFonts w:hint="eastAsia"/>
          <w:rtl/>
        </w:rPr>
        <w:t>התפרשותם</w:t>
      </w:r>
      <w:r>
        <w:rPr>
          <w:rtl/>
        </w:rPr>
        <w:t xml:space="preserve"> </w:t>
      </w:r>
      <w:r>
        <w:rPr>
          <w:rFonts w:hint="eastAsia"/>
          <w:rtl/>
        </w:rPr>
        <w:t>של</w:t>
      </w:r>
      <w:r>
        <w:rPr>
          <w:rtl/>
        </w:rPr>
        <w:t xml:space="preserve"> </w:t>
      </w:r>
      <w:r>
        <w:rPr>
          <w:rFonts w:hint="eastAsia"/>
          <w:rtl/>
        </w:rPr>
        <w:t>ערכיה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כמדינה</w:t>
      </w:r>
      <w:r>
        <w:rPr>
          <w:rtl/>
        </w:rPr>
        <w:t xml:space="preserve"> </w:t>
      </w:r>
      <w:r>
        <w:rPr>
          <w:rFonts w:hint="eastAsia"/>
          <w:rtl/>
        </w:rPr>
        <w:t>יהודית</w:t>
      </w:r>
      <w:r>
        <w:rPr>
          <w:rtl/>
        </w:rPr>
        <w:t xml:space="preserve">. </w:t>
      </w:r>
      <w:r>
        <w:rPr>
          <w:rFonts w:hint="eastAsia"/>
          <w:rtl/>
        </w:rPr>
        <w:t>היו</w:t>
      </w:r>
      <w:r>
        <w:rPr>
          <w:rtl/>
        </w:rPr>
        <w:t xml:space="preserve"> </w:t>
      </w:r>
      <w:r>
        <w:rPr>
          <w:rFonts w:hint="eastAsia"/>
          <w:rtl/>
        </w:rPr>
        <w:t>שצמצמו</w:t>
      </w:r>
      <w:r>
        <w:rPr>
          <w:rtl/>
        </w:rPr>
        <w:t xml:space="preserve"> </w:t>
      </w:r>
      <w:r>
        <w:rPr>
          <w:rFonts w:hint="eastAsia"/>
          <w:rtl/>
        </w:rPr>
        <w:t>וסברו</w:t>
      </w:r>
      <w:r>
        <w:rPr>
          <w:rtl/>
        </w:rPr>
        <w:t xml:space="preserve"> </w:t>
      </w:r>
      <w:r>
        <w:rPr>
          <w:rFonts w:hint="eastAsia"/>
          <w:rtl/>
        </w:rPr>
        <w:t>כי</w:t>
      </w:r>
      <w:r>
        <w:rPr>
          <w:rtl/>
        </w:rPr>
        <w:t xml:space="preserve"> </w:t>
      </w:r>
      <w:r>
        <w:rPr>
          <w:rFonts w:hint="eastAsia"/>
          <w:rtl/>
        </w:rPr>
        <w:t>ערכיה</w:t>
      </w:r>
      <w:r>
        <w:rPr>
          <w:rtl/>
        </w:rPr>
        <w:t xml:space="preserve"> </w:t>
      </w:r>
      <w:r>
        <w:rPr>
          <w:rFonts w:hint="eastAsia"/>
          <w:rtl/>
        </w:rPr>
        <w:t>היהודיים</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הם</w:t>
      </w:r>
      <w:r>
        <w:rPr>
          <w:rtl/>
        </w:rPr>
        <w:t xml:space="preserve"> </w:t>
      </w:r>
      <w:r>
        <w:rPr>
          <w:rFonts w:hint="cs"/>
          <w:rtl/>
        </w:rPr>
        <w:t>'</w:t>
      </w:r>
      <w:r>
        <w:rPr>
          <w:rFonts w:hint="eastAsia"/>
          <w:rtl/>
        </w:rPr>
        <w:t>אותם</w:t>
      </w:r>
      <w:r>
        <w:rPr>
          <w:rtl/>
        </w:rPr>
        <w:t xml:space="preserve"> </w:t>
      </w:r>
      <w:r>
        <w:rPr>
          <w:rFonts w:hint="eastAsia"/>
          <w:rtl/>
        </w:rPr>
        <w:t>ערכים</w:t>
      </w:r>
      <w:r>
        <w:rPr>
          <w:rtl/>
        </w:rPr>
        <w:t xml:space="preserve"> </w:t>
      </w:r>
      <w:r>
        <w:rPr>
          <w:rFonts w:hint="eastAsia"/>
          <w:rtl/>
        </w:rPr>
        <w:t>אוניברסליים</w:t>
      </w:r>
      <w:r>
        <w:rPr>
          <w:rtl/>
        </w:rPr>
        <w:t xml:space="preserve"> </w:t>
      </w:r>
      <w:r>
        <w:rPr>
          <w:rFonts w:hint="eastAsia"/>
          <w:rtl/>
        </w:rPr>
        <w:t>המשותפים</w:t>
      </w:r>
      <w:r>
        <w:rPr>
          <w:rtl/>
        </w:rPr>
        <w:t xml:space="preserve"> </w:t>
      </w:r>
      <w:r>
        <w:rPr>
          <w:rFonts w:hint="eastAsia"/>
          <w:rtl/>
        </w:rPr>
        <w:t>לבני</w:t>
      </w:r>
      <w:r>
        <w:rPr>
          <w:rtl/>
        </w:rPr>
        <w:t xml:space="preserve"> </w:t>
      </w:r>
      <w:r>
        <w:rPr>
          <w:rFonts w:hint="eastAsia"/>
          <w:rtl/>
        </w:rPr>
        <w:t>החברה</w:t>
      </w:r>
      <w:r>
        <w:rPr>
          <w:rtl/>
        </w:rPr>
        <w:t xml:space="preserve"> </w:t>
      </w:r>
      <w:r>
        <w:rPr>
          <w:rFonts w:hint="eastAsia"/>
          <w:rtl/>
        </w:rPr>
        <w:t>הדמוקרטית</w:t>
      </w:r>
      <w:r>
        <w:rPr>
          <w:rtl/>
        </w:rPr>
        <w:t xml:space="preserve">, </w:t>
      </w:r>
      <w:r>
        <w:rPr>
          <w:rFonts w:hint="eastAsia"/>
          <w:rtl/>
        </w:rPr>
        <w:t>ואשר</w:t>
      </w:r>
      <w:r>
        <w:rPr>
          <w:rtl/>
        </w:rPr>
        <w:t xml:space="preserve"> </w:t>
      </w:r>
      <w:r>
        <w:rPr>
          <w:rFonts w:hint="eastAsia"/>
          <w:rtl/>
        </w:rPr>
        <w:t>צמחו</w:t>
      </w:r>
      <w:r>
        <w:rPr>
          <w:rtl/>
        </w:rPr>
        <w:t xml:space="preserve"> </w:t>
      </w:r>
      <w:r>
        <w:rPr>
          <w:rFonts w:hint="eastAsia"/>
          <w:rtl/>
        </w:rPr>
        <w:t>מתוך</w:t>
      </w:r>
      <w:r>
        <w:rPr>
          <w:rtl/>
        </w:rPr>
        <w:t xml:space="preserve"> </w:t>
      </w:r>
      <w:r>
        <w:rPr>
          <w:rFonts w:hint="eastAsia"/>
          <w:rtl/>
        </w:rPr>
        <w:t>המסורת</w:t>
      </w:r>
      <w:r>
        <w:rPr>
          <w:rtl/>
        </w:rPr>
        <w:t xml:space="preserve"> </w:t>
      </w:r>
      <w:r>
        <w:rPr>
          <w:rFonts w:hint="eastAsia"/>
          <w:rtl/>
        </w:rPr>
        <w:t>וההיסטוריה</w:t>
      </w:r>
      <w:r>
        <w:rPr>
          <w:rtl/>
        </w:rPr>
        <w:t xml:space="preserve"> </w:t>
      </w:r>
      <w:r>
        <w:rPr>
          <w:rFonts w:hint="eastAsia"/>
          <w:rtl/>
        </w:rPr>
        <w:t>היהודית</w:t>
      </w:r>
      <w:r>
        <w:rPr>
          <w:rFonts w:hint="cs"/>
          <w:rtl/>
        </w:rPr>
        <w:t>' [...].</w:t>
      </w:r>
      <w:r>
        <w:rPr>
          <w:rtl/>
        </w:rPr>
        <w:t xml:space="preserve"> </w:t>
      </w:r>
      <w:r>
        <w:rPr>
          <w:rFonts w:hint="eastAsia"/>
          <w:rtl/>
        </w:rPr>
        <w:t>לצד</w:t>
      </w:r>
      <w:r>
        <w:rPr>
          <w:rtl/>
        </w:rPr>
        <w:t xml:space="preserve"> </w:t>
      </w:r>
      <w:r>
        <w:rPr>
          <w:rFonts w:hint="eastAsia"/>
          <w:rtl/>
        </w:rPr>
        <w:t>זאת</w:t>
      </w:r>
      <w:r>
        <w:rPr>
          <w:rtl/>
        </w:rPr>
        <w:t xml:space="preserve">, </w:t>
      </w:r>
      <w:r>
        <w:rPr>
          <w:rFonts w:hint="eastAsia"/>
          <w:rtl/>
        </w:rPr>
        <w:t>היו</w:t>
      </w:r>
      <w:r>
        <w:rPr>
          <w:rtl/>
        </w:rPr>
        <w:t xml:space="preserve"> </w:t>
      </w:r>
      <w:r>
        <w:rPr>
          <w:rFonts w:hint="eastAsia"/>
          <w:rtl/>
        </w:rPr>
        <w:t>שציינו</w:t>
      </w:r>
      <w:r>
        <w:rPr>
          <w:rtl/>
        </w:rPr>
        <w:t xml:space="preserve"> </w:t>
      </w:r>
      <w:r>
        <w:rPr>
          <w:rFonts w:hint="eastAsia"/>
          <w:rtl/>
        </w:rPr>
        <w:t>את</w:t>
      </w:r>
      <w:r>
        <w:rPr>
          <w:rtl/>
        </w:rPr>
        <w:t xml:space="preserve"> </w:t>
      </w:r>
      <w:r>
        <w:rPr>
          <w:rFonts w:hint="cs"/>
          <w:rtl/>
        </w:rPr>
        <w:t>'</w:t>
      </w:r>
      <w:r>
        <w:rPr>
          <w:rFonts w:hint="eastAsia"/>
          <w:rtl/>
        </w:rPr>
        <w:t>הערכים</w:t>
      </w:r>
      <w:r>
        <w:rPr>
          <w:rtl/>
        </w:rPr>
        <w:t xml:space="preserve"> </w:t>
      </w:r>
      <w:r>
        <w:rPr>
          <w:rFonts w:hint="eastAsia"/>
          <w:rtl/>
        </w:rPr>
        <w:t>היהודיים</w:t>
      </w:r>
      <w:r>
        <w:rPr>
          <w:rtl/>
        </w:rPr>
        <w:t xml:space="preserve"> </w:t>
      </w:r>
      <w:r>
        <w:rPr>
          <w:rFonts w:hint="eastAsia"/>
          <w:rtl/>
        </w:rPr>
        <w:t>שנוצרו</w:t>
      </w:r>
      <w:r>
        <w:rPr>
          <w:rtl/>
        </w:rPr>
        <w:t xml:space="preserve"> </w:t>
      </w:r>
      <w:r>
        <w:rPr>
          <w:rFonts w:hint="eastAsia"/>
          <w:rtl/>
        </w:rPr>
        <w:t>בעם</w:t>
      </w:r>
      <w:r>
        <w:rPr>
          <w:rtl/>
        </w:rPr>
        <w:t xml:space="preserve"> </w:t>
      </w:r>
      <w:r>
        <w:rPr>
          <w:rFonts w:hint="eastAsia"/>
          <w:rtl/>
        </w:rPr>
        <w:t>ישראל</w:t>
      </w:r>
      <w:r>
        <w:rPr>
          <w:rtl/>
        </w:rPr>
        <w:t xml:space="preserve"> </w:t>
      </w:r>
      <w:r>
        <w:rPr>
          <w:rFonts w:hint="eastAsia"/>
          <w:rtl/>
        </w:rPr>
        <w:t>או</w:t>
      </w:r>
      <w:r>
        <w:rPr>
          <w:rtl/>
        </w:rPr>
        <w:t xml:space="preserve"> </w:t>
      </w:r>
      <w:r>
        <w:rPr>
          <w:rFonts w:hint="eastAsia"/>
          <w:rtl/>
        </w:rPr>
        <w:t>התגבשו</w:t>
      </w:r>
      <w:r>
        <w:rPr>
          <w:rtl/>
        </w:rPr>
        <w:t xml:space="preserve"> </w:t>
      </w:r>
      <w:r>
        <w:rPr>
          <w:rFonts w:hint="eastAsia"/>
          <w:rtl/>
        </w:rPr>
        <w:t>רק</w:t>
      </w:r>
      <w:r>
        <w:rPr>
          <w:rtl/>
        </w:rPr>
        <w:t xml:space="preserve"> </w:t>
      </w:r>
      <w:r>
        <w:rPr>
          <w:rFonts w:hint="eastAsia"/>
          <w:rtl/>
        </w:rPr>
        <w:t>בתקופת</w:t>
      </w:r>
      <w:r>
        <w:rPr>
          <w:rtl/>
        </w:rPr>
        <w:t xml:space="preserve"> </w:t>
      </w:r>
      <w:r>
        <w:rPr>
          <w:rFonts w:hint="eastAsia"/>
          <w:rtl/>
        </w:rPr>
        <w:t>הציונות</w:t>
      </w:r>
      <w:r>
        <w:rPr>
          <w:rtl/>
        </w:rPr>
        <w:t xml:space="preserve">, </w:t>
      </w:r>
      <w:r>
        <w:rPr>
          <w:rFonts w:hint="eastAsia"/>
          <w:rtl/>
        </w:rPr>
        <w:t>כמו</w:t>
      </w:r>
      <w:r>
        <w:rPr>
          <w:rtl/>
        </w:rPr>
        <w:t xml:space="preserve"> </w:t>
      </w:r>
      <w:r>
        <w:rPr>
          <w:rFonts w:hint="eastAsia"/>
          <w:rtl/>
        </w:rPr>
        <w:t>העליה</w:t>
      </w:r>
      <w:r>
        <w:rPr>
          <w:rtl/>
        </w:rPr>
        <w:t xml:space="preserve"> </w:t>
      </w:r>
      <w:r>
        <w:rPr>
          <w:rFonts w:hint="eastAsia"/>
          <w:rtl/>
        </w:rPr>
        <w:t>היהודית</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והחלוציות</w:t>
      </w:r>
      <w:r>
        <w:rPr>
          <w:rFonts w:hint="cs"/>
          <w:rtl/>
        </w:rPr>
        <w:t>'</w:t>
      </w:r>
      <w:r>
        <w:rPr>
          <w:rtl/>
        </w:rPr>
        <w:t xml:space="preserve">, </w:t>
      </w:r>
      <w:r>
        <w:rPr>
          <w:rFonts w:hint="eastAsia"/>
          <w:rtl/>
        </w:rPr>
        <w:t>כי</w:t>
      </w:r>
      <w:r>
        <w:rPr>
          <w:rtl/>
        </w:rPr>
        <w:t xml:space="preserve"> </w:t>
      </w:r>
      <w:r>
        <w:rPr>
          <w:rFonts w:hint="eastAsia"/>
          <w:rtl/>
        </w:rPr>
        <w:t>המדינה</w:t>
      </w:r>
      <w:r>
        <w:rPr>
          <w:rtl/>
        </w:rPr>
        <w:t xml:space="preserve"> </w:t>
      </w:r>
      <w:r>
        <w:rPr>
          <w:rFonts w:hint="eastAsia"/>
          <w:rtl/>
        </w:rPr>
        <w:t>היא</w:t>
      </w:r>
      <w:r>
        <w:rPr>
          <w:rtl/>
        </w:rPr>
        <w:t xml:space="preserve"> </w:t>
      </w:r>
      <w:r>
        <w:rPr>
          <w:rFonts w:hint="eastAsia"/>
          <w:rtl/>
        </w:rPr>
        <w:t>יהודית</w:t>
      </w:r>
      <w:r>
        <w:rPr>
          <w:rtl/>
        </w:rPr>
        <w:t xml:space="preserve"> </w:t>
      </w:r>
      <w:r>
        <w:rPr>
          <w:rFonts w:hint="cs"/>
          <w:rtl/>
        </w:rPr>
        <w:t>'</w:t>
      </w:r>
      <w:r>
        <w:rPr>
          <w:rFonts w:hint="eastAsia"/>
          <w:rtl/>
        </w:rPr>
        <w:t>במובן</w:t>
      </w:r>
      <w:r>
        <w:rPr>
          <w:rtl/>
        </w:rPr>
        <w:t xml:space="preserve"> </w:t>
      </w:r>
      <w:r>
        <w:rPr>
          <w:rFonts w:hint="eastAsia"/>
          <w:rtl/>
        </w:rPr>
        <w:t>זה</w:t>
      </w:r>
      <w:r>
        <w:rPr>
          <w:rtl/>
        </w:rPr>
        <w:t xml:space="preserve"> </w:t>
      </w:r>
      <w:r>
        <w:rPr>
          <w:rFonts w:hint="eastAsia"/>
          <w:rtl/>
        </w:rPr>
        <w:t>שליהודים</w:t>
      </w:r>
      <w:r>
        <w:rPr>
          <w:rtl/>
        </w:rPr>
        <w:t xml:space="preserve"> </w:t>
      </w:r>
      <w:r>
        <w:rPr>
          <w:rFonts w:hint="eastAsia"/>
          <w:rtl/>
        </w:rPr>
        <w:t>זכות</w:t>
      </w:r>
      <w:r>
        <w:rPr>
          <w:rtl/>
        </w:rPr>
        <w:t xml:space="preserve"> </w:t>
      </w:r>
      <w:r>
        <w:rPr>
          <w:rFonts w:hint="eastAsia"/>
          <w:rtl/>
        </w:rPr>
        <w:t>לעלות</w:t>
      </w:r>
      <w:r>
        <w:rPr>
          <w:rtl/>
        </w:rPr>
        <w:t xml:space="preserve"> </w:t>
      </w:r>
      <w:r>
        <w:rPr>
          <w:rFonts w:hint="eastAsia"/>
          <w:rtl/>
        </w:rPr>
        <w:t>אליה</w:t>
      </w:r>
      <w:r>
        <w:rPr>
          <w:rtl/>
        </w:rPr>
        <w:t xml:space="preserve">, </w:t>
      </w:r>
      <w:r>
        <w:rPr>
          <w:rFonts w:hint="eastAsia"/>
          <w:rtl/>
        </w:rPr>
        <w:t>והווייתם</w:t>
      </w:r>
      <w:r>
        <w:rPr>
          <w:rtl/>
        </w:rPr>
        <w:t xml:space="preserve"> </w:t>
      </w:r>
      <w:r>
        <w:rPr>
          <w:rFonts w:hint="eastAsia"/>
          <w:rtl/>
        </w:rPr>
        <w:t>הלאומית</w:t>
      </w:r>
      <w:r>
        <w:rPr>
          <w:rtl/>
        </w:rPr>
        <w:t xml:space="preserve"> </w:t>
      </w:r>
      <w:r>
        <w:rPr>
          <w:rFonts w:hint="eastAsia"/>
          <w:rtl/>
        </w:rPr>
        <w:t>היא</w:t>
      </w:r>
      <w:r>
        <w:rPr>
          <w:rtl/>
        </w:rPr>
        <w:t xml:space="preserve"> </w:t>
      </w:r>
      <w:r>
        <w:rPr>
          <w:rFonts w:hint="eastAsia"/>
          <w:rtl/>
        </w:rPr>
        <w:t>הווייתה</w:t>
      </w:r>
      <w:r>
        <w:rPr>
          <w:rtl/>
        </w:rPr>
        <w:t xml:space="preserve"> </w:t>
      </w:r>
      <w:r>
        <w:rPr>
          <w:rFonts w:hint="eastAsia"/>
          <w:rtl/>
        </w:rPr>
        <w:t>של</w:t>
      </w:r>
      <w:r>
        <w:rPr>
          <w:rtl/>
        </w:rPr>
        <w:t xml:space="preserve"> </w:t>
      </w:r>
      <w:r>
        <w:rPr>
          <w:rFonts w:hint="eastAsia"/>
          <w:rtl/>
        </w:rPr>
        <w:t>המדינה</w:t>
      </w:r>
      <w:r>
        <w:rPr>
          <w:rFonts w:hint="cs"/>
          <w:rtl/>
        </w:rPr>
        <w:t>'</w:t>
      </w:r>
      <w:r>
        <w:rPr>
          <w:rtl/>
        </w:rPr>
        <w:t xml:space="preserve">, </w:t>
      </w:r>
      <w:r>
        <w:rPr>
          <w:rFonts w:hint="eastAsia"/>
          <w:rtl/>
        </w:rPr>
        <w:t>וכי</w:t>
      </w:r>
      <w:r>
        <w:rPr>
          <w:rtl/>
        </w:rPr>
        <w:t xml:space="preserve"> </w:t>
      </w:r>
      <w:r>
        <w:rPr>
          <w:rFonts w:hint="eastAsia"/>
          <w:rtl/>
        </w:rPr>
        <w:t>הווייתה</w:t>
      </w:r>
      <w:r>
        <w:rPr>
          <w:rtl/>
        </w:rPr>
        <w:t xml:space="preserve"> </w:t>
      </w:r>
      <w:r>
        <w:rPr>
          <w:rFonts w:hint="eastAsia"/>
          <w:rtl/>
        </w:rPr>
        <w:t>הלאומית</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אמורה</w:t>
      </w:r>
      <w:r>
        <w:rPr>
          <w:rtl/>
        </w:rPr>
        <w:t xml:space="preserve"> </w:t>
      </w:r>
      <w:r>
        <w:rPr>
          <w:rFonts w:hint="eastAsia"/>
          <w:rtl/>
        </w:rPr>
        <w:t>להתבטא</w:t>
      </w:r>
      <w:r>
        <w:rPr>
          <w:rtl/>
        </w:rPr>
        <w:t xml:space="preserve"> </w:t>
      </w:r>
      <w:r>
        <w:rPr>
          <w:rFonts w:hint="eastAsia"/>
          <w:rtl/>
        </w:rPr>
        <w:t>בלשון</w:t>
      </w:r>
      <w:r>
        <w:rPr>
          <w:rtl/>
        </w:rPr>
        <w:t xml:space="preserve"> </w:t>
      </w:r>
      <w:r>
        <w:rPr>
          <w:rFonts w:hint="eastAsia"/>
          <w:rtl/>
        </w:rPr>
        <w:t>העברית</w:t>
      </w:r>
      <w:r>
        <w:rPr>
          <w:rtl/>
        </w:rPr>
        <w:t xml:space="preserve"> </w:t>
      </w:r>
      <w:r>
        <w:rPr>
          <w:rFonts w:hint="eastAsia"/>
          <w:rtl/>
        </w:rPr>
        <w:t>ובמועדי</w:t>
      </w:r>
      <w:r>
        <w:rPr>
          <w:rtl/>
        </w:rPr>
        <w:t xml:space="preserve"> </w:t>
      </w:r>
      <w:r>
        <w:rPr>
          <w:rFonts w:hint="eastAsia"/>
          <w:rtl/>
        </w:rPr>
        <w:t>ישראל</w:t>
      </w:r>
      <w:r>
        <w:rPr>
          <w:rtl/>
        </w:rPr>
        <w:t xml:space="preserve">, </w:t>
      </w:r>
      <w:r>
        <w:rPr>
          <w:rFonts w:hint="eastAsia"/>
          <w:rtl/>
        </w:rPr>
        <w:t>כמו</w:t>
      </w:r>
      <w:r>
        <w:rPr>
          <w:rtl/>
        </w:rPr>
        <w:t xml:space="preserve"> </w:t>
      </w:r>
      <w:r>
        <w:rPr>
          <w:rFonts w:hint="eastAsia"/>
          <w:rtl/>
        </w:rPr>
        <w:t>גם</w:t>
      </w:r>
      <w:r>
        <w:rPr>
          <w:rtl/>
        </w:rPr>
        <w:t xml:space="preserve"> </w:t>
      </w:r>
      <w:r>
        <w:rPr>
          <w:rFonts w:hint="eastAsia"/>
          <w:rtl/>
        </w:rPr>
        <w:t>בערכים</w:t>
      </w:r>
      <w:r>
        <w:rPr>
          <w:rtl/>
        </w:rPr>
        <w:t xml:space="preserve"> </w:t>
      </w:r>
      <w:r>
        <w:rPr>
          <w:rFonts w:hint="eastAsia"/>
          <w:rtl/>
        </w:rPr>
        <w:t>אחרים</w:t>
      </w:r>
      <w:r>
        <w:rPr>
          <w:rtl/>
        </w:rPr>
        <w:t xml:space="preserve"> </w:t>
      </w:r>
      <w:r>
        <w:rPr>
          <w:rFonts w:hint="eastAsia"/>
          <w:rtl/>
        </w:rPr>
        <w:t>שהמדינה</w:t>
      </w:r>
      <w:r>
        <w:rPr>
          <w:rtl/>
        </w:rPr>
        <w:t xml:space="preserve"> </w:t>
      </w:r>
      <w:r>
        <w:rPr>
          <w:rFonts w:hint="eastAsia"/>
          <w:rtl/>
        </w:rPr>
        <w:t>עתידה</w:t>
      </w:r>
      <w:r>
        <w:rPr>
          <w:rtl/>
        </w:rPr>
        <w:t xml:space="preserve"> </w:t>
      </w:r>
      <w:r>
        <w:rPr>
          <w:rFonts w:hint="eastAsia"/>
          <w:rtl/>
        </w:rPr>
        <w:t>לאמץ</w:t>
      </w:r>
      <w:r>
        <w:rPr>
          <w:rtl/>
        </w:rPr>
        <w:t xml:space="preserve"> </w:t>
      </w:r>
      <w:r>
        <w:rPr>
          <w:rFonts w:hint="eastAsia"/>
          <w:rtl/>
        </w:rPr>
        <w:t>ואשר</w:t>
      </w:r>
      <w:r>
        <w:rPr>
          <w:rtl/>
        </w:rPr>
        <w:t xml:space="preserve"> </w:t>
      </w:r>
      <w:r>
        <w:rPr>
          <w:rFonts w:hint="eastAsia"/>
          <w:rtl/>
        </w:rPr>
        <w:t>יסודם</w:t>
      </w:r>
      <w:r>
        <w:rPr>
          <w:rtl/>
        </w:rPr>
        <w:t xml:space="preserve"> </w:t>
      </w:r>
      <w:r>
        <w:rPr>
          <w:rFonts w:hint="eastAsia"/>
          <w:rtl/>
        </w:rPr>
        <w:t>במורשת</w:t>
      </w:r>
      <w:r>
        <w:rPr>
          <w:rtl/>
        </w:rPr>
        <w:t xml:space="preserve"> </w:t>
      </w:r>
      <w:r>
        <w:rPr>
          <w:rFonts w:hint="eastAsia"/>
          <w:rtl/>
        </w:rPr>
        <w:t>ישראל</w:t>
      </w:r>
      <w:r>
        <w:rPr>
          <w:rFonts w:hint="cs"/>
          <w:rtl/>
        </w:rPr>
        <w:t xml:space="preserve"> [...].</w:t>
      </w:r>
      <w:r>
        <w:rPr>
          <w:rtl/>
        </w:rPr>
        <w:t xml:space="preserve"> </w:t>
      </w:r>
    </w:p>
    <w:p w:rsidR="00BA03D0" w:rsidRDefault="00BA03D0" w:rsidP="00BA03D0">
      <w:pPr>
        <w:pStyle w:val="Ruller5"/>
        <w:rPr>
          <w:rtl/>
        </w:rPr>
      </w:pPr>
    </w:p>
    <w:p w:rsidR="00BA03D0" w:rsidRDefault="00BA03D0" w:rsidP="00BA03D0">
      <w:pPr>
        <w:pStyle w:val="Ruller5"/>
        <w:rPr>
          <w:rtl/>
        </w:rPr>
      </w:pPr>
      <w:r>
        <w:rPr>
          <w:rFonts w:hint="eastAsia"/>
          <w:rtl/>
        </w:rPr>
        <w:t>עם</w:t>
      </w:r>
      <w:r>
        <w:rPr>
          <w:rtl/>
        </w:rPr>
        <w:t xml:space="preserve"> </w:t>
      </w:r>
      <w:r>
        <w:rPr>
          <w:rFonts w:hint="eastAsia"/>
          <w:rtl/>
        </w:rPr>
        <w:t>חקיקתו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היסוד</w:t>
      </w:r>
      <w:r>
        <w:rPr>
          <w:rtl/>
        </w:rPr>
        <w:t xml:space="preserve"> </w:t>
      </w:r>
      <w:r>
        <w:rPr>
          <w:rFonts w:hint="eastAsia"/>
          <w:rtl/>
        </w:rPr>
        <w:t>אין</w:t>
      </w:r>
      <w:r>
        <w:rPr>
          <w:rtl/>
        </w:rPr>
        <w:t xml:space="preserve"> </w:t>
      </w:r>
      <w:r>
        <w:rPr>
          <w:rFonts w:hint="eastAsia"/>
          <w:rtl/>
        </w:rPr>
        <w:t>עוד</w:t>
      </w:r>
      <w:r>
        <w:rPr>
          <w:rtl/>
        </w:rPr>
        <w:t xml:space="preserve"> </w:t>
      </w:r>
      <w:r>
        <w:rPr>
          <w:rFonts w:hint="eastAsia"/>
          <w:rtl/>
        </w:rPr>
        <w:t>מקום</w:t>
      </w:r>
      <w:r>
        <w:rPr>
          <w:rtl/>
        </w:rPr>
        <w:t xml:space="preserve"> </w:t>
      </w:r>
      <w:r>
        <w:rPr>
          <w:rFonts w:hint="eastAsia"/>
          <w:rtl/>
        </w:rPr>
        <w:t>לגישה</w:t>
      </w:r>
      <w:r>
        <w:rPr>
          <w:rtl/>
        </w:rPr>
        <w:t xml:space="preserve"> </w:t>
      </w:r>
      <w:r>
        <w:rPr>
          <w:rFonts w:hint="eastAsia"/>
          <w:rtl/>
        </w:rPr>
        <w:t>המוצאת</w:t>
      </w:r>
      <w:r>
        <w:rPr>
          <w:rtl/>
        </w:rPr>
        <w:t xml:space="preserve"> </w:t>
      </w:r>
      <w:r>
        <w:rPr>
          <w:rFonts w:hint="eastAsia"/>
          <w:rtl/>
        </w:rPr>
        <w:t>את</w:t>
      </w:r>
      <w:r>
        <w:rPr>
          <w:rtl/>
        </w:rPr>
        <w:t xml:space="preserve"> </w:t>
      </w:r>
      <w:r>
        <w:rPr>
          <w:rFonts w:hint="eastAsia"/>
          <w:rtl/>
        </w:rPr>
        <w:t>ערכיה</w:t>
      </w:r>
      <w:r>
        <w:rPr>
          <w:rtl/>
        </w:rPr>
        <w:t xml:space="preserve"> </w:t>
      </w:r>
      <w:r>
        <w:rPr>
          <w:rFonts w:hint="eastAsia"/>
          <w:rtl/>
        </w:rPr>
        <w:t>היהודיים</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רק</w:t>
      </w:r>
      <w:r>
        <w:rPr>
          <w:rtl/>
        </w:rPr>
        <w:t xml:space="preserve"> </w:t>
      </w:r>
      <w:r>
        <w:rPr>
          <w:rFonts w:hint="eastAsia"/>
          <w:rtl/>
        </w:rPr>
        <w:t>היכן</w:t>
      </w:r>
      <w:r>
        <w:rPr>
          <w:rtl/>
        </w:rPr>
        <w:t xml:space="preserve"> </w:t>
      </w:r>
      <w:r>
        <w:rPr>
          <w:rFonts w:hint="eastAsia"/>
          <w:rtl/>
        </w:rPr>
        <w:t>שהם</w:t>
      </w:r>
      <w:r>
        <w:rPr>
          <w:rtl/>
        </w:rPr>
        <w:t xml:space="preserve"> </w:t>
      </w:r>
      <w:r>
        <w:rPr>
          <w:rFonts w:hint="eastAsia"/>
          <w:rtl/>
        </w:rPr>
        <w:t>מתיישבים</w:t>
      </w:r>
      <w:r>
        <w:rPr>
          <w:rtl/>
        </w:rPr>
        <w:t xml:space="preserve"> </w:t>
      </w:r>
      <w:r>
        <w:rPr>
          <w:rFonts w:hint="eastAsia"/>
          <w:rtl/>
        </w:rPr>
        <w:t>עם</w:t>
      </w:r>
      <w:r>
        <w:rPr>
          <w:rtl/>
        </w:rPr>
        <w:t xml:space="preserve"> </w:t>
      </w:r>
      <w:r>
        <w:rPr>
          <w:rFonts w:hint="eastAsia"/>
          <w:rtl/>
        </w:rPr>
        <w:t>הערכים</w:t>
      </w:r>
      <w:r>
        <w:rPr>
          <w:rtl/>
        </w:rPr>
        <w:t xml:space="preserve"> </w:t>
      </w:r>
      <w:r>
        <w:rPr>
          <w:rFonts w:hint="eastAsia"/>
          <w:rtl/>
        </w:rPr>
        <w:t>הדמוקרטיים</w:t>
      </w:r>
      <w:r>
        <w:rPr>
          <w:rtl/>
        </w:rPr>
        <w:t xml:space="preserve">, </w:t>
      </w:r>
      <w:r>
        <w:rPr>
          <w:rFonts w:hint="eastAsia"/>
          <w:rtl/>
        </w:rPr>
        <w:t>כאילו</w:t>
      </w:r>
      <w:r>
        <w:rPr>
          <w:rtl/>
        </w:rPr>
        <w:t xml:space="preserve"> </w:t>
      </w:r>
      <w:r>
        <w:rPr>
          <w:rFonts w:hint="eastAsia"/>
          <w:rtl/>
        </w:rPr>
        <w:t>צוינו</w:t>
      </w:r>
      <w:r>
        <w:rPr>
          <w:rtl/>
        </w:rPr>
        <w:t xml:space="preserve"> </w:t>
      </w:r>
      <w:r>
        <w:rPr>
          <w:rFonts w:hint="eastAsia"/>
          <w:rtl/>
        </w:rPr>
        <w:t>לתפארת</w:t>
      </w:r>
      <w:r>
        <w:rPr>
          <w:rtl/>
        </w:rPr>
        <w:t xml:space="preserve"> </w:t>
      </w:r>
      <w:r>
        <w:rPr>
          <w:rFonts w:hint="eastAsia"/>
          <w:rtl/>
        </w:rPr>
        <w:t>המליצה</w:t>
      </w:r>
      <w:r>
        <w:rPr>
          <w:rtl/>
        </w:rPr>
        <w:t xml:space="preserve"> </w:t>
      </w:r>
      <w:r>
        <w:rPr>
          <w:rFonts w:hint="eastAsia"/>
          <w:rtl/>
        </w:rPr>
        <w:t>בלבד</w:t>
      </w:r>
      <w:r>
        <w:rPr>
          <w:rtl/>
        </w:rPr>
        <w:t xml:space="preserve">. </w:t>
      </w:r>
      <w:r>
        <w:rPr>
          <w:rFonts w:hint="eastAsia"/>
          <w:rtl/>
        </w:rPr>
        <w:t>חוק</w:t>
      </w:r>
      <w:r>
        <w:rPr>
          <w:rtl/>
        </w:rPr>
        <w:t xml:space="preserve"> </w:t>
      </w:r>
      <w:r>
        <w:rPr>
          <w:rFonts w:hint="eastAsia"/>
          <w:rtl/>
        </w:rPr>
        <w:t>יסוד</w:t>
      </w:r>
      <w:r>
        <w:rPr>
          <w:rtl/>
        </w:rPr>
        <w:t xml:space="preserve">: </w:t>
      </w:r>
      <w:r>
        <w:rPr>
          <w:rFonts w:hint="eastAsia"/>
          <w:rtl/>
        </w:rPr>
        <w:t>הלאום</w:t>
      </w:r>
      <w:r>
        <w:rPr>
          <w:rtl/>
        </w:rPr>
        <w:t xml:space="preserve"> </w:t>
      </w:r>
      <w:r>
        <w:rPr>
          <w:rFonts w:hint="eastAsia"/>
          <w:rtl/>
        </w:rPr>
        <w:t>שהינו</w:t>
      </w:r>
      <w:r>
        <w:rPr>
          <w:rtl/>
        </w:rPr>
        <w:t xml:space="preserve"> </w:t>
      </w:r>
      <w:r>
        <w:rPr>
          <w:rFonts w:hint="eastAsia"/>
          <w:rtl/>
        </w:rPr>
        <w:t>ביטוי</w:t>
      </w:r>
      <w:r>
        <w:rPr>
          <w:rtl/>
        </w:rPr>
        <w:t xml:space="preserve"> </w:t>
      </w:r>
      <w:r>
        <w:rPr>
          <w:rFonts w:hint="eastAsia"/>
          <w:rtl/>
        </w:rPr>
        <w:t>לגיטימי</w:t>
      </w:r>
      <w:r>
        <w:rPr>
          <w:rtl/>
        </w:rPr>
        <w:t xml:space="preserve"> </w:t>
      </w:r>
      <w:r>
        <w:rPr>
          <w:rFonts w:hint="eastAsia"/>
          <w:rtl/>
        </w:rPr>
        <w:t>ביותר</w:t>
      </w:r>
      <w:r>
        <w:rPr>
          <w:rtl/>
        </w:rPr>
        <w:t xml:space="preserve"> </w:t>
      </w:r>
      <w:r>
        <w:rPr>
          <w:rFonts w:hint="eastAsia"/>
          <w:rtl/>
        </w:rPr>
        <w:t>ואף</w:t>
      </w:r>
      <w:r>
        <w:rPr>
          <w:rtl/>
        </w:rPr>
        <w:t xml:space="preserve"> </w:t>
      </w:r>
      <w:r>
        <w:rPr>
          <w:rFonts w:hint="eastAsia"/>
          <w:rtl/>
        </w:rPr>
        <w:t>מתבקש</w:t>
      </w:r>
      <w:r>
        <w:rPr>
          <w:rtl/>
        </w:rPr>
        <w:t xml:space="preserve"> </w:t>
      </w:r>
      <w:r>
        <w:rPr>
          <w:rFonts w:hint="eastAsia"/>
          <w:rtl/>
        </w:rPr>
        <w:t>נוכח</w:t>
      </w:r>
      <w:r>
        <w:rPr>
          <w:rtl/>
        </w:rPr>
        <w:t xml:space="preserve"> </w:t>
      </w:r>
      <w:r>
        <w:rPr>
          <w:rFonts w:hint="eastAsia"/>
          <w:rtl/>
        </w:rPr>
        <w:t>שאיפתו</w:t>
      </w:r>
      <w:r>
        <w:rPr>
          <w:rtl/>
        </w:rPr>
        <w:t xml:space="preserve"> </w:t>
      </w:r>
      <w:r>
        <w:rPr>
          <w:rFonts w:hint="eastAsia"/>
          <w:rtl/>
        </w:rPr>
        <w:t>הלאומית</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היושב</w:t>
      </w:r>
      <w:r>
        <w:rPr>
          <w:rtl/>
        </w:rPr>
        <w:t xml:space="preserve"> </w:t>
      </w:r>
      <w:r>
        <w:rPr>
          <w:rFonts w:hint="eastAsia"/>
          <w:rtl/>
        </w:rPr>
        <w:t>בציון</w:t>
      </w:r>
      <w:r>
        <w:rPr>
          <w:rtl/>
        </w:rPr>
        <w:t xml:space="preserve">, </w:t>
      </w:r>
      <w:r>
        <w:rPr>
          <w:rFonts w:hint="eastAsia"/>
          <w:rtl/>
        </w:rPr>
        <w:t>מגדיר</w:t>
      </w:r>
      <w:r>
        <w:rPr>
          <w:rtl/>
        </w:rPr>
        <w:t xml:space="preserve"> </w:t>
      </w:r>
      <w:r>
        <w:rPr>
          <w:rFonts w:hint="eastAsia"/>
          <w:rtl/>
        </w:rPr>
        <w:t>בבהירות</w:t>
      </w:r>
      <w:r>
        <w:rPr>
          <w:rtl/>
        </w:rPr>
        <w:t xml:space="preserve"> </w:t>
      </w:r>
      <w:r>
        <w:rPr>
          <w:rFonts w:hint="eastAsia"/>
          <w:rtl/>
        </w:rPr>
        <w:t>מהם</w:t>
      </w:r>
      <w:r>
        <w:rPr>
          <w:rtl/>
        </w:rPr>
        <w:t xml:space="preserve"> </w:t>
      </w:r>
      <w:r>
        <w:rPr>
          <w:rFonts w:hint="eastAsia"/>
          <w:rtl/>
        </w:rPr>
        <w:t>המאפיינים</w:t>
      </w:r>
      <w:r>
        <w:rPr>
          <w:rtl/>
        </w:rPr>
        <w:t xml:space="preserve"> </w:t>
      </w:r>
      <w:r>
        <w:rPr>
          <w:rFonts w:hint="eastAsia"/>
          <w:rtl/>
        </w:rPr>
        <w:t>היהודיים</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הנגזרים</w:t>
      </w:r>
      <w:r>
        <w:rPr>
          <w:rtl/>
        </w:rPr>
        <w:t xml:space="preserve"> </w:t>
      </w:r>
      <w:r>
        <w:rPr>
          <w:rFonts w:hint="eastAsia"/>
          <w:rtl/>
        </w:rPr>
        <w:t>מאופיה</w:t>
      </w:r>
      <w:r>
        <w:rPr>
          <w:rtl/>
        </w:rPr>
        <w:t xml:space="preserve"> </w:t>
      </w:r>
      <w:r>
        <w:rPr>
          <w:rFonts w:hint="eastAsia"/>
          <w:rtl/>
        </w:rPr>
        <w:t>הלאומי</w:t>
      </w:r>
      <w:r>
        <w:rPr>
          <w:rtl/>
        </w:rPr>
        <w:t xml:space="preserve">: </w:t>
      </w:r>
      <w:r>
        <w:rPr>
          <w:rFonts w:hint="eastAsia"/>
          <w:rtl/>
        </w:rPr>
        <w:t>השיוך</w:t>
      </w:r>
      <w:r>
        <w:rPr>
          <w:rtl/>
        </w:rPr>
        <w:t xml:space="preserve"> </w:t>
      </w:r>
      <w:r>
        <w:rPr>
          <w:rFonts w:hint="eastAsia"/>
          <w:rtl/>
        </w:rPr>
        <w:t>ההיסטורי</w:t>
      </w:r>
      <w:r>
        <w:rPr>
          <w:rtl/>
        </w:rPr>
        <w:t xml:space="preserve"> </w:t>
      </w:r>
      <w:r>
        <w:rPr>
          <w:rFonts w:hint="eastAsia"/>
          <w:rtl/>
        </w:rPr>
        <w:t>לארץ</w:t>
      </w:r>
      <w:r>
        <w:rPr>
          <w:rtl/>
        </w:rPr>
        <w:t xml:space="preserve"> </w:t>
      </w:r>
      <w:r>
        <w:rPr>
          <w:rFonts w:hint="eastAsia"/>
          <w:rtl/>
        </w:rPr>
        <w:t>ישראל</w:t>
      </w:r>
      <w:r>
        <w:rPr>
          <w:rtl/>
        </w:rPr>
        <w:t xml:space="preserve">; </w:t>
      </w:r>
      <w:r>
        <w:rPr>
          <w:rFonts w:hint="eastAsia"/>
          <w:rtl/>
        </w:rPr>
        <w:t>מימוש</w:t>
      </w:r>
      <w:r>
        <w:rPr>
          <w:rtl/>
        </w:rPr>
        <w:t xml:space="preserve"> </w:t>
      </w:r>
      <w:r>
        <w:rPr>
          <w:rFonts w:hint="eastAsia"/>
          <w:rtl/>
        </w:rPr>
        <w:t>הזכות</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להגדרה</w:t>
      </w:r>
      <w:r>
        <w:rPr>
          <w:rtl/>
        </w:rPr>
        <w:t xml:space="preserve"> </w:t>
      </w:r>
      <w:r>
        <w:rPr>
          <w:rFonts w:hint="eastAsia"/>
          <w:rtl/>
        </w:rPr>
        <w:t>עצמית</w:t>
      </w:r>
      <w:r>
        <w:rPr>
          <w:rtl/>
        </w:rPr>
        <w:t xml:space="preserve">; </w:t>
      </w:r>
      <w:r>
        <w:rPr>
          <w:rFonts w:hint="eastAsia"/>
          <w:rtl/>
        </w:rPr>
        <w:t>סמל</w:t>
      </w:r>
      <w:r>
        <w:rPr>
          <w:rtl/>
        </w:rPr>
        <w:t xml:space="preserve"> </w:t>
      </w:r>
      <w:r>
        <w:rPr>
          <w:rFonts w:hint="eastAsia"/>
          <w:rtl/>
        </w:rPr>
        <w:t>המדינה</w:t>
      </w:r>
      <w:r>
        <w:rPr>
          <w:rtl/>
        </w:rPr>
        <w:t xml:space="preserve"> </w:t>
      </w:r>
      <w:r>
        <w:rPr>
          <w:rFonts w:hint="eastAsia"/>
          <w:rtl/>
        </w:rPr>
        <w:t>המסמל</w:t>
      </w:r>
      <w:r>
        <w:rPr>
          <w:rtl/>
        </w:rPr>
        <w:t xml:space="preserve"> </w:t>
      </w:r>
      <w:r>
        <w:rPr>
          <w:rFonts w:hint="eastAsia"/>
          <w:rtl/>
        </w:rPr>
        <w:t>את</w:t>
      </w:r>
      <w:r>
        <w:rPr>
          <w:rtl/>
        </w:rPr>
        <w:t xml:space="preserve"> </w:t>
      </w:r>
      <w:r>
        <w:rPr>
          <w:rFonts w:hint="eastAsia"/>
          <w:rtl/>
        </w:rPr>
        <w:t>מנורת</w:t>
      </w:r>
      <w:r>
        <w:rPr>
          <w:rtl/>
        </w:rPr>
        <w:t xml:space="preserve"> </w:t>
      </w:r>
      <w:r>
        <w:rPr>
          <w:rFonts w:hint="eastAsia"/>
          <w:rtl/>
        </w:rPr>
        <w:t>שבעת</w:t>
      </w:r>
      <w:r>
        <w:rPr>
          <w:rtl/>
        </w:rPr>
        <w:t xml:space="preserve"> </w:t>
      </w:r>
      <w:r>
        <w:rPr>
          <w:rFonts w:hint="eastAsia"/>
          <w:rtl/>
        </w:rPr>
        <w:t>הקנים</w:t>
      </w:r>
      <w:r>
        <w:rPr>
          <w:rtl/>
        </w:rPr>
        <w:t xml:space="preserve"> </w:t>
      </w:r>
      <w:r>
        <w:rPr>
          <w:rFonts w:hint="eastAsia"/>
          <w:rtl/>
        </w:rPr>
        <w:t>שעמדה</w:t>
      </w:r>
      <w:r>
        <w:rPr>
          <w:rtl/>
        </w:rPr>
        <w:t xml:space="preserve"> </w:t>
      </w:r>
      <w:r>
        <w:rPr>
          <w:rFonts w:hint="eastAsia"/>
          <w:rtl/>
        </w:rPr>
        <w:t>בתוככי</w:t>
      </w:r>
      <w:r>
        <w:rPr>
          <w:rtl/>
        </w:rPr>
        <w:t xml:space="preserve"> </w:t>
      </w:r>
      <w:r>
        <w:rPr>
          <w:rFonts w:hint="eastAsia"/>
          <w:rtl/>
        </w:rPr>
        <w:t>בית</w:t>
      </w:r>
      <w:r>
        <w:rPr>
          <w:rtl/>
        </w:rPr>
        <w:t xml:space="preserve"> </w:t>
      </w:r>
      <w:r>
        <w:rPr>
          <w:rFonts w:hint="eastAsia"/>
          <w:rtl/>
        </w:rPr>
        <w:t>המקדש</w:t>
      </w:r>
      <w:r>
        <w:rPr>
          <w:rtl/>
        </w:rPr>
        <w:t xml:space="preserve"> </w:t>
      </w:r>
      <w:r>
        <w:rPr>
          <w:rFonts w:hint="eastAsia"/>
          <w:rtl/>
        </w:rPr>
        <w:t>ואשר</w:t>
      </w:r>
      <w:r>
        <w:rPr>
          <w:rtl/>
        </w:rPr>
        <w:t xml:space="preserve"> </w:t>
      </w:r>
      <w:r>
        <w:rPr>
          <w:rFonts w:hint="eastAsia"/>
          <w:rtl/>
        </w:rPr>
        <w:t>נשדדה</w:t>
      </w:r>
      <w:r>
        <w:rPr>
          <w:rtl/>
        </w:rPr>
        <w:t xml:space="preserve"> </w:t>
      </w:r>
      <w:r>
        <w:rPr>
          <w:rFonts w:hint="eastAsia"/>
          <w:rtl/>
        </w:rPr>
        <w:t>על</w:t>
      </w:r>
      <w:r>
        <w:rPr>
          <w:rtl/>
        </w:rPr>
        <w:t xml:space="preserve"> </w:t>
      </w:r>
      <w:r>
        <w:rPr>
          <w:rFonts w:hint="eastAsia"/>
          <w:rtl/>
        </w:rPr>
        <w:t>ידי</w:t>
      </w:r>
      <w:r>
        <w:rPr>
          <w:rtl/>
        </w:rPr>
        <w:t xml:space="preserve"> </w:t>
      </w:r>
      <w:r>
        <w:rPr>
          <w:rFonts w:hint="eastAsia"/>
          <w:rtl/>
        </w:rPr>
        <w:t>מחריביו</w:t>
      </w:r>
      <w:r>
        <w:rPr>
          <w:rtl/>
        </w:rPr>
        <w:t xml:space="preserve">; </w:t>
      </w:r>
      <w:r>
        <w:rPr>
          <w:rFonts w:hint="eastAsia"/>
          <w:rtl/>
        </w:rPr>
        <w:t>ירושלים</w:t>
      </w:r>
      <w:r>
        <w:rPr>
          <w:rtl/>
        </w:rPr>
        <w:t xml:space="preserve"> </w:t>
      </w:r>
      <w:r>
        <w:rPr>
          <w:rFonts w:hint="eastAsia"/>
          <w:rtl/>
        </w:rPr>
        <w:t>כבירת</w:t>
      </w:r>
      <w:r>
        <w:rPr>
          <w:rtl/>
        </w:rPr>
        <w:t xml:space="preserve"> </w:t>
      </w:r>
      <w:r>
        <w:rPr>
          <w:rFonts w:hint="eastAsia"/>
          <w:rtl/>
        </w:rPr>
        <w:t>המדינה</w:t>
      </w:r>
      <w:r>
        <w:rPr>
          <w:rtl/>
        </w:rPr>
        <w:t xml:space="preserve">; </w:t>
      </w:r>
      <w:r>
        <w:rPr>
          <w:rFonts w:hint="eastAsia"/>
          <w:rtl/>
        </w:rPr>
        <w:t>השפה</w:t>
      </w:r>
      <w:r>
        <w:rPr>
          <w:rtl/>
        </w:rPr>
        <w:t xml:space="preserve"> </w:t>
      </w:r>
      <w:r>
        <w:rPr>
          <w:rFonts w:hint="eastAsia"/>
          <w:rtl/>
        </w:rPr>
        <w:t>העברית</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וקליטת</w:t>
      </w:r>
      <w:r>
        <w:rPr>
          <w:rtl/>
        </w:rPr>
        <w:t xml:space="preserve"> </w:t>
      </w:r>
      <w:r>
        <w:rPr>
          <w:rFonts w:hint="eastAsia"/>
          <w:rtl/>
        </w:rPr>
        <w:t>עליה</w:t>
      </w:r>
      <w:r>
        <w:rPr>
          <w:rtl/>
        </w:rPr>
        <w:t xml:space="preserve">; </w:t>
      </w:r>
      <w:r>
        <w:rPr>
          <w:rFonts w:hint="eastAsia"/>
          <w:rtl/>
        </w:rPr>
        <w:t>קשר</w:t>
      </w:r>
      <w:r>
        <w:rPr>
          <w:rtl/>
        </w:rPr>
        <w:t xml:space="preserve"> </w:t>
      </w:r>
      <w:r>
        <w:rPr>
          <w:rFonts w:hint="eastAsia"/>
          <w:rtl/>
        </w:rPr>
        <w:t>עם</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בתפוצות</w:t>
      </w:r>
      <w:r>
        <w:rPr>
          <w:rtl/>
        </w:rPr>
        <w:t xml:space="preserve">; </w:t>
      </w:r>
      <w:r>
        <w:rPr>
          <w:rFonts w:hint="eastAsia"/>
          <w:rtl/>
        </w:rPr>
        <w:t>התיישבות</w:t>
      </w:r>
      <w:r>
        <w:rPr>
          <w:rtl/>
        </w:rPr>
        <w:t xml:space="preserve"> </w:t>
      </w:r>
      <w:r>
        <w:rPr>
          <w:rFonts w:hint="eastAsia"/>
          <w:rtl/>
        </w:rPr>
        <w:t>יהודית</w:t>
      </w:r>
      <w:r>
        <w:rPr>
          <w:rtl/>
        </w:rPr>
        <w:t xml:space="preserve"> </w:t>
      </w:r>
      <w:r>
        <w:rPr>
          <w:rFonts w:hint="eastAsia"/>
          <w:rtl/>
        </w:rPr>
        <w:t>בארץ</w:t>
      </w:r>
      <w:r>
        <w:rPr>
          <w:rtl/>
        </w:rPr>
        <w:t xml:space="preserve">; </w:t>
      </w:r>
      <w:r>
        <w:rPr>
          <w:rFonts w:hint="eastAsia"/>
          <w:rtl/>
        </w:rPr>
        <w:t>לוח</w:t>
      </w:r>
      <w:r>
        <w:rPr>
          <w:rtl/>
        </w:rPr>
        <w:t xml:space="preserve"> </w:t>
      </w:r>
      <w:r>
        <w:rPr>
          <w:rFonts w:hint="eastAsia"/>
          <w:rtl/>
        </w:rPr>
        <w:t>שנה</w:t>
      </w:r>
      <w:r>
        <w:rPr>
          <w:rtl/>
        </w:rPr>
        <w:t xml:space="preserve"> </w:t>
      </w:r>
      <w:r>
        <w:rPr>
          <w:rFonts w:hint="eastAsia"/>
          <w:rtl/>
        </w:rPr>
        <w:t>עברי</w:t>
      </w:r>
      <w:r>
        <w:rPr>
          <w:rtl/>
        </w:rPr>
        <w:t xml:space="preserve">; </w:t>
      </w:r>
      <w:r>
        <w:rPr>
          <w:rFonts w:hint="eastAsia"/>
          <w:rtl/>
        </w:rPr>
        <w:t>ימי</w:t>
      </w:r>
      <w:r>
        <w:rPr>
          <w:rtl/>
        </w:rPr>
        <w:t xml:space="preserve"> </w:t>
      </w:r>
      <w:r>
        <w:rPr>
          <w:rFonts w:hint="eastAsia"/>
          <w:rtl/>
        </w:rPr>
        <w:t>הזיכרון</w:t>
      </w:r>
      <w:r>
        <w:rPr>
          <w:rtl/>
        </w:rPr>
        <w:t xml:space="preserve">; </w:t>
      </w:r>
      <w:r>
        <w:rPr>
          <w:rFonts w:hint="eastAsia"/>
          <w:rtl/>
        </w:rPr>
        <w:t>ימי</w:t>
      </w:r>
      <w:r>
        <w:rPr>
          <w:rtl/>
        </w:rPr>
        <w:t xml:space="preserve"> </w:t>
      </w:r>
      <w:r>
        <w:rPr>
          <w:rFonts w:hint="eastAsia"/>
          <w:rtl/>
        </w:rPr>
        <w:t>המנוחה</w:t>
      </w:r>
      <w:r>
        <w:rPr>
          <w:rtl/>
        </w:rPr>
        <w:t xml:space="preserve"> </w:t>
      </w:r>
      <w:r>
        <w:rPr>
          <w:rFonts w:hint="eastAsia"/>
          <w:rtl/>
        </w:rPr>
        <w:t>והמועדים</w:t>
      </w:r>
      <w:r>
        <w:rPr>
          <w:rtl/>
        </w:rPr>
        <w:t xml:space="preserve">. </w:t>
      </w:r>
      <w:r>
        <w:rPr>
          <w:rFonts w:hint="eastAsia"/>
          <w:rtl/>
        </w:rPr>
        <w:t>סממנים</w:t>
      </w:r>
      <w:r>
        <w:rPr>
          <w:rtl/>
        </w:rPr>
        <w:t xml:space="preserve"> </w:t>
      </w:r>
      <w:r>
        <w:rPr>
          <w:rFonts w:hint="eastAsia"/>
          <w:rtl/>
        </w:rPr>
        <w:t>אלו</w:t>
      </w:r>
      <w:r>
        <w:rPr>
          <w:rtl/>
        </w:rPr>
        <w:t xml:space="preserve">, </w:t>
      </w:r>
      <w:r>
        <w:rPr>
          <w:rFonts w:hint="eastAsia"/>
          <w:rtl/>
        </w:rPr>
        <w:t>אשר</w:t>
      </w:r>
      <w:r>
        <w:rPr>
          <w:rtl/>
        </w:rPr>
        <w:t xml:space="preserve"> </w:t>
      </w:r>
      <w:r>
        <w:rPr>
          <w:rFonts w:hint="eastAsia"/>
          <w:rtl/>
        </w:rPr>
        <w:t>חלקם</w:t>
      </w:r>
      <w:r>
        <w:rPr>
          <w:rtl/>
        </w:rPr>
        <w:t xml:space="preserve"> </w:t>
      </w:r>
      <w:r>
        <w:rPr>
          <w:rFonts w:hint="eastAsia"/>
          <w:rtl/>
        </w:rPr>
        <w:t>נזכרו</w:t>
      </w:r>
      <w:r>
        <w:rPr>
          <w:rtl/>
        </w:rPr>
        <w:t xml:space="preserve"> </w:t>
      </w:r>
      <w:r>
        <w:rPr>
          <w:rFonts w:hint="eastAsia"/>
          <w:rtl/>
        </w:rPr>
        <w:t>בעבר</w:t>
      </w:r>
      <w:r>
        <w:rPr>
          <w:rtl/>
        </w:rPr>
        <w:t xml:space="preserve"> </w:t>
      </w:r>
      <w:r>
        <w:rPr>
          <w:rFonts w:hint="eastAsia"/>
          <w:rtl/>
        </w:rPr>
        <w:t>בפסיקה</w:t>
      </w:r>
      <w:r>
        <w:rPr>
          <w:rtl/>
        </w:rPr>
        <w:t xml:space="preserve">, </w:t>
      </w:r>
      <w:r>
        <w:rPr>
          <w:rFonts w:hint="eastAsia"/>
          <w:rtl/>
        </w:rPr>
        <w:t>חלקם</w:t>
      </w:r>
      <w:r>
        <w:rPr>
          <w:rtl/>
        </w:rPr>
        <w:t xml:space="preserve"> </w:t>
      </w:r>
      <w:r>
        <w:rPr>
          <w:rFonts w:hint="eastAsia"/>
          <w:rtl/>
        </w:rPr>
        <w:t>לא</w:t>
      </w:r>
      <w:r>
        <w:rPr>
          <w:rtl/>
        </w:rPr>
        <w:t xml:space="preserve"> </w:t>
      </w:r>
      <w:r>
        <w:rPr>
          <w:rFonts w:hint="eastAsia"/>
          <w:rtl/>
        </w:rPr>
        <w:t>נזכרו</w:t>
      </w:r>
      <w:r>
        <w:rPr>
          <w:rtl/>
        </w:rPr>
        <w:t xml:space="preserve"> </w:t>
      </w:r>
      <w:r>
        <w:rPr>
          <w:rFonts w:hint="eastAsia"/>
          <w:rtl/>
        </w:rPr>
        <w:t>עד</w:t>
      </w:r>
      <w:r>
        <w:rPr>
          <w:rtl/>
        </w:rPr>
        <w:t xml:space="preserve"> </w:t>
      </w:r>
      <w:r>
        <w:rPr>
          <w:rFonts w:hint="eastAsia"/>
          <w:rtl/>
        </w:rPr>
        <w:t>עתה</w:t>
      </w:r>
      <w:r>
        <w:rPr>
          <w:rtl/>
        </w:rPr>
        <w:t xml:space="preserve"> </w:t>
      </w:r>
      <w:r>
        <w:rPr>
          <w:rFonts w:hint="eastAsia"/>
          <w:rtl/>
        </w:rPr>
        <w:t>בפסיקה</w:t>
      </w:r>
      <w:r>
        <w:rPr>
          <w:rtl/>
        </w:rPr>
        <w:t xml:space="preserve">, </w:t>
      </w:r>
      <w:r>
        <w:rPr>
          <w:rFonts w:hint="eastAsia"/>
          <w:rtl/>
        </w:rPr>
        <w:t>ולחלקם</w:t>
      </w:r>
      <w:r>
        <w:rPr>
          <w:rtl/>
        </w:rPr>
        <w:t xml:space="preserve"> </w:t>
      </w:r>
      <w:r>
        <w:rPr>
          <w:rFonts w:hint="eastAsia"/>
          <w:rtl/>
        </w:rPr>
        <w:t>לא</w:t>
      </w:r>
      <w:r>
        <w:rPr>
          <w:rtl/>
        </w:rPr>
        <w:t xml:space="preserve"> </w:t>
      </w:r>
      <w:r>
        <w:rPr>
          <w:rFonts w:hint="eastAsia"/>
          <w:rtl/>
        </w:rPr>
        <w:t>ניתן</w:t>
      </w:r>
      <w:r>
        <w:rPr>
          <w:rtl/>
        </w:rPr>
        <w:t xml:space="preserve"> </w:t>
      </w:r>
      <w:r>
        <w:rPr>
          <w:rFonts w:hint="eastAsia"/>
          <w:rtl/>
        </w:rPr>
        <w:t>מעמד</w:t>
      </w:r>
      <w:r>
        <w:rPr>
          <w:rtl/>
        </w:rPr>
        <w:t xml:space="preserve"> </w:t>
      </w:r>
      <w:r>
        <w:rPr>
          <w:rFonts w:hint="eastAsia"/>
          <w:rtl/>
        </w:rPr>
        <w:t>ברור</w:t>
      </w:r>
      <w:r>
        <w:rPr>
          <w:rtl/>
        </w:rPr>
        <w:t xml:space="preserve"> – </w:t>
      </w:r>
      <w:r>
        <w:rPr>
          <w:rFonts w:hint="eastAsia"/>
          <w:rtl/>
        </w:rPr>
        <w:t>הפכו</w:t>
      </w:r>
      <w:r>
        <w:rPr>
          <w:rtl/>
        </w:rPr>
        <w:t xml:space="preserve"> </w:t>
      </w:r>
      <w:r>
        <w:rPr>
          <w:rFonts w:hint="eastAsia"/>
          <w:rtl/>
        </w:rPr>
        <w:t>עתה</w:t>
      </w:r>
      <w:r>
        <w:rPr>
          <w:rtl/>
        </w:rPr>
        <w:t xml:space="preserve"> </w:t>
      </w:r>
      <w:r>
        <w:rPr>
          <w:rFonts w:hint="eastAsia"/>
          <w:rtl/>
        </w:rPr>
        <w:t>להיות</w:t>
      </w:r>
      <w:r>
        <w:rPr>
          <w:rtl/>
        </w:rPr>
        <w:t xml:space="preserve"> </w:t>
      </w:r>
      <w:r>
        <w:rPr>
          <w:rFonts w:hint="eastAsia"/>
          <w:rtl/>
        </w:rPr>
        <w:t>חלק</w:t>
      </w:r>
      <w:r>
        <w:rPr>
          <w:rtl/>
        </w:rPr>
        <w:t xml:space="preserve"> </w:t>
      </w:r>
      <w:r>
        <w:rPr>
          <w:rFonts w:hint="eastAsia"/>
          <w:rtl/>
        </w:rPr>
        <w:t>משמעותי</w:t>
      </w:r>
      <w:r>
        <w:rPr>
          <w:rtl/>
        </w:rPr>
        <w:t xml:space="preserve"> </w:t>
      </w:r>
      <w:r>
        <w:rPr>
          <w:rFonts w:hint="eastAsia"/>
          <w:rtl/>
        </w:rPr>
        <w:t>ממהותה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כמדינתו</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וחלק</w:t>
      </w:r>
      <w:r>
        <w:rPr>
          <w:rtl/>
        </w:rPr>
        <w:t xml:space="preserve"> </w:t>
      </w:r>
      <w:r>
        <w:rPr>
          <w:rFonts w:hint="eastAsia"/>
          <w:rtl/>
        </w:rPr>
        <w:t>מן</w:t>
      </w:r>
      <w:r>
        <w:rPr>
          <w:rtl/>
        </w:rPr>
        <w:t xml:space="preserve"> </w:t>
      </w:r>
      <w:r>
        <w:rPr>
          <w:rFonts w:hint="eastAsia"/>
          <w:rtl/>
        </w:rPr>
        <w:t>המשפט</w:t>
      </w:r>
      <w:r>
        <w:rPr>
          <w:rtl/>
        </w:rPr>
        <w:t xml:space="preserve"> </w:t>
      </w:r>
      <w:r>
        <w:rPr>
          <w:rFonts w:hint="eastAsia"/>
          <w:rtl/>
        </w:rPr>
        <w:t>החוקתי</w:t>
      </w:r>
      <w:r>
        <w:rPr>
          <w:rtl/>
        </w:rPr>
        <w:t xml:space="preserve"> </w:t>
      </w:r>
      <w:r>
        <w:rPr>
          <w:rFonts w:hint="eastAsia"/>
          <w:rtl/>
        </w:rPr>
        <w:t>הישראלי</w:t>
      </w:r>
      <w:r>
        <w:rPr>
          <w:rtl/>
        </w:rPr>
        <w:t>.</w:t>
      </w:r>
    </w:p>
    <w:p w:rsidR="00BA03D0" w:rsidRDefault="00BA03D0" w:rsidP="00BA03D0">
      <w:pPr>
        <w:pStyle w:val="Ruller5"/>
        <w:rPr>
          <w:rtl/>
        </w:rPr>
      </w:pPr>
    </w:p>
    <w:p w:rsidR="00BA03D0" w:rsidRPr="00A71F8B" w:rsidRDefault="00BA03D0" w:rsidP="00BA03D0">
      <w:pPr>
        <w:pStyle w:val="Ruller5"/>
        <w:rPr>
          <w:rtl/>
        </w:rPr>
      </w:pPr>
      <w:r>
        <w:rPr>
          <w:rFonts w:hint="eastAsia"/>
          <w:rtl/>
        </w:rPr>
        <w:t>לצד</w:t>
      </w:r>
      <w:r>
        <w:rPr>
          <w:rtl/>
        </w:rPr>
        <w:t xml:space="preserve"> </w:t>
      </w:r>
      <w:r>
        <w:rPr>
          <w:rFonts w:hint="eastAsia"/>
          <w:rtl/>
        </w:rPr>
        <w:t>זאת</w:t>
      </w:r>
      <w:r>
        <w:rPr>
          <w:rtl/>
        </w:rPr>
        <w:t xml:space="preserve"> </w:t>
      </w:r>
      <w:r>
        <w:rPr>
          <w:rFonts w:hint="eastAsia"/>
          <w:rtl/>
        </w:rPr>
        <w:t>אעיר</w:t>
      </w:r>
      <w:r>
        <w:rPr>
          <w:rtl/>
        </w:rPr>
        <w:t xml:space="preserve"> </w:t>
      </w:r>
      <w:r>
        <w:rPr>
          <w:rFonts w:hint="eastAsia"/>
          <w:rtl/>
        </w:rPr>
        <w:t>במאמר</w:t>
      </w:r>
      <w:r>
        <w:rPr>
          <w:rtl/>
        </w:rPr>
        <w:t xml:space="preserve"> </w:t>
      </w:r>
      <w:r>
        <w:rPr>
          <w:rFonts w:hint="eastAsia"/>
          <w:rtl/>
        </w:rPr>
        <w:t>מוסגר</w:t>
      </w:r>
      <w:r>
        <w:rPr>
          <w:rtl/>
        </w:rPr>
        <w:t xml:space="preserve"> </w:t>
      </w:r>
      <w:r>
        <w:rPr>
          <w:rFonts w:hint="eastAsia"/>
          <w:rtl/>
        </w:rPr>
        <w:t>כי</w:t>
      </w:r>
      <w:r>
        <w:rPr>
          <w:rtl/>
        </w:rPr>
        <w:t xml:space="preserve"> </w:t>
      </w:r>
      <w:r>
        <w:rPr>
          <w:rFonts w:hint="eastAsia"/>
          <w:rtl/>
        </w:rPr>
        <w:t>ניתן</w:t>
      </w:r>
      <w:r>
        <w:rPr>
          <w:rtl/>
        </w:rPr>
        <w:t xml:space="preserve"> </w:t>
      </w:r>
      <w:r>
        <w:rPr>
          <w:rFonts w:hint="eastAsia"/>
          <w:rtl/>
        </w:rPr>
        <w:t>לסבור</w:t>
      </w:r>
      <w:r>
        <w:rPr>
          <w:rtl/>
        </w:rPr>
        <w:t xml:space="preserve"> </w:t>
      </w:r>
      <w:r>
        <w:rPr>
          <w:rFonts w:hint="eastAsia"/>
          <w:rtl/>
        </w:rPr>
        <w:t>שהוראותיו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יסוד</w:t>
      </w:r>
      <w:r>
        <w:rPr>
          <w:rtl/>
        </w:rPr>
        <w:t xml:space="preserve">: </w:t>
      </w:r>
      <w:r>
        <w:rPr>
          <w:rFonts w:hint="eastAsia"/>
          <w:rtl/>
        </w:rPr>
        <w:t>הלאום</w:t>
      </w:r>
      <w:r>
        <w:rPr>
          <w:rtl/>
        </w:rPr>
        <w:t xml:space="preserve"> </w:t>
      </w:r>
      <w:r>
        <w:rPr>
          <w:rFonts w:hint="eastAsia"/>
          <w:rtl/>
        </w:rPr>
        <w:t>אינן</w:t>
      </w:r>
      <w:r>
        <w:rPr>
          <w:rtl/>
        </w:rPr>
        <w:t xml:space="preserve"> </w:t>
      </w:r>
      <w:r>
        <w:rPr>
          <w:rFonts w:hint="eastAsia"/>
          <w:rtl/>
        </w:rPr>
        <w:t>מביאות</w:t>
      </w:r>
      <w:r>
        <w:rPr>
          <w:rtl/>
        </w:rPr>
        <w:t xml:space="preserve"> </w:t>
      </w:r>
      <w:r>
        <w:rPr>
          <w:rFonts w:hint="eastAsia"/>
          <w:rtl/>
        </w:rPr>
        <w:t>לידי</w:t>
      </w:r>
      <w:r>
        <w:rPr>
          <w:rtl/>
        </w:rPr>
        <w:t xml:space="preserve"> </w:t>
      </w:r>
      <w:r>
        <w:rPr>
          <w:rFonts w:hint="eastAsia"/>
          <w:rtl/>
        </w:rPr>
        <w:t>ביטוי</w:t>
      </w:r>
      <w:r>
        <w:rPr>
          <w:rtl/>
        </w:rPr>
        <w:t xml:space="preserve"> </w:t>
      </w:r>
      <w:r>
        <w:rPr>
          <w:rFonts w:hint="eastAsia"/>
          <w:rtl/>
        </w:rPr>
        <w:t>את</w:t>
      </w:r>
      <w:r>
        <w:rPr>
          <w:rtl/>
        </w:rPr>
        <w:t xml:space="preserve"> </w:t>
      </w:r>
      <w:r>
        <w:rPr>
          <w:rFonts w:hint="eastAsia"/>
          <w:rtl/>
        </w:rPr>
        <w:t>כלל</w:t>
      </w:r>
      <w:r>
        <w:rPr>
          <w:rtl/>
        </w:rPr>
        <w:t xml:space="preserve"> </w:t>
      </w:r>
      <w:r>
        <w:rPr>
          <w:rFonts w:hint="eastAsia"/>
          <w:rtl/>
        </w:rPr>
        <w:t>ערכיה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כמדינה</w:t>
      </w:r>
      <w:r>
        <w:rPr>
          <w:rtl/>
        </w:rPr>
        <w:t xml:space="preserve"> </w:t>
      </w:r>
      <w:r>
        <w:rPr>
          <w:rFonts w:hint="eastAsia"/>
          <w:rtl/>
        </w:rPr>
        <w:t>יהודית</w:t>
      </w:r>
      <w:r>
        <w:rPr>
          <w:rtl/>
        </w:rPr>
        <w:t xml:space="preserve">. </w:t>
      </w:r>
      <w:r>
        <w:rPr>
          <w:rFonts w:hint="eastAsia"/>
          <w:rtl/>
        </w:rPr>
        <w:t>שמו</w:t>
      </w:r>
      <w:r>
        <w:rPr>
          <w:rtl/>
        </w:rPr>
        <w:t xml:space="preserve"> </w:t>
      </w:r>
      <w:r>
        <w:rPr>
          <w:rFonts w:hint="eastAsia"/>
          <w:rtl/>
        </w:rPr>
        <w:t>המלא</w:t>
      </w:r>
      <w:r>
        <w:rPr>
          <w:rtl/>
        </w:rPr>
        <w:t xml:space="preserve"> </w:t>
      </w:r>
      <w:r>
        <w:rPr>
          <w:rFonts w:hint="eastAsia"/>
          <w:rtl/>
        </w:rPr>
        <w:t>של</w:t>
      </w:r>
      <w:r>
        <w:rPr>
          <w:rtl/>
        </w:rPr>
        <w:t xml:space="preserve"> </w:t>
      </w:r>
      <w:r>
        <w:rPr>
          <w:rFonts w:hint="eastAsia"/>
          <w:rtl/>
        </w:rPr>
        <w:t>החוק</w:t>
      </w:r>
      <w:r>
        <w:rPr>
          <w:rtl/>
        </w:rPr>
        <w:t xml:space="preserve"> </w:t>
      </w:r>
      <w:r>
        <w:rPr>
          <w:rFonts w:hint="eastAsia"/>
          <w:rtl/>
        </w:rPr>
        <w:t>מעיד</w:t>
      </w:r>
      <w:r>
        <w:rPr>
          <w:rtl/>
        </w:rPr>
        <w:t xml:space="preserve"> </w:t>
      </w:r>
      <w:r>
        <w:rPr>
          <w:rFonts w:hint="eastAsia"/>
          <w:rtl/>
        </w:rPr>
        <w:t>עליו</w:t>
      </w:r>
      <w:r>
        <w:rPr>
          <w:rtl/>
        </w:rPr>
        <w:t xml:space="preserve">: </w:t>
      </w:r>
      <w:r>
        <w:rPr>
          <w:rFonts w:hint="eastAsia"/>
          <w:rtl/>
        </w:rPr>
        <w:t>חוק</w:t>
      </w:r>
      <w:r>
        <w:rPr>
          <w:rtl/>
        </w:rPr>
        <w:t xml:space="preserve"> </w:t>
      </w:r>
      <w:r>
        <w:rPr>
          <w:rFonts w:hint="eastAsia"/>
          <w:rtl/>
        </w:rPr>
        <w:t>יסוד</w:t>
      </w:r>
      <w:r>
        <w:rPr>
          <w:rtl/>
        </w:rPr>
        <w:t xml:space="preserve">: </w:t>
      </w:r>
      <w:r>
        <w:rPr>
          <w:rFonts w:hint="eastAsia"/>
          <w:rtl/>
        </w:rPr>
        <w:t>ישראל</w:t>
      </w:r>
      <w:r>
        <w:rPr>
          <w:rtl/>
        </w:rPr>
        <w:t xml:space="preserve"> – </w:t>
      </w:r>
      <w:r>
        <w:rPr>
          <w:rFonts w:hint="eastAsia"/>
          <w:rtl/>
        </w:rPr>
        <w:t>מדינת</w:t>
      </w:r>
      <w:r>
        <w:rPr>
          <w:rtl/>
        </w:rPr>
        <w:t xml:space="preserve"> </w:t>
      </w:r>
      <w:r>
        <w:rPr>
          <w:rFonts w:hint="eastAsia"/>
          <w:rtl/>
        </w:rPr>
        <w:t>הלאום</w:t>
      </w:r>
      <w:r>
        <w:rPr>
          <w:rtl/>
        </w:rPr>
        <w:t xml:space="preserve"> </w:t>
      </w:r>
      <w:r>
        <w:rPr>
          <w:rFonts w:hint="eastAsia"/>
          <w:rtl/>
        </w:rPr>
        <w:t>של</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הוא</w:t>
      </w:r>
      <w:r>
        <w:rPr>
          <w:rtl/>
        </w:rPr>
        <w:t xml:space="preserve"> </w:t>
      </w:r>
      <w:r>
        <w:rPr>
          <w:rFonts w:hint="eastAsia"/>
          <w:rtl/>
        </w:rPr>
        <w:t>מתייחס</w:t>
      </w:r>
      <w:r>
        <w:rPr>
          <w:rFonts w:hint="cs"/>
          <w:rtl/>
        </w:rPr>
        <w:t xml:space="preserve"> </w:t>
      </w:r>
      <w:r>
        <w:rPr>
          <w:rFonts w:hint="eastAsia"/>
          <w:rtl/>
        </w:rPr>
        <w:t>ליהדותה</w:t>
      </w:r>
      <w:r>
        <w:rPr>
          <w:rtl/>
        </w:rPr>
        <w:t xml:space="preserve"> </w:t>
      </w:r>
      <w:r>
        <w:rPr>
          <w:rFonts w:hint="eastAsia"/>
          <w:rtl/>
        </w:rPr>
        <w:t>של</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מן</w:t>
      </w:r>
      <w:r>
        <w:rPr>
          <w:rtl/>
        </w:rPr>
        <w:t xml:space="preserve"> </w:t>
      </w:r>
      <w:r>
        <w:rPr>
          <w:rFonts w:hint="eastAsia"/>
          <w:rtl/>
        </w:rPr>
        <w:t>ההיבטים</w:t>
      </w:r>
      <w:r>
        <w:rPr>
          <w:rtl/>
        </w:rPr>
        <w:t xml:space="preserve"> </w:t>
      </w:r>
      <w:r>
        <w:rPr>
          <w:rFonts w:hint="eastAsia"/>
          <w:rtl/>
        </w:rPr>
        <w:t>הלאומיים</w:t>
      </w:r>
      <w:r>
        <w:rPr>
          <w:rtl/>
        </w:rPr>
        <w:t xml:space="preserve"> </w:t>
      </w:r>
      <w:r>
        <w:rPr>
          <w:rFonts w:hint="eastAsia"/>
          <w:rtl/>
        </w:rPr>
        <w:t>שלה</w:t>
      </w:r>
      <w:r>
        <w:rPr>
          <w:rtl/>
        </w:rPr>
        <w:t xml:space="preserve">, </w:t>
      </w:r>
      <w:r>
        <w:rPr>
          <w:rFonts w:hint="eastAsia"/>
          <w:rtl/>
        </w:rPr>
        <w:t>ואינו</w:t>
      </w:r>
      <w:r>
        <w:rPr>
          <w:rtl/>
        </w:rPr>
        <w:t xml:space="preserve"> </w:t>
      </w:r>
      <w:r>
        <w:rPr>
          <w:rFonts w:hint="eastAsia"/>
          <w:rtl/>
        </w:rPr>
        <w:t>מתייחס</w:t>
      </w:r>
      <w:r>
        <w:rPr>
          <w:rtl/>
        </w:rPr>
        <w:t xml:space="preserve"> </w:t>
      </w:r>
      <w:r>
        <w:rPr>
          <w:rFonts w:hint="eastAsia"/>
          <w:rtl/>
        </w:rPr>
        <w:t>לאופיה</w:t>
      </w:r>
      <w:r>
        <w:rPr>
          <w:rtl/>
        </w:rPr>
        <w:t xml:space="preserve"> </w:t>
      </w:r>
      <w:r>
        <w:rPr>
          <w:rFonts w:hint="eastAsia"/>
          <w:rtl/>
        </w:rPr>
        <w:t>היהודי</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בהיבטים</w:t>
      </w:r>
      <w:r>
        <w:rPr>
          <w:rtl/>
        </w:rPr>
        <w:t xml:space="preserve"> </w:t>
      </w:r>
      <w:r>
        <w:rPr>
          <w:rFonts w:hint="eastAsia"/>
          <w:rtl/>
        </w:rPr>
        <w:t>אחרים</w:t>
      </w:r>
      <w:r>
        <w:rPr>
          <w:rtl/>
        </w:rPr>
        <w:t xml:space="preserve">. </w:t>
      </w:r>
      <w:r>
        <w:rPr>
          <w:rFonts w:hint="eastAsia"/>
          <w:rtl/>
        </w:rPr>
        <w:t>כידוע</w:t>
      </w:r>
      <w:r>
        <w:rPr>
          <w:rtl/>
        </w:rPr>
        <w:t xml:space="preserve">, </w:t>
      </w:r>
      <w:r>
        <w:rPr>
          <w:rFonts w:hint="eastAsia"/>
          <w:rtl/>
        </w:rPr>
        <w:t>מדינת</w:t>
      </w:r>
      <w:r>
        <w:rPr>
          <w:rtl/>
        </w:rPr>
        <w:t xml:space="preserve"> </w:t>
      </w:r>
      <w:r>
        <w:rPr>
          <w:rFonts w:hint="eastAsia"/>
          <w:rtl/>
        </w:rPr>
        <w:t>ישראל</w:t>
      </w:r>
      <w:r>
        <w:rPr>
          <w:rtl/>
        </w:rPr>
        <w:t xml:space="preserve"> </w:t>
      </w:r>
      <w:r>
        <w:rPr>
          <w:rFonts w:hint="eastAsia"/>
          <w:rtl/>
        </w:rPr>
        <w:t>מעניקה</w:t>
      </w:r>
      <w:r>
        <w:rPr>
          <w:rtl/>
        </w:rPr>
        <w:t xml:space="preserve"> </w:t>
      </w:r>
      <w:r>
        <w:rPr>
          <w:rFonts w:hint="eastAsia"/>
          <w:rtl/>
        </w:rPr>
        <w:t>מעמד</w:t>
      </w:r>
      <w:r>
        <w:rPr>
          <w:rtl/>
        </w:rPr>
        <w:t xml:space="preserve"> </w:t>
      </w:r>
      <w:r>
        <w:rPr>
          <w:rFonts w:hint="eastAsia"/>
          <w:rtl/>
        </w:rPr>
        <w:t>לא</w:t>
      </w:r>
      <w:r>
        <w:rPr>
          <w:rtl/>
        </w:rPr>
        <w:t xml:space="preserve"> </w:t>
      </w:r>
      <w:r>
        <w:rPr>
          <w:rFonts w:hint="eastAsia"/>
          <w:rtl/>
        </w:rPr>
        <w:t>מבוטל</w:t>
      </w:r>
      <w:r>
        <w:rPr>
          <w:rtl/>
        </w:rPr>
        <w:t xml:space="preserve"> </w:t>
      </w:r>
      <w:r>
        <w:rPr>
          <w:rFonts w:hint="eastAsia"/>
          <w:rtl/>
        </w:rPr>
        <w:t>למורשת</w:t>
      </w:r>
      <w:r>
        <w:rPr>
          <w:rtl/>
        </w:rPr>
        <w:t xml:space="preserve"> </w:t>
      </w:r>
      <w:r>
        <w:rPr>
          <w:rFonts w:hint="eastAsia"/>
          <w:rtl/>
        </w:rPr>
        <w:t>היהודית</w:t>
      </w:r>
      <w:r>
        <w:rPr>
          <w:rtl/>
        </w:rPr>
        <w:t xml:space="preserve"> </w:t>
      </w:r>
      <w:r>
        <w:rPr>
          <w:rFonts w:hint="eastAsia"/>
          <w:rtl/>
        </w:rPr>
        <w:t>ולעיתים</w:t>
      </w:r>
      <w:r>
        <w:rPr>
          <w:rtl/>
        </w:rPr>
        <w:t xml:space="preserve"> </w:t>
      </w:r>
      <w:r>
        <w:rPr>
          <w:rFonts w:hint="eastAsia"/>
          <w:rtl/>
        </w:rPr>
        <w:t>אף</w:t>
      </w:r>
      <w:r>
        <w:rPr>
          <w:rtl/>
        </w:rPr>
        <w:t xml:space="preserve"> </w:t>
      </w:r>
      <w:r>
        <w:rPr>
          <w:rFonts w:hint="eastAsia"/>
          <w:rtl/>
        </w:rPr>
        <w:t>למשפט</w:t>
      </w:r>
      <w:r>
        <w:rPr>
          <w:rtl/>
        </w:rPr>
        <w:t xml:space="preserve"> </w:t>
      </w:r>
      <w:r>
        <w:rPr>
          <w:rFonts w:hint="eastAsia"/>
          <w:rtl/>
        </w:rPr>
        <w:t>העברי</w:t>
      </w:r>
      <w:r>
        <w:rPr>
          <w:rtl/>
        </w:rPr>
        <w:t xml:space="preserve"> </w:t>
      </w:r>
      <w:r>
        <w:rPr>
          <w:rFonts w:hint="eastAsia"/>
          <w:rtl/>
        </w:rPr>
        <w:t>ולהלכה</w:t>
      </w:r>
      <w:r>
        <w:rPr>
          <w:rtl/>
        </w:rPr>
        <w:t xml:space="preserve">. </w:t>
      </w:r>
      <w:r>
        <w:rPr>
          <w:rFonts w:hint="eastAsia"/>
          <w:rtl/>
        </w:rPr>
        <w:t>עד</w:t>
      </w:r>
      <w:r>
        <w:rPr>
          <w:rtl/>
        </w:rPr>
        <w:t xml:space="preserve"> </w:t>
      </w:r>
      <w:r>
        <w:rPr>
          <w:rFonts w:hint="eastAsia"/>
          <w:rtl/>
        </w:rPr>
        <w:t>היום</w:t>
      </w:r>
      <w:r>
        <w:rPr>
          <w:rtl/>
        </w:rPr>
        <w:t xml:space="preserve">, </w:t>
      </w:r>
      <w:r>
        <w:rPr>
          <w:rFonts w:hint="eastAsia"/>
          <w:rtl/>
        </w:rPr>
        <w:t>בשורה</w:t>
      </w:r>
      <w:r>
        <w:rPr>
          <w:rtl/>
        </w:rPr>
        <w:t xml:space="preserve"> </w:t>
      </w:r>
      <w:r>
        <w:rPr>
          <w:rFonts w:hint="eastAsia"/>
          <w:rtl/>
        </w:rPr>
        <w:t>של</w:t>
      </w:r>
      <w:r>
        <w:rPr>
          <w:rtl/>
        </w:rPr>
        <w:t xml:space="preserve"> </w:t>
      </w:r>
      <w:r>
        <w:rPr>
          <w:rFonts w:hint="eastAsia"/>
          <w:rtl/>
        </w:rPr>
        <w:t>נושאים</w:t>
      </w:r>
      <w:r>
        <w:rPr>
          <w:rtl/>
        </w:rPr>
        <w:t xml:space="preserve"> </w:t>
      </w:r>
      <w:r>
        <w:rPr>
          <w:rFonts w:hint="eastAsia"/>
          <w:rtl/>
        </w:rPr>
        <w:t>שאינם</w:t>
      </w:r>
      <w:r>
        <w:rPr>
          <w:rtl/>
        </w:rPr>
        <w:t xml:space="preserve"> </w:t>
      </w:r>
      <w:r>
        <w:rPr>
          <w:rFonts w:hint="eastAsia"/>
          <w:rtl/>
        </w:rPr>
        <w:t>לאומיים</w:t>
      </w:r>
      <w:r>
        <w:rPr>
          <w:rtl/>
        </w:rPr>
        <w:t xml:space="preserve">, </w:t>
      </w:r>
      <w:r>
        <w:rPr>
          <w:rFonts w:hint="eastAsia"/>
          <w:rtl/>
        </w:rPr>
        <w:t>הדין</w:t>
      </w:r>
      <w:r>
        <w:rPr>
          <w:rtl/>
        </w:rPr>
        <w:t xml:space="preserve"> </w:t>
      </w:r>
      <w:r>
        <w:rPr>
          <w:rFonts w:hint="eastAsia"/>
          <w:rtl/>
        </w:rPr>
        <w:t>הישראלי</w:t>
      </w:r>
      <w:r>
        <w:rPr>
          <w:rtl/>
        </w:rPr>
        <w:t xml:space="preserve"> </w:t>
      </w:r>
      <w:r>
        <w:rPr>
          <w:rFonts w:hint="eastAsia"/>
          <w:rtl/>
        </w:rPr>
        <w:t>מכיר</w:t>
      </w:r>
      <w:r>
        <w:rPr>
          <w:rtl/>
        </w:rPr>
        <w:t xml:space="preserve"> </w:t>
      </w:r>
      <w:r>
        <w:rPr>
          <w:rFonts w:hint="eastAsia"/>
          <w:rtl/>
        </w:rPr>
        <w:t>במובן</w:t>
      </w:r>
      <w:r>
        <w:rPr>
          <w:rtl/>
        </w:rPr>
        <w:t xml:space="preserve"> </w:t>
      </w:r>
      <w:r>
        <w:rPr>
          <w:rFonts w:hint="eastAsia"/>
          <w:rtl/>
        </w:rPr>
        <w:t>מסוים</w:t>
      </w:r>
      <w:r>
        <w:rPr>
          <w:rtl/>
        </w:rPr>
        <w:t xml:space="preserve"> </w:t>
      </w:r>
      <w:r>
        <w:rPr>
          <w:rFonts w:hint="eastAsia"/>
          <w:rtl/>
        </w:rPr>
        <w:t>בגבולות</w:t>
      </w:r>
      <w:r>
        <w:rPr>
          <w:rtl/>
        </w:rPr>
        <w:t xml:space="preserve"> </w:t>
      </w:r>
      <w:r>
        <w:rPr>
          <w:rFonts w:hint="eastAsia"/>
          <w:rtl/>
        </w:rPr>
        <w:t>ההלכה</w:t>
      </w:r>
      <w:r>
        <w:rPr>
          <w:rtl/>
        </w:rPr>
        <w:t xml:space="preserve"> </w:t>
      </w:r>
      <w:r>
        <w:rPr>
          <w:rFonts w:hint="eastAsia"/>
          <w:rtl/>
        </w:rPr>
        <w:t>או</w:t>
      </w:r>
      <w:r>
        <w:rPr>
          <w:rtl/>
        </w:rPr>
        <w:t xml:space="preserve"> </w:t>
      </w:r>
      <w:r>
        <w:rPr>
          <w:rFonts w:hint="eastAsia"/>
          <w:rtl/>
        </w:rPr>
        <w:t>נותן</w:t>
      </w:r>
      <w:r>
        <w:rPr>
          <w:rtl/>
        </w:rPr>
        <w:t xml:space="preserve"> </w:t>
      </w:r>
      <w:r>
        <w:rPr>
          <w:rFonts w:hint="eastAsia"/>
          <w:rtl/>
        </w:rPr>
        <w:t>להם</w:t>
      </w:r>
      <w:r>
        <w:rPr>
          <w:rtl/>
        </w:rPr>
        <w:t xml:space="preserve"> </w:t>
      </w:r>
      <w:r>
        <w:rPr>
          <w:rFonts w:hint="eastAsia"/>
          <w:rtl/>
        </w:rPr>
        <w:t>גושפנקה</w:t>
      </w:r>
      <w:r>
        <w:rPr>
          <w:rtl/>
        </w:rPr>
        <w:t xml:space="preserve"> </w:t>
      </w:r>
      <w:r>
        <w:rPr>
          <w:rFonts w:hint="eastAsia"/>
          <w:rtl/>
        </w:rPr>
        <w:t>מוסדית</w:t>
      </w:r>
      <w:r>
        <w:rPr>
          <w:rtl/>
        </w:rPr>
        <w:t xml:space="preserve"> – </w:t>
      </w:r>
      <w:r>
        <w:rPr>
          <w:rFonts w:hint="eastAsia"/>
          <w:rtl/>
        </w:rPr>
        <w:t>כגון</w:t>
      </w:r>
      <w:r>
        <w:rPr>
          <w:rtl/>
        </w:rPr>
        <w:t xml:space="preserve"> </w:t>
      </w:r>
      <w:r>
        <w:rPr>
          <w:rFonts w:hint="eastAsia"/>
          <w:rtl/>
        </w:rPr>
        <w:t>במסגרת</w:t>
      </w:r>
      <w:r>
        <w:rPr>
          <w:rtl/>
        </w:rPr>
        <w:t xml:space="preserve"> </w:t>
      </w:r>
      <w:r>
        <w:rPr>
          <w:rFonts w:hint="eastAsia"/>
          <w:rtl/>
        </w:rPr>
        <w:t>דיני</w:t>
      </w:r>
      <w:r>
        <w:rPr>
          <w:rtl/>
        </w:rPr>
        <w:t xml:space="preserve"> </w:t>
      </w:r>
      <w:r>
        <w:rPr>
          <w:rFonts w:hint="eastAsia"/>
          <w:rtl/>
        </w:rPr>
        <w:t>המעמד</w:t>
      </w:r>
      <w:r>
        <w:rPr>
          <w:rtl/>
        </w:rPr>
        <w:t xml:space="preserve"> </w:t>
      </w:r>
      <w:r>
        <w:rPr>
          <w:rFonts w:hint="eastAsia"/>
          <w:rtl/>
        </w:rPr>
        <w:t>האישי</w:t>
      </w:r>
      <w:r>
        <w:rPr>
          <w:rtl/>
        </w:rPr>
        <w:t xml:space="preserve"> </w:t>
      </w:r>
      <w:r>
        <w:rPr>
          <w:rFonts w:hint="eastAsia"/>
          <w:rtl/>
        </w:rPr>
        <w:t>ובמסגרת</w:t>
      </w:r>
      <w:r>
        <w:rPr>
          <w:rtl/>
        </w:rPr>
        <w:t xml:space="preserve"> </w:t>
      </w:r>
      <w:r>
        <w:rPr>
          <w:rFonts w:hint="eastAsia"/>
          <w:rtl/>
        </w:rPr>
        <w:t>דיני</w:t>
      </w:r>
      <w:r>
        <w:rPr>
          <w:rtl/>
        </w:rPr>
        <w:t xml:space="preserve"> </w:t>
      </w:r>
      <w:r>
        <w:rPr>
          <w:rFonts w:hint="eastAsia"/>
          <w:rtl/>
        </w:rPr>
        <w:t>כשרות</w:t>
      </w:r>
      <w:r>
        <w:rPr>
          <w:rtl/>
        </w:rPr>
        <w:t xml:space="preserve"> </w:t>
      </w:r>
      <w:r>
        <w:rPr>
          <w:rFonts w:hint="eastAsia"/>
          <w:rtl/>
        </w:rPr>
        <w:t>המזון</w:t>
      </w:r>
      <w:r>
        <w:rPr>
          <w:rFonts w:hint="cs"/>
          <w:rtl/>
        </w:rPr>
        <w:t xml:space="preserve"> </w:t>
      </w:r>
      <w:r>
        <w:rPr>
          <w:rFonts w:hint="cs"/>
          <w:rtl/>
        </w:rPr>
        <w:lastRenderedPageBreak/>
        <w:t>[...].</w:t>
      </w:r>
      <w:r>
        <w:rPr>
          <w:rtl/>
        </w:rPr>
        <w:t xml:space="preserve"> </w:t>
      </w:r>
      <w:r>
        <w:rPr>
          <w:rFonts w:hint="eastAsia"/>
          <w:rtl/>
        </w:rPr>
        <w:t>במקרים</w:t>
      </w:r>
      <w:r>
        <w:rPr>
          <w:rtl/>
        </w:rPr>
        <w:t xml:space="preserve"> </w:t>
      </w:r>
      <w:r>
        <w:rPr>
          <w:rFonts w:hint="eastAsia"/>
          <w:rtl/>
        </w:rPr>
        <w:t>אחרים</w:t>
      </w:r>
      <w:r>
        <w:rPr>
          <w:rtl/>
        </w:rPr>
        <w:t xml:space="preserve">, </w:t>
      </w:r>
      <w:r>
        <w:rPr>
          <w:rFonts w:hint="eastAsia"/>
          <w:rtl/>
        </w:rPr>
        <w:t>בחר</w:t>
      </w:r>
      <w:r>
        <w:rPr>
          <w:rtl/>
        </w:rPr>
        <w:t xml:space="preserve"> </w:t>
      </w:r>
      <w:r>
        <w:rPr>
          <w:rFonts w:hint="eastAsia"/>
          <w:rtl/>
        </w:rPr>
        <w:t>המחוקק</w:t>
      </w:r>
      <w:r>
        <w:rPr>
          <w:rtl/>
        </w:rPr>
        <w:t xml:space="preserve"> </w:t>
      </w:r>
      <w:r>
        <w:rPr>
          <w:rFonts w:hint="eastAsia"/>
          <w:rtl/>
        </w:rPr>
        <w:t>לשאוב</w:t>
      </w:r>
      <w:r>
        <w:rPr>
          <w:rtl/>
        </w:rPr>
        <w:t xml:space="preserve"> </w:t>
      </w:r>
      <w:r>
        <w:rPr>
          <w:rFonts w:hint="eastAsia"/>
          <w:rtl/>
        </w:rPr>
        <w:t>השראה</w:t>
      </w:r>
      <w:r>
        <w:rPr>
          <w:rtl/>
        </w:rPr>
        <w:t xml:space="preserve"> </w:t>
      </w:r>
      <w:r>
        <w:rPr>
          <w:rFonts w:hint="eastAsia"/>
          <w:rtl/>
        </w:rPr>
        <w:t>מן</w:t>
      </w:r>
      <w:r>
        <w:rPr>
          <w:rtl/>
        </w:rPr>
        <w:t xml:space="preserve"> </w:t>
      </w:r>
      <w:r>
        <w:rPr>
          <w:rFonts w:hint="eastAsia"/>
          <w:rtl/>
        </w:rPr>
        <w:t>המשפט</w:t>
      </w:r>
      <w:r>
        <w:rPr>
          <w:rtl/>
        </w:rPr>
        <w:t xml:space="preserve"> </w:t>
      </w:r>
      <w:r>
        <w:rPr>
          <w:rFonts w:hint="eastAsia"/>
          <w:rtl/>
        </w:rPr>
        <w:t>העברי</w:t>
      </w:r>
      <w:r>
        <w:rPr>
          <w:rFonts w:hint="cs"/>
          <w:rtl/>
        </w:rPr>
        <w:t xml:space="preserve"> [...]. </w:t>
      </w:r>
      <w:r>
        <w:rPr>
          <w:rFonts w:hint="eastAsia"/>
          <w:rtl/>
        </w:rPr>
        <w:t>כלל</w:t>
      </w:r>
      <w:r>
        <w:rPr>
          <w:rtl/>
        </w:rPr>
        <w:t xml:space="preserve"> </w:t>
      </w:r>
      <w:r>
        <w:rPr>
          <w:rFonts w:hint="eastAsia"/>
          <w:rtl/>
        </w:rPr>
        <w:t>יסודי</w:t>
      </w:r>
      <w:r>
        <w:rPr>
          <w:rtl/>
        </w:rPr>
        <w:t xml:space="preserve"> </w:t>
      </w:r>
      <w:r>
        <w:rPr>
          <w:rFonts w:hint="eastAsia"/>
          <w:rtl/>
        </w:rPr>
        <w:t>נוסף</w:t>
      </w:r>
      <w:r>
        <w:rPr>
          <w:rtl/>
        </w:rPr>
        <w:t xml:space="preserve"> </w:t>
      </w:r>
      <w:r>
        <w:rPr>
          <w:rFonts w:hint="eastAsia"/>
          <w:rtl/>
        </w:rPr>
        <w:t>הוא</w:t>
      </w:r>
      <w:r>
        <w:rPr>
          <w:rtl/>
        </w:rPr>
        <w:t xml:space="preserve"> </w:t>
      </w:r>
      <w:r>
        <w:rPr>
          <w:rFonts w:hint="eastAsia"/>
          <w:rtl/>
        </w:rPr>
        <w:t>הכלל</w:t>
      </w:r>
      <w:r>
        <w:rPr>
          <w:rtl/>
        </w:rPr>
        <w:t xml:space="preserve"> </w:t>
      </w:r>
      <w:r>
        <w:rPr>
          <w:rFonts w:hint="eastAsia"/>
          <w:rtl/>
        </w:rPr>
        <w:t>הקבוע</w:t>
      </w:r>
      <w:r>
        <w:rPr>
          <w:rtl/>
        </w:rPr>
        <w:t xml:space="preserve"> </w:t>
      </w:r>
      <w:r>
        <w:rPr>
          <w:rFonts w:hint="eastAsia"/>
          <w:rtl/>
        </w:rPr>
        <w:t>בסעיף</w:t>
      </w:r>
      <w:r>
        <w:rPr>
          <w:rtl/>
        </w:rPr>
        <w:t xml:space="preserve"> 1 </w:t>
      </w:r>
      <w:r>
        <w:rPr>
          <w:rFonts w:hint="eastAsia"/>
          <w:rtl/>
        </w:rPr>
        <w:t>לחוק</w:t>
      </w:r>
      <w:r>
        <w:rPr>
          <w:rtl/>
        </w:rPr>
        <w:t xml:space="preserve"> </w:t>
      </w:r>
      <w:r>
        <w:rPr>
          <w:rFonts w:hint="eastAsia"/>
          <w:rtl/>
        </w:rPr>
        <w:t>יסודות</w:t>
      </w:r>
      <w:r>
        <w:rPr>
          <w:rtl/>
        </w:rPr>
        <w:t xml:space="preserve"> </w:t>
      </w:r>
      <w:r>
        <w:rPr>
          <w:rFonts w:hint="eastAsia"/>
          <w:rtl/>
        </w:rPr>
        <w:t>המשפט</w:t>
      </w:r>
      <w:r>
        <w:rPr>
          <w:rtl/>
        </w:rPr>
        <w:t xml:space="preserve">, </w:t>
      </w:r>
      <w:r>
        <w:rPr>
          <w:rFonts w:hint="eastAsia"/>
          <w:rtl/>
        </w:rPr>
        <w:t>התש</w:t>
      </w:r>
      <w:r>
        <w:rPr>
          <w:rtl/>
        </w:rPr>
        <w:t>"</w:t>
      </w:r>
      <w:r>
        <w:rPr>
          <w:rFonts w:hint="eastAsia"/>
          <w:rtl/>
        </w:rPr>
        <w:t>ם</w:t>
      </w:r>
      <w:r>
        <w:rPr>
          <w:rtl/>
        </w:rPr>
        <w:t xml:space="preserve">-1980, </w:t>
      </w:r>
      <w:r>
        <w:rPr>
          <w:rFonts w:hint="eastAsia"/>
          <w:rtl/>
        </w:rPr>
        <w:t>שמתייחס</w:t>
      </w:r>
      <w:r>
        <w:rPr>
          <w:rtl/>
        </w:rPr>
        <w:t xml:space="preserve"> </w:t>
      </w:r>
      <w:r>
        <w:rPr>
          <w:rFonts w:hint="eastAsia"/>
          <w:rtl/>
        </w:rPr>
        <w:t>לדרכי</w:t>
      </w:r>
      <w:r>
        <w:rPr>
          <w:rtl/>
        </w:rPr>
        <w:t xml:space="preserve"> </w:t>
      </w:r>
      <w:r>
        <w:rPr>
          <w:rFonts w:hint="eastAsia"/>
          <w:rtl/>
        </w:rPr>
        <w:t>הפסיקה</w:t>
      </w:r>
      <w:r>
        <w:rPr>
          <w:rtl/>
        </w:rPr>
        <w:t xml:space="preserve"> </w:t>
      </w:r>
      <w:r>
        <w:rPr>
          <w:rFonts w:hint="eastAsia"/>
          <w:rtl/>
        </w:rPr>
        <w:t>במקרה</w:t>
      </w:r>
      <w:r>
        <w:rPr>
          <w:rtl/>
        </w:rPr>
        <w:t xml:space="preserve"> </w:t>
      </w:r>
      <w:r>
        <w:rPr>
          <w:rFonts w:hint="eastAsia"/>
          <w:rtl/>
        </w:rPr>
        <w:t>של</w:t>
      </w:r>
      <w:r>
        <w:rPr>
          <w:rtl/>
        </w:rPr>
        <w:t xml:space="preserve"> </w:t>
      </w:r>
      <w:r>
        <w:rPr>
          <w:rFonts w:hint="eastAsia"/>
          <w:rtl/>
        </w:rPr>
        <w:t>לקונה</w:t>
      </w:r>
      <w:r>
        <w:rPr>
          <w:rtl/>
        </w:rPr>
        <w:t xml:space="preserve">, </w:t>
      </w:r>
      <w:r>
        <w:rPr>
          <w:rFonts w:hint="eastAsia"/>
          <w:rtl/>
        </w:rPr>
        <w:t>ומפנה</w:t>
      </w:r>
      <w:r>
        <w:rPr>
          <w:rtl/>
        </w:rPr>
        <w:t xml:space="preserve"> </w:t>
      </w:r>
      <w:r>
        <w:rPr>
          <w:rFonts w:hint="eastAsia"/>
          <w:rtl/>
        </w:rPr>
        <w:t>ל</w:t>
      </w:r>
      <w:r>
        <w:rPr>
          <w:rFonts w:hint="cs"/>
          <w:rtl/>
        </w:rPr>
        <w:t>'</w:t>
      </w:r>
      <w:r>
        <w:rPr>
          <w:rFonts w:hint="eastAsia"/>
          <w:rtl/>
        </w:rPr>
        <w:t>עקרונות</w:t>
      </w:r>
      <w:r>
        <w:rPr>
          <w:rtl/>
        </w:rPr>
        <w:t xml:space="preserve"> </w:t>
      </w:r>
      <w:r>
        <w:rPr>
          <w:rFonts w:hint="eastAsia"/>
          <w:rtl/>
        </w:rPr>
        <w:t>החירות</w:t>
      </w:r>
      <w:r>
        <w:rPr>
          <w:rtl/>
        </w:rPr>
        <w:t xml:space="preserve">, </w:t>
      </w:r>
      <w:r>
        <w:rPr>
          <w:rFonts w:hint="eastAsia"/>
          <w:rtl/>
        </w:rPr>
        <w:t>השלום</w:t>
      </w:r>
      <w:r>
        <w:rPr>
          <w:rtl/>
        </w:rPr>
        <w:t xml:space="preserve">, </w:t>
      </w:r>
      <w:r>
        <w:rPr>
          <w:rFonts w:hint="eastAsia"/>
          <w:rtl/>
        </w:rPr>
        <w:t>הצדק</w:t>
      </w:r>
      <w:r>
        <w:rPr>
          <w:rtl/>
        </w:rPr>
        <w:t xml:space="preserve"> </w:t>
      </w:r>
      <w:r>
        <w:rPr>
          <w:rFonts w:hint="eastAsia"/>
          <w:rtl/>
        </w:rPr>
        <w:t>והיושר</w:t>
      </w:r>
      <w:r>
        <w:rPr>
          <w:rtl/>
        </w:rPr>
        <w:t xml:space="preserve"> </w:t>
      </w:r>
      <w:r>
        <w:rPr>
          <w:rFonts w:hint="eastAsia"/>
          <w:rtl/>
        </w:rPr>
        <w:t>של</w:t>
      </w:r>
      <w:r>
        <w:rPr>
          <w:rtl/>
        </w:rPr>
        <w:t xml:space="preserve"> </w:t>
      </w:r>
      <w:r>
        <w:rPr>
          <w:rFonts w:hint="eastAsia"/>
          <w:rtl/>
        </w:rPr>
        <w:t>המשפט</w:t>
      </w:r>
      <w:r>
        <w:rPr>
          <w:rtl/>
        </w:rPr>
        <w:t xml:space="preserve"> </w:t>
      </w:r>
      <w:r>
        <w:rPr>
          <w:rFonts w:hint="eastAsia"/>
          <w:rtl/>
        </w:rPr>
        <w:t>העברי</w:t>
      </w:r>
      <w:r>
        <w:rPr>
          <w:rtl/>
        </w:rPr>
        <w:t xml:space="preserve"> </w:t>
      </w:r>
      <w:r>
        <w:rPr>
          <w:rFonts w:hint="eastAsia"/>
          <w:rtl/>
        </w:rPr>
        <w:t>ומורשת</w:t>
      </w:r>
      <w:r>
        <w:rPr>
          <w:rtl/>
        </w:rPr>
        <w:t xml:space="preserve"> </w:t>
      </w:r>
      <w:r>
        <w:rPr>
          <w:rFonts w:hint="eastAsia"/>
          <w:rtl/>
        </w:rPr>
        <w:t>ישראל</w:t>
      </w:r>
      <w:r>
        <w:rPr>
          <w:rFonts w:hint="cs"/>
          <w:rtl/>
        </w:rPr>
        <w:t>'</w:t>
      </w:r>
      <w:r>
        <w:rPr>
          <w:rtl/>
        </w:rPr>
        <w:t xml:space="preserve">. </w:t>
      </w:r>
      <w:r>
        <w:rPr>
          <w:rFonts w:hint="eastAsia"/>
          <w:rtl/>
        </w:rPr>
        <w:t>אלו</w:t>
      </w:r>
      <w:r>
        <w:rPr>
          <w:rtl/>
        </w:rPr>
        <w:t xml:space="preserve"> </w:t>
      </w:r>
      <w:r>
        <w:rPr>
          <w:rFonts w:hint="eastAsia"/>
          <w:rtl/>
        </w:rPr>
        <w:t>רק</w:t>
      </w:r>
      <w:r>
        <w:rPr>
          <w:rtl/>
        </w:rPr>
        <w:t xml:space="preserve"> </w:t>
      </w:r>
      <w:r>
        <w:rPr>
          <w:rFonts w:hint="eastAsia"/>
          <w:rtl/>
        </w:rPr>
        <w:t>דוגמאות</w:t>
      </w:r>
      <w:r>
        <w:rPr>
          <w:rtl/>
        </w:rPr>
        <w:t xml:space="preserve"> </w:t>
      </w:r>
      <w:r>
        <w:rPr>
          <w:rFonts w:hint="eastAsia"/>
          <w:rtl/>
        </w:rPr>
        <w:t>אחדות</w:t>
      </w:r>
      <w:r>
        <w:rPr>
          <w:rtl/>
        </w:rPr>
        <w:t xml:space="preserve"> </w:t>
      </w:r>
      <w:r>
        <w:rPr>
          <w:rFonts w:hint="eastAsia"/>
          <w:rtl/>
        </w:rPr>
        <w:t>למאפיינים</w:t>
      </w:r>
      <w:r>
        <w:rPr>
          <w:rtl/>
        </w:rPr>
        <w:t xml:space="preserve"> </w:t>
      </w:r>
      <w:r>
        <w:rPr>
          <w:rFonts w:hint="eastAsia"/>
          <w:rtl/>
        </w:rPr>
        <w:t>היהודיים</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שאינם</w:t>
      </w:r>
      <w:r>
        <w:rPr>
          <w:rtl/>
        </w:rPr>
        <w:t xml:space="preserve"> </w:t>
      </w:r>
      <w:r>
        <w:rPr>
          <w:rFonts w:hint="eastAsia"/>
          <w:rtl/>
        </w:rPr>
        <w:t>באים</w:t>
      </w:r>
      <w:r>
        <w:rPr>
          <w:rtl/>
        </w:rPr>
        <w:t xml:space="preserve"> </w:t>
      </w:r>
      <w:r>
        <w:rPr>
          <w:rFonts w:hint="eastAsia"/>
          <w:rtl/>
        </w:rPr>
        <w:t>לידי</w:t>
      </w:r>
      <w:r>
        <w:rPr>
          <w:rtl/>
        </w:rPr>
        <w:t xml:space="preserve"> </w:t>
      </w:r>
      <w:r>
        <w:rPr>
          <w:rFonts w:hint="eastAsia"/>
          <w:rtl/>
        </w:rPr>
        <w:t>ביטוי</w:t>
      </w:r>
      <w:r>
        <w:rPr>
          <w:rtl/>
        </w:rPr>
        <w:t xml:space="preserve"> </w:t>
      </w:r>
      <w:r>
        <w:rPr>
          <w:rFonts w:hint="eastAsia"/>
          <w:rtl/>
        </w:rPr>
        <w:t>בחוק</w:t>
      </w:r>
      <w:r>
        <w:rPr>
          <w:rtl/>
        </w:rPr>
        <w:t xml:space="preserve"> </w:t>
      </w:r>
      <w:r>
        <w:rPr>
          <w:rFonts w:hint="eastAsia"/>
          <w:rtl/>
        </w:rPr>
        <w:t>היסוד</w:t>
      </w:r>
      <w:r>
        <w:rPr>
          <w:rtl/>
        </w:rPr>
        <w:t xml:space="preserve"> </w:t>
      </w:r>
      <w:r>
        <w:rPr>
          <w:rFonts w:hint="eastAsia"/>
          <w:rtl/>
        </w:rPr>
        <w:t>מושא</w:t>
      </w:r>
      <w:r>
        <w:rPr>
          <w:rtl/>
        </w:rPr>
        <w:t xml:space="preserve"> </w:t>
      </w:r>
      <w:r>
        <w:rPr>
          <w:rFonts w:hint="eastAsia"/>
          <w:rtl/>
        </w:rPr>
        <w:t>הדיון</w:t>
      </w:r>
      <w:r>
        <w:rPr>
          <w:rtl/>
        </w:rPr>
        <w:t xml:space="preserve">, </w:t>
      </w:r>
      <w:r>
        <w:rPr>
          <w:rFonts w:hint="eastAsia"/>
          <w:rtl/>
        </w:rPr>
        <w:t>שנועד</w:t>
      </w:r>
      <w:r>
        <w:rPr>
          <w:rtl/>
        </w:rPr>
        <w:t xml:space="preserve"> </w:t>
      </w:r>
      <w:r>
        <w:rPr>
          <w:rFonts w:hint="eastAsia"/>
          <w:rtl/>
        </w:rPr>
        <w:t>לבטא</w:t>
      </w:r>
      <w:r>
        <w:rPr>
          <w:rtl/>
        </w:rPr>
        <w:t xml:space="preserve"> </w:t>
      </w:r>
      <w:r>
        <w:rPr>
          <w:rFonts w:hint="eastAsia"/>
          <w:rtl/>
        </w:rPr>
        <w:t>את</w:t>
      </w:r>
      <w:r>
        <w:rPr>
          <w:rtl/>
        </w:rPr>
        <w:t xml:space="preserve"> </w:t>
      </w:r>
      <w:r>
        <w:rPr>
          <w:rFonts w:hint="eastAsia"/>
          <w:rtl/>
        </w:rPr>
        <w:t>יהדותה</w:t>
      </w:r>
      <w:r>
        <w:rPr>
          <w:rtl/>
        </w:rPr>
        <w:t xml:space="preserve"> </w:t>
      </w:r>
      <w:r>
        <w:rPr>
          <w:rFonts w:hint="eastAsia"/>
          <w:rtl/>
        </w:rPr>
        <w:t>של</w:t>
      </w:r>
      <w:r>
        <w:rPr>
          <w:rtl/>
        </w:rPr>
        <w:t xml:space="preserve"> </w:t>
      </w:r>
      <w:r>
        <w:rPr>
          <w:rFonts w:hint="eastAsia"/>
          <w:rtl/>
        </w:rPr>
        <w:t>המדינה</w:t>
      </w:r>
      <w:r>
        <w:rPr>
          <w:rtl/>
        </w:rPr>
        <w:t xml:space="preserve"> </w:t>
      </w:r>
      <w:r>
        <w:rPr>
          <w:rFonts w:hint="eastAsia"/>
          <w:rtl/>
        </w:rPr>
        <w:t>מהפן</w:t>
      </w:r>
      <w:r>
        <w:rPr>
          <w:rtl/>
        </w:rPr>
        <w:t xml:space="preserve"> </w:t>
      </w:r>
      <w:r>
        <w:rPr>
          <w:rFonts w:hint="eastAsia"/>
          <w:rtl/>
        </w:rPr>
        <w:t>הלאומי</w:t>
      </w:r>
      <w:r>
        <w:rPr>
          <w:rtl/>
        </w:rPr>
        <w:t xml:space="preserve"> </w:t>
      </w:r>
      <w:r>
        <w:rPr>
          <w:rFonts w:hint="eastAsia"/>
          <w:rtl/>
        </w:rPr>
        <w:t>בלבד</w:t>
      </w:r>
      <w:r>
        <w:rPr>
          <w:rFonts w:hint="cs"/>
          <w:rtl/>
        </w:rPr>
        <w:t xml:space="preserve">" (שם, פסקאות 10-7 לפסק דיני). </w:t>
      </w:r>
    </w:p>
    <w:p w:rsidR="00BA03D0" w:rsidRPr="00CE74E0" w:rsidRDefault="00BA03D0" w:rsidP="00BA03D0">
      <w:pPr>
        <w:pStyle w:val="Ruller4"/>
        <w:numPr>
          <w:ilvl w:val="0"/>
          <w:numId w:val="0"/>
        </w:numPr>
        <w:rPr>
          <w:rFonts w:ascii="FrankRuehl" w:hAnsi="FrankRuehl"/>
        </w:rPr>
      </w:pPr>
    </w:p>
    <w:p w:rsidR="00BA03D0" w:rsidRPr="00A8628A" w:rsidRDefault="00BA03D0" w:rsidP="00BA03D0">
      <w:pPr>
        <w:pStyle w:val="Ruller4"/>
        <w:textAlignment w:val="baseline"/>
        <w:rPr>
          <w:rFonts w:ascii="FrankRuehl" w:hAnsi="FrankRuehl"/>
          <w:rtl/>
        </w:rPr>
      </w:pPr>
      <w:r>
        <w:rPr>
          <w:rFonts w:hint="cs"/>
          <w:rtl/>
        </w:rPr>
        <w:t xml:space="preserve">על הקשר העמוק בין מדינת ישראל לבין היהדות עמד גם הרב יונתן זקס ז"ל בספרו </w:t>
      </w:r>
      <w:r w:rsidRPr="00956BD8">
        <w:rPr>
          <w:rFonts w:ascii="Century" w:hAnsi="Century" w:cs="Miriam" w:hint="cs"/>
          <w:b/>
          <w:spacing w:val="0"/>
          <w:sz w:val="22"/>
          <w:szCs w:val="24"/>
          <w:rtl/>
        </w:rPr>
        <w:t>בלשון עתיד, חזון ליהודים וליהדות בתרבות הגלובלית</w:t>
      </w:r>
      <w:r w:rsidRPr="00956BD8">
        <w:rPr>
          <w:rFonts w:ascii="FrankRuehl" w:hAnsi="FrankRuehl" w:hint="cs"/>
          <w:rtl/>
        </w:rPr>
        <w:t xml:space="preserve"> (</w:t>
      </w:r>
      <w:r w:rsidRPr="00956BD8">
        <w:rPr>
          <w:rFonts w:ascii="FrankRuehl" w:hAnsi="FrankRuehl" w:hint="cs"/>
          <w:sz w:val="28"/>
          <w:shd w:val="clear" w:color="auto" w:fill="FFFFFF"/>
          <w:rtl/>
        </w:rPr>
        <w:t xml:space="preserve">2021) (תרגום מאנגלית של </w:t>
      </w:r>
      <w:r w:rsidRPr="00A8628A">
        <w:rPr>
          <w:rFonts w:ascii="FrankRuehl" w:hAnsi="FrankRuehl" w:hint="cs"/>
          <w:sz w:val="28"/>
          <w:shd w:val="clear" w:color="auto" w:fill="FFFFFF"/>
          <w:rtl/>
        </w:rPr>
        <w:t>ספרו</w:t>
      </w:r>
      <w:r w:rsidRPr="00A8628A">
        <w:rPr>
          <w:shd w:val="clear" w:color="auto" w:fill="FFFFFF"/>
        </w:rPr>
        <w:t>Future Tense, A Vision for Jews and Judaism in the Global Culture (2009)</w:t>
      </w:r>
      <w:r w:rsidRPr="00A8628A">
        <w:rPr>
          <w:rFonts w:ascii="FrankRuehl" w:hAnsi="FrankRuehl" w:hint="cs"/>
          <w:sz w:val="28"/>
          <w:shd w:val="clear" w:color="auto" w:fill="FFFFFF"/>
          <w:rtl/>
        </w:rPr>
        <w:t xml:space="preserve">), דברים הרלוונטים </w:t>
      </w:r>
      <w:r>
        <w:rPr>
          <w:rFonts w:ascii="FrankRuehl" w:hAnsi="FrankRuehl" w:hint="cs"/>
          <w:sz w:val="28"/>
          <w:shd w:val="clear" w:color="auto" w:fill="FFFFFF"/>
          <w:rtl/>
        </w:rPr>
        <w:t xml:space="preserve">ביתר שאת </w:t>
      </w:r>
      <w:r w:rsidRPr="00A8628A">
        <w:rPr>
          <w:rFonts w:ascii="FrankRuehl" w:hAnsi="FrankRuehl" w:hint="cs"/>
          <w:sz w:val="28"/>
          <w:shd w:val="clear" w:color="auto" w:fill="FFFFFF"/>
          <w:rtl/>
        </w:rPr>
        <w:t xml:space="preserve">בימים אלו ממש נוכח האירועים הקשים </w:t>
      </w:r>
      <w:r>
        <w:rPr>
          <w:rFonts w:ascii="FrankRuehl" w:hAnsi="FrankRuehl" w:hint="cs"/>
          <w:sz w:val="28"/>
          <w:shd w:val="clear" w:color="auto" w:fill="FFFFFF"/>
          <w:rtl/>
        </w:rPr>
        <w:t xml:space="preserve">מנשוא אשר </w:t>
      </w:r>
      <w:r w:rsidRPr="00A8628A">
        <w:rPr>
          <w:rFonts w:ascii="FrankRuehl" w:hAnsi="FrankRuehl" w:hint="cs"/>
          <w:sz w:val="28"/>
          <w:shd w:val="clear" w:color="auto" w:fill="FFFFFF"/>
          <w:rtl/>
        </w:rPr>
        <w:t xml:space="preserve">פקדו </w:t>
      </w:r>
      <w:r>
        <w:rPr>
          <w:rFonts w:ascii="FrankRuehl" w:hAnsi="FrankRuehl" w:hint="cs"/>
          <w:sz w:val="28"/>
          <w:shd w:val="clear" w:color="auto" w:fill="FFFFFF"/>
          <w:rtl/>
        </w:rPr>
        <w:t xml:space="preserve">לאחרונה </w:t>
      </w:r>
      <w:r w:rsidRPr="00A8628A">
        <w:rPr>
          <w:rFonts w:ascii="FrankRuehl" w:hAnsi="FrankRuehl" w:hint="cs"/>
          <w:sz w:val="28"/>
          <w:shd w:val="clear" w:color="auto" w:fill="FFFFFF"/>
          <w:rtl/>
        </w:rPr>
        <w:t>את המדינה:</w:t>
      </w:r>
    </w:p>
    <w:p w:rsidR="00BA03D0" w:rsidRDefault="00BA03D0" w:rsidP="00BA03D0">
      <w:pPr>
        <w:pStyle w:val="Ruller4"/>
        <w:numPr>
          <w:ilvl w:val="0"/>
          <w:numId w:val="0"/>
        </w:numPr>
        <w:rPr>
          <w:rtl/>
        </w:rPr>
      </w:pPr>
    </w:p>
    <w:p w:rsidR="00BA03D0" w:rsidRDefault="00BA03D0" w:rsidP="00BA03D0">
      <w:pPr>
        <w:pStyle w:val="Ruller5"/>
        <w:rPr>
          <w:rtl/>
        </w:rPr>
      </w:pPr>
      <w:r>
        <w:rPr>
          <w:rFonts w:hint="cs"/>
          <w:rtl/>
        </w:rPr>
        <w:t xml:space="preserve">"מדינת ישראל והיהדות קשורות זו לזו באורח מהותי; לא ברובד הפוליטיקה, האינטרסים, או כל ממד חילוני אחר, אלא ברובד העמוק ביותר של הזהות היהודית. ישראל היא המקום היחיד בעולם שיהודים יכולים ליצור בו חברה, והקמת חברה יהודית היא משימה דתית אף כי ישראל היא מדינה חילונית. ועם זאת, היהדות היא דת שכפי שהראה תחילה יחזקאל ואחריו חכמים, שאפשר לקיימה בכל מקום </w:t>
      </w:r>
      <w:r>
        <w:rPr>
          <w:rtl/>
        </w:rPr>
        <w:t>–</w:t>
      </w:r>
      <w:r>
        <w:rPr>
          <w:rFonts w:hint="cs"/>
          <w:rtl/>
        </w:rPr>
        <w:t xml:space="preserve"> סביב בית הכנסת כמוסד וסביב הערבות ההדדית של היהודים כרעיון. היהדות היא גורל ואמונה, ואי אפשר להפריד בין השניים. </w:t>
      </w:r>
    </w:p>
    <w:p w:rsidR="00BA03D0" w:rsidRDefault="00BA03D0" w:rsidP="00BA03D0">
      <w:pPr>
        <w:pStyle w:val="Ruller5"/>
        <w:rPr>
          <w:rtl/>
        </w:rPr>
      </w:pPr>
    </w:p>
    <w:p w:rsidR="00BA03D0" w:rsidRDefault="00BA03D0" w:rsidP="00BA03D0">
      <w:pPr>
        <w:pStyle w:val="Ruller5"/>
        <w:rPr>
          <w:rtl/>
        </w:rPr>
      </w:pPr>
      <w:r>
        <w:rPr>
          <w:rFonts w:hint="cs"/>
          <w:rtl/>
        </w:rPr>
        <w:t xml:space="preserve">בישראל חיים היהודים כקהילת גורל. כולם, חילונים מושבעים כחרדים אדוקים, סובלים בשווה ממלחמות ומטרור, ונהנים בשווה משגשוג ומשלום. בישראל, היהודית היא האוויר שהאדם נושם, לא רק הדת שהוא מיישם. בישראל, ולא בשום מקום אחר, היהודיות היא חלק מהזירה הציבורית: בשפה, בנוף, בלוח השנה. בישראל יכול אדם לעמוד בתוך החורבות והשרידים של ערים מקראיות שוקקות, ולהרגיש בחושיו ממש כיצד נישאים אליו ממעבה הזמן מאבקיו של עם ישראל עם גורלו, שראשון בהם מאבק יעקב-ישראל עם המלאך. ורק בישראל יכול אדם להתוודע </w:t>
      </w:r>
      <w:r>
        <w:rPr>
          <w:rtl/>
        </w:rPr>
        <w:t>–</w:t>
      </w:r>
      <w:r>
        <w:rPr>
          <w:rFonts w:hint="cs"/>
          <w:rtl/>
        </w:rPr>
        <w:t xml:space="preserve"> מעצם מגוון הפנים שהוא רואה והמבטאים שהוא שומע, מעצם השפע התרבותי והלשוני המסחרר של היהודים שהוא פוגש </w:t>
      </w:r>
      <w:r>
        <w:rPr>
          <w:rtl/>
        </w:rPr>
        <w:t>–</w:t>
      </w:r>
      <w:r>
        <w:rPr>
          <w:rFonts w:hint="cs"/>
          <w:rtl/>
        </w:rPr>
        <w:t xml:space="preserve"> לרבגוניות המופלאה של קיבוץ גלויות. חזון העצמות היבשות הקורמות שוב עור וגידים, חזונו של יחזקאל מגלות בבל, מתגשם כמראה של יום-יום לנגד עיניו של המתהלך ברחוב ישראלי רגיל" (שם, עמ' 36-35).</w:t>
      </w:r>
    </w:p>
    <w:p w:rsidR="00BA03D0" w:rsidRDefault="00BA03D0" w:rsidP="00BA03D0">
      <w:pPr>
        <w:pStyle w:val="Ruller4"/>
        <w:numPr>
          <w:ilvl w:val="0"/>
          <w:numId w:val="0"/>
        </w:numPr>
        <w:rPr>
          <w:rtl/>
        </w:rPr>
      </w:pPr>
      <w:r>
        <w:rPr>
          <w:rFonts w:hint="cs"/>
          <w:rtl/>
        </w:rPr>
        <w:t xml:space="preserve"> </w:t>
      </w:r>
    </w:p>
    <w:p w:rsidR="00BA03D0" w:rsidRDefault="00BA03D0" w:rsidP="00BA03D0">
      <w:pPr>
        <w:pStyle w:val="Ruller4"/>
        <w:textAlignment w:val="baseline"/>
        <w:rPr>
          <w:rtl/>
        </w:rPr>
      </w:pPr>
      <w:r>
        <w:rPr>
          <w:rFonts w:hint="cs"/>
          <w:rtl/>
        </w:rPr>
        <w:lastRenderedPageBreak/>
        <w:t xml:space="preserve">בשים לב לאמור, דרכו של החוק להגשמת תכליתו לקיבוץ גלויות נעשית מאז חקיקתו ועד היום באמצעות הקניית זכויות אזרחיות מיידיות ייחודיות לבני העם היהודי. הזכויות המיוחדות המוענקות מכוח החוק אינן ניתנות לאחרים המבקשים להשתקע בישראל, ואלה נדרשים לעמוד בתנאים הקבועים בין היתר בחוק האזרחות, התשי"ב-1952 (להלן: </w:t>
      </w:r>
      <w:r w:rsidRPr="001E4621">
        <w:rPr>
          <w:rFonts w:ascii="Century" w:hAnsi="Century" w:cs="Miriam" w:hint="cs"/>
          <w:b/>
          <w:spacing w:val="0"/>
          <w:sz w:val="22"/>
          <w:szCs w:val="24"/>
          <w:rtl/>
        </w:rPr>
        <w:t>חוק האזרחות</w:t>
      </w:r>
      <w:r>
        <w:rPr>
          <w:rFonts w:hint="cs"/>
          <w:rtl/>
        </w:rPr>
        <w:t xml:space="preserve">). החוק מעגן אפוא מעצם טבעו העדפה של יהודים ובני משפחתם, בכך שהוא מעניק להם זכויות יתר על פני אלה שאינם יהודים או בני משפחה (וראו בהקשר זה, למשל: </w:t>
      </w:r>
      <w:r w:rsidRPr="003F73BB">
        <w:rPr>
          <w:rFonts w:hint="eastAsia"/>
          <w:rtl/>
        </w:rPr>
        <w:t>בג</w:t>
      </w:r>
      <w:r w:rsidRPr="003F73BB">
        <w:rPr>
          <w:rtl/>
        </w:rPr>
        <w:t>"</w:t>
      </w:r>
      <w:r w:rsidRPr="003F73BB">
        <w:rPr>
          <w:rFonts w:hint="eastAsia"/>
          <w:rtl/>
        </w:rPr>
        <w:t>ץ</w:t>
      </w:r>
      <w:r w:rsidRPr="003F73BB">
        <w:rPr>
          <w:rtl/>
        </w:rPr>
        <w:t xml:space="preserve"> 6698</w:t>
      </w:r>
      <w:r>
        <w:rPr>
          <w:rFonts w:hint="cs"/>
          <w:rtl/>
        </w:rPr>
        <w:t>/</w:t>
      </w:r>
      <w:r w:rsidRPr="003F73BB">
        <w:rPr>
          <w:rtl/>
        </w:rPr>
        <w:t xml:space="preserve">95 </w:t>
      </w:r>
      <w:r w:rsidRPr="00FF0CDA">
        <w:rPr>
          <w:rFonts w:ascii="Century" w:hAnsi="Century" w:cs="Miriam" w:hint="eastAsia"/>
          <w:b/>
          <w:spacing w:val="0"/>
          <w:sz w:val="22"/>
          <w:szCs w:val="24"/>
          <w:rtl/>
        </w:rPr>
        <w:t>קעדאן</w:t>
      </w:r>
      <w:r w:rsidRPr="00FF0CDA">
        <w:rPr>
          <w:rFonts w:ascii="Century" w:hAnsi="Century" w:cs="Miriam"/>
          <w:b/>
          <w:spacing w:val="0"/>
          <w:sz w:val="22"/>
          <w:szCs w:val="24"/>
          <w:rtl/>
        </w:rPr>
        <w:t xml:space="preserve"> </w:t>
      </w:r>
      <w:r w:rsidRPr="00FF0CDA">
        <w:rPr>
          <w:rFonts w:ascii="Century" w:hAnsi="Century" w:cs="Miriam" w:hint="eastAsia"/>
          <w:b/>
          <w:spacing w:val="0"/>
          <w:sz w:val="22"/>
          <w:szCs w:val="24"/>
          <w:rtl/>
        </w:rPr>
        <w:t>נ</w:t>
      </w:r>
      <w:r w:rsidRPr="00FF0CDA">
        <w:rPr>
          <w:rFonts w:ascii="Century" w:hAnsi="Century" w:cs="Miriam"/>
          <w:b/>
          <w:spacing w:val="0"/>
          <w:sz w:val="22"/>
          <w:szCs w:val="24"/>
          <w:rtl/>
        </w:rPr>
        <w:t xml:space="preserve">' </w:t>
      </w:r>
      <w:r w:rsidRPr="00FF0CDA">
        <w:rPr>
          <w:rFonts w:ascii="Century" w:hAnsi="Century" w:cs="Miriam" w:hint="eastAsia"/>
          <w:b/>
          <w:spacing w:val="0"/>
          <w:sz w:val="22"/>
          <w:szCs w:val="24"/>
          <w:rtl/>
        </w:rPr>
        <w:t>מינהל</w:t>
      </w:r>
      <w:r w:rsidRPr="00FF0CDA">
        <w:rPr>
          <w:rFonts w:ascii="Century" w:hAnsi="Century" w:cs="Miriam"/>
          <w:b/>
          <w:spacing w:val="0"/>
          <w:sz w:val="22"/>
          <w:szCs w:val="24"/>
          <w:rtl/>
        </w:rPr>
        <w:t xml:space="preserve"> </w:t>
      </w:r>
      <w:r w:rsidRPr="00FF0CDA">
        <w:rPr>
          <w:rFonts w:ascii="Century" w:hAnsi="Century" w:cs="Miriam" w:hint="eastAsia"/>
          <w:b/>
          <w:spacing w:val="0"/>
          <w:sz w:val="22"/>
          <w:szCs w:val="24"/>
          <w:rtl/>
        </w:rPr>
        <w:t>מקרקעי</w:t>
      </w:r>
      <w:r w:rsidRPr="00FF0CDA">
        <w:rPr>
          <w:rFonts w:ascii="Century" w:hAnsi="Century" w:cs="Miriam"/>
          <w:b/>
          <w:spacing w:val="0"/>
          <w:sz w:val="22"/>
          <w:szCs w:val="24"/>
          <w:rtl/>
        </w:rPr>
        <w:t xml:space="preserve"> </w:t>
      </w:r>
      <w:r w:rsidRPr="00FF0CDA">
        <w:rPr>
          <w:rFonts w:ascii="Century" w:hAnsi="Century" w:cs="Miriam" w:hint="eastAsia"/>
          <w:b/>
          <w:spacing w:val="0"/>
          <w:sz w:val="22"/>
          <w:szCs w:val="24"/>
          <w:rtl/>
        </w:rPr>
        <w:t>ישראל</w:t>
      </w:r>
      <w:r w:rsidRPr="003F73BB">
        <w:rPr>
          <w:rtl/>
        </w:rPr>
        <w:t xml:space="preserve">, </w:t>
      </w:r>
      <w:r w:rsidRPr="003F73BB">
        <w:rPr>
          <w:rFonts w:hint="eastAsia"/>
          <w:rtl/>
        </w:rPr>
        <w:t>פ</w:t>
      </w:r>
      <w:r w:rsidRPr="003F73BB">
        <w:rPr>
          <w:rtl/>
        </w:rPr>
        <w:t>"</w:t>
      </w:r>
      <w:r w:rsidRPr="003F73BB">
        <w:rPr>
          <w:rFonts w:hint="eastAsia"/>
          <w:rtl/>
        </w:rPr>
        <w:t>ד</w:t>
      </w:r>
      <w:r w:rsidRPr="003F73BB">
        <w:rPr>
          <w:rtl/>
        </w:rPr>
        <w:t xml:space="preserve"> </w:t>
      </w:r>
      <w:r w:rsidRPr="003F73BB">
        <w:rPr>
          <w:rFonts w:hint="eastAsia"/>
          <w:rtl/>
        </w:rPr>
        <w:t>נד</w:t>
      </w:r>
      <w:r w:rsidRPr="003F73BB">
        <w:rPr>
          <w:rtl/>
        </w:rPr>
        <w:t>(1) 258</w:t>
      </w:r>
      <w:r>
        <w:rPr>
          <w:rFonts w:hint="cs"/>
          <w:rtl/>
        </w:rPr>
        <w:t xml:space="preserve">, 282 (2000)). מאפיין זה של החוק היווה לאורך השנים כר פורה להעלאת טענות שונות מתחום השוויון, אולם טענות אלו נדחו פעם אחר פעם תוך שהובהרה לגיטימיות החוק על רקע ההיסטוריה שקדמה לו וחשיבותו לעם היהודי </w:t>
      </w:r>
      <w:r>
        <w:rPr>
          <w:rtl/>
        </w:rPr>
        <w:t>–</w:t>
      </w:r>
      <w:r>
        <w:rPr>
          <w:rFonts w:hint="cs"/>
          <w:rtl/>
        </w:rPr>
        <w:t xml:space="preserve"> חשיבות הניכרת למרבה הצער גם בימים אלו ממש. כפי שצוין בעניין </w:t>
      </w:r>
      <w:r w:rsidRPr="001E4621">
        <w:rPr>
          <w:rFonts w:ascii="Century" w:hAnsi="Century" w:cs="Miriam" w:hint="cs"/>
          <w:b/>
          <w:spacing w:val="0"/>
          <w:szCs w:val="24"/>
          <w:rtl/>
        </w:rPr>
        <w:t>טושביים</w:t>
      </w:r>
      <w:r>
        <w:rPr>
          <w:rFonts w:hint="cs"/>
          <w:rtl/>
        </w:rPr>
        <w:t>:</w:t>
      </w:r>
    </w:p>
    <w:p w:rsidR="00BA03D0" w:rsidRPr="001C0BC0" w:rsidRDefault="00BA03D0" w:rsidP="00BA03D0">
      <w:pPr>
        <w:pStyle w:val="Ruller41"/>
        <w:rPr>
          <w:rtl/>
        </w:rPr>
      </w:pPr>
    </w:p>
    <w:p w:rsidR="00BA03D0" w:rsidRDefault="00BA03D0" w:rsidP="00BA03D0">
      <w:pPr>
        <w:pStyle w:val="Ruller5"/>
        <w:rPr>
          <w:rtl/>
        </w:rPr>
      </w:pPr>
      <w:r>
        <w:rPr>
          <w:rFonts w:hint="cs"/>
          <w:rtl/>
        </w:rPr>
        <w:t>"</w:t>
      </w:r>
      <w:r>
        <w:rPr>
          <w:rFonts w:hint="eastAsia"/>
          <w:rtl/>
        </w:rPr>
        <w:t>הוראותיו</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שימשו</w:t>
      </w:r>
      <w:r>
        <w:rPr>
          <w:rtl/>
        </w:rPr>
        <w:t xml:space="preserve"> </w:t>
      </w:r>
      <w:r>
        <w:rPr>
          <w:rFonts w:hint="eastAsia"/>
          <w:rtl/>
        </w:rPr>
        <w:t>לאורך</w:t>
      </w:r>
      <w:r>
        <w:rPr>
          <w:rtl/>
        </w:rPr>
        <w:t xml:space="preserve"> </w:t>
      </w:r>
      <w:r>
        <w:rPr>
          <w:rFonts w:hint="eastAsia"/>
          <w:rtl/>
        </w:rPr>
        <w:t>השנים</w:t>
      </w:r>
      <w:r>
        <w:rPr>
          <w:rtl/>
        </w:rPr>
        <w:t xml:space="preserve"> </w:t>
      </w:r>
      <w:r>
        <w:rPr>
          <w:rFonts w:hint="eastAsia"/>
          <w:rtl/>
        </w:rPr>
        <w:t>מקור</w:t>
      </w:r>
      <w:r>
        <w:rPr>
          <w:rtl/>
        </w:rPr>
        <w:t xml:space="preserve"> </w:t>
      </w:r>
      <w:r>
        <w:rPr>
          <w:rFonts w:hint="eastAsia"/>
          <w:rtl/>
        </w:rPr>
        <w:t>לא</w:t>
      </w:r>
      <w:r>
        <w:rPr>
          <w:rtl/>
        </w:rPr>
        <w:t xml:space="preserve"> </w:t>
      </w:r>
      <w:r>
        <w:rPr>
          <w:rFonts w:hint="eastAsia"/>
          <w:rtl/>
        </w:rPr>
        <w:t>אכזב</w:t>
      </w:r>
      <w:r>
        <w:rPr>
          <w:rtl/>
        </w:rPr>
        <w:t xml:space="preserve"> </w:t>
      </w:r>
      <w:r>
        <w:rPr>
          <w:rFonts w:hint="eastAsia"/>
          <w:rtl/>
        </w:rPr>
        <w:t>לטענות</w:t>
      </w:r>
      <w:r>
        <w:rPr>
          <w:rtl/>
        </w:rPr>
        <w:t xml:space="preserve"> </w:t>
      </w:r>
      <w:r>
        <w:rPr>
          <w:rFonts w:hint="eastAsia"/>
          <w:rtl/>
        </w:rPr>
        <w:t>הפליה</w:t>
      </w:r>
      <w:r>
        <w:rPr>
          <w:rtl/>
        </w:rPr>
        <w:t xml:space="preserve"> </w:t>
      </w:r>
      <w:r>
        <w:rPr>
          <w:rFonts w:hint="eastAsia"/>
          <w:rtl/>
        </w:rPr>
        <w:t>שונות</w:t>
      </w:r>
      <w:r>
        <w:rPr>
          <w:rtl/>
        </w:rPr>
        <w:t xml:space="preserve"> </w:t>
      </w:r>
      <w:r>
        <w:rPr>
          <w:rFonts w:hint="eastAsia"/>
          <w:rtl/>
        </w:rPr>
        <w:t>שמקורן</w:t>
      </w:r>
      <w:r>
        <w:rPr>
          <w:rtl/>
        </w:rPr>
        <w:t xml:space="preserve"> </w:t>
      </w:r>
      <w:r>
        <w:rPr>
          <w:rFonts w:hint="eastAsia"/>
          <w:rtl/>
        </w:rPr>
        <w:t>בזכויות</w:t>
      </w:r>
      <w:r>
        <w:rPr>
          <w:rtl/>
        </w:rPr>
        <w:t xml:space="preserve"> </w:t>
      </w:r>
      <w:r>
        <w:rPr>
          <w:rFonts w:hint="eastAsia"/>
          <w:rtl/>
        </w:rPr>
        <w:t>האזרחיות</w:t>
      </w:r>
      <w:r>
        <w:rPr>
          <w:rtl/>
        </w:rPr>
        <w:t xml:space="preserve"> </w:t>
      </w:r>
      <w:r>
        <w:rPr>
          <w:rFonts w:hint="eastAsia"/>
          <w:rtl/>
        </w:rPr>
        <w:t>המיידיות</w:t>
      </w:r>
      <w:r>
        <w:rPr>
          <w:rtl/>
        </w:rPr>
        <w:t xml:space="preserve"> </w:t>
      </w:r>
      <w:r>
        <w:rPr>
          <w:rFonts w:hint="eastAsia"/>
          <w:rtl/>
        </w:rPr>
        <w:t>שהוא</w:t>
      </w:r>
      <w:r>
        <w:rPr>
          <w:rtl/>
        </w:rPr>
        <w:t xml:space="preserve"> </w:t>
      </w:r>
      <w:r>
        <w:rPr>
          <w:rFonts w:hint="eastAsia"/>
          <w:rtl/>
        </w:rPr>
        <w:t>מקנה</w:t>
      </w:r>
      <w:r>
        <w:rPr>
          <w:rtl/>
        </w:rPr>
        <w:t xml:space="preserve"> </w:t>
      </w:r>
      <w:r>
        <w:rPr>
          <w:rFonts w:hint="eastAsia"/>
          <w:rtl/>
        </w:rPr>
        <w:t>ליהודים</w:t>
      </w:r>
      <w:r>
        <w:rPr>
          <w:rtl/>
        </w:rPr>
        <w:t xml:space="preserve"> </w:t>
      </w:r>
      <w:r>
        <w:rPr>
          <w:rFonts w:hint="eastAsia"/>
          <w:rtl/>
        </w:rPr>
        <w:t>לעומת</w:t>
      </w:r>
      <w:r>
        <w:rPr>
          <w:rtl/>
        </w:rPr>
        <w:t xml:space="preserve"> </w:t>
      </w:r>
      <w:r>
        <w:rPr>
          <w:rFonts w:hint="eastAsia"/>
          <w:rtl/>
        </w:rPr>
        <w:t>תושבי</w:t>
      </w:r>
      <w:r>
        <w:rPr>
          <w:rtl/>
        </w:rPr>
        <w:t xml:space="preserve"> </w:t>
      </w:r>
      <w:r>
        <w:rPr>
          <w:rFonts w:hint="eastAsia"/>
          <w:rtl/>
        </w:rPr>
        <w:t>ישראל</w:t>
      </w:r>
      <w:r>
        <w:rPr>
          <w:rtl/>
        </w:rPr>
        <w:t xml:space="preserve"> </w:t>
      </w:r>
      <w:r>
        <w:rPr>
          <w:rFonts w:hint="eastAsia"/>
          <w:rtl/>
        </w:rPr>
        <w:t>שאינם</w:t>
      </w:r>
      <w:r>
        <w:rPr>
          <w:rtl/>
        </w:rPr>
        <w:t xml:space="preserve"> </w:t>
      </w:r>
      <w:r>
        <w:rPr>
          <w:rFonts w:hint="eastAsia"/>
          <w:rtl/>
        </w:rPr>
        <w:t>יהודים</w:t>
      </w:r>
      <w:r>
        <w:rPr>
          <w:rtl/>
        </w:rPr>
        <w:t xml:space="preserve">, </w:t>
      </w:r>
      <w:r>
        <w:rPr>
          <w:rFonts w:hint="eastAsia"/>
          <w:rtl/>
        </w:rPr>
        <w:t>הכפופים</w:t>
      </w:r>
      <w:r>
        <w:rPr>
          <w:rtl/>
        </w:rPr>
        <w:t xml:space="preserve"> </w:t>
      </w:r>
      <w:r>
        <w:rPr>
          <w:rFonts w:hint="eastAsia"/>
          <w:rtl/>
        </w:rPr>
        <w:t>להליכי</w:t>
      </w:r>
      <w:r>
        <w:rPr>
          <w:rtl/>
        </w:rPr>
        <w:t xml:space="preserve"> </w:t>
      </w:r>
      <w:r>
        <w:rPr>
          <w:rFonts w:hint="eastAsia"/>
          <w:rtl/>
        </w:rPr>
        <w:t>הקניית</w:t>
      </w:r>
      <w:r>
        <w:rPr>
          <w:rtl/>
        </w:rPr>
        <w:t xml:space="preserve"> </w:t>
      </w:r>
      <w:r>
        <w:rPr>
          <w:rFonts w:hint="eastAsia"/>
          <w:rtl/>
        </w:rPr>
        <w:t>אזרחות</w:t>
      </w:r>
      <w:r>
        <w:rPr>
          <w:rtl/>
        </w:rPr>
        <w:t xml:space="preserve"> </w:t>
      </w:r>
      <w:r>
        <w:rPr>
          <w:rFonts w:hint="eastAsia"/>
          <w:rtl/>
        </w:rPr>
        <w:t>רגילים</w:t>
      </w:r>
      <w:r>
        <w:rPr>
          <w:rtl/>
        </w:rPr>
        <w:t xml:space="preserve"> </w:t>
      </w:r>
      <w:r>
        <w:rPr>
          <w:rFonts w:hint="eastAsia"/>
          <w:rtl/>
        </w:rPr>
        <w:t>על</w:t>
      </w:r>
      <w:r>
        <w:rPr>
          <w:rtl/>
        </w:rPr>
        <w:t>-</w:t>
      </w:r>
      <w:r>
        <w:rPr>
          <w:rFonts w:hint="eastAsia"/>
          <w:rtl/>
        </w:rPr>
        <w:t>פי</w:t>
      </w:r>
      <w:r>
        <w:rPr>
          <w:rtl/>
        </w:rPr>
        <w:t xml:space="preserve"> </w:t>
      </w:r>
      <w:r>
        <w:rPr>
          <w:rFonts w:hint="eastAsia"/>
          <w:rtl/>
        </w:rPr>
        <w:t>חוק</w:t>
      </w:r>
      <w:r>
        <w:rPr>
          <w:rtl/>
        </w:rPr>
        <w:t xml:space="preserve"> </w:t>
      </w:r>
      <w:r>
        <w:rPr>
          <w:rFonts w:hint="eastAsia"/>
          <w:rtl/>
        </w:rPr>
        <w:t>האזרחות</w:t>
      </w:r>
      <w:r>
        <w:rPr>
          <w:rtl/>
        </w:rPr>
        <w:t xml:space="preserve">. </w:t>
      </w:r>
      <w:r>
        <w:rPr>
          <w:rFonts w:hint="eastAsia"/>
          <w:rtl/>
        </w:rPr>
        <w:t>כל</w:t>
      </w:r>
      <w:r>
        <w:rPr>
          <w:rtl/>
        </w:rPr>
        <w:t xml:space="preserve"> </w:t>
      </w:r>
      <w:r>
        <w:rPr>
          <w:rFonts w:hint="eastAsia"/>
          <w:rtl/>
        </w:rPr>
        <w:t>עוד</w:t>
      </w:r>
      <w:r>
        <w:rPr>
          <w:rtl/>
        </w:rPr>
        <w:t xml:space="preserve"> </w:t>
      </w:r>
      <w:r>
        <w:rPr>
          <w:rFonts w:hint="eastAsia"/>
          <w:rtl/>
        </w:rPr>
        <w:t>נתפס</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כחוק</w:t>
      </w:r>
      <w:r>
        <w:rPr>
          <w:rtl/>
        </w:rPr>
        <w:t xml:space="preserve"> </w:t>
      </w:r>
      <w:r>
        <w:rPr>
          <w:rFonts w:hint="eastAsia"/>
          <w:rtl/>
        </w:rPr>
        <w:t>של</w:t>
      </w:r>
      <w:r>
        <w:rPr>
          <w:rtl/>
        </w:rPr>
        <w:t xml:space="preserve"> </w:t>
      </w:r>
      <w:r>
        <w:rPr>
          <w:rFonts w:hint="eastAsia"/>
          <w:rtl/>
        </w:rPr>
        <w:t>עלייה</w:t>
      </w:r>
      <w:r>
        <w:rPr>
          <w:rtl/>
        </w:rPr>
        <w:t xml:space="preserve"> </w:t>
      </w:r>
      <w:r>
        <w:rPr>
          <w:rFonts w:hint="eastAsia"/>
          <w:rtl/>
        </w:rPr>
        <w:t>ושיבה</w:t>
      </w:r>
      <w:r>
        <w:rPr>
          <w:rtl/>
        </w:rPr>
        <w:t xml:space="preserve"> </w:t>
      </w:r>
      <w:r>
        <w:rPr>
          <w:rFonts w:hint="eastAsia"/>
          <w:rtl/>
        </w:rPr>
        <w:t>למולדת</w:t>
      </w:r>
      <w:r>
        <w:rPr>
          <w:rtl/>
        </w:rPr>
        <w:t xml:space="preserve">, </w:t>
      </w:r>
      <w:r>
        <w:rPr>
          <w:rFonts w:hint="eastAsia"/>
          <w:rtl/>
        </w:rPr>
        <w:t>ניתן</w:t>
      </w:r>
      <w:r>
        <w:rPr>
          <w:rtl/>
        </w:rPr>
        <w:t xml:space="preserve"> </w:t>
      </w:r>
      <w:r>
        <w:rPr>
          <w:rFonts w:hint="eastAsia"/>
          <w:rtl/>
        </w:rPr>
        <w:t>לבסס</w:t>
      </w:r>
      <w:r>
        <w:rPr>
          <w:rtl/>
        </w:rPr>
        <w:t xml:space="preserve"> </w:t>
      </w:r>
      <w:r>
        <w:rPr>
          <w:rFonts w:hint="eastAsia"/>
          <w:rtl/>
        </w:rPr>
        <w:t>את</w:t>
      </w:r>
      <w:r>
        <w:rPr>
          <w:rtl/>
        </w:rPr>
        <w:t xml:space="preserve"> </w:t>
      </w:r>
      <w:r>
        <w:rPr>
          <w:rFonts w:hint="eastAsia"/>
          <w:rtl/>
        </w:rPr>
        <w:t>הלגיטימיות</w:t>
      </w:r>
      <w:r>
        <w:rPr>
          <w:rtl/>
        </w:rPr>
        <w:t xml:space="preserve"> </w:t>
      </w:r>
      <w:r>
        <w:rPr>
          <w:rFonts w:hint="eastAsia"/>
          <w:rtl/>
        </w:rPr>
        <w:t>שלו</w:t>
      </w:r>
      <w:r>
        <w:rPr>
          <w:rtl/>
        </w:rPr>
        <w:t xml:space="preserve"> </w:t>
      </w:r>
      <w:r>
        <w:rPr>
          <w:rFonts w:hint="eastAsia"/>
          <w:rtl/>
        </w:rPr>
        <w:t>כחוק</w:t>
      </w:r>
      <w:r>
        <w:rPr>
          <w:rtl/>
        </w:rPr>
        <w:t xml:space="preserve"> </w:t>
      </w:r>
      <w:r>
        <w:rPr>
          <w:rFonts w:hint="eastAsia"/>
          <w:rtl/>
        </w:rPr>
        <w:t>בעל</w:t>
      </w:r>
      <w:r>
        <w:rPr>
          <w:rtl/>
        </w:rPr>
        <w:t xml:space="preserve"> </w:t>
      </w:r>
      <w:r>
        <w:rPr>
          <w:rFonts w:hint="eastAsia"/>
          <w:rtl/>
        </w:rPr>
        <w:t>משמעות</w:t>
      </w:r>
      <w:r>
        <w:rPr>
          <w:rtl/>
        </w:rPr>
        <w:t xml:space="preserve"> </w:t>
      </w:r>
      <w:r>
        <w:rPr>
          <w:rFonts w:hint="eastAsia"/>
          <w:rtl/>
        </w:rPr>
        <w:t>היסטורית</w:t>
      </w:r>
      <w:r>
        <w:rPr>
          <w:rtl/>
        </w:rPr>
        <w:t xml:space="preserve">, </w:t>
      </w:r>
      <w:r>
        <w:rPr>
          <w:rFonts w:hint="eastAsia"/>
          <w:rtl/>
        </w:rPr>
        <w:t>המקבץ</w:t>
      </w:r>
      <w:r>
        <w:rPr>
          <w:rtl/>
        </w:rPr>
        <w:t xml:space="preserve"> </w:t>
      </w:r>
      <w:r>
        <w:rPr>
          <w:rFonts w:hint="eastAsia"/>
          <w:rtl/>
        </w:rPr>
        <w:t>את</w:t>
      </w:r>
      <w:r>
        <w:rPr>
          <w:rtl/>
        </w:rPr>
        <w:t xml:space="preserve"> </w:t>
      </w:r>
      <w:r>
        <w:rPr>
          <w:rFonts w:hint="eastAsia"/>
          <w:rtl/>
        </w:rPr>
        <w:t>הפזורה</w:t>
      </w:r>
      <w:r>
        <w:rPr>
          <w:rtl/>
        </w:rPr>
        <w:t xml:space="preserve"> </w:t>
      </w:r>
      <w:r>
        <w:rPr>
          <w:rFonts w:hint="eastAsia"/>
          <w:rtl/>
        </w:rPr>
        <w:t>היהודית</w:t>
      </w:r>
      <w:r>
        <w:rPr>
          <w:rtl/>
        </w:rPr>
        <w:t xml:space="preserve"> </w:t>
      </w:r>
      <w:r>
        <w:rPr>
          <w:rFonts w:hint="eastAsia"/>
          <w:rtl/>
        </w:rPr>
        <w:t>אל</w:t>
      </w:r>
      <w:r>
        <w:rPr>
          <w:rtl/>
        </w:rPr>
        <w:t xml:space="preserve"> </w:t>
      </w:r>
      <w:r>
        <w:rPr>
          <w:rFonts w:hint="eastAsia"/>
          <w:rtl/>
        </w:rPr>
        <w:t>מדינת</w:t>
      </w:r>
      <w:r>
        <w:rPr>
          <w:rtl/>
        </w:rPr>
        <w:t xml:space="preserve"> </w:t>
      </w:r>
      <w:r>
        <w:rPr>
          <w:rFonts w:hint="eastAsia"/>
          <w:rtl/>
        </w:rPr>
        <w:t>הלאום</w:t>
      </w:r>
      <w:r>
        <w:rPr>
          <w:rtl/>
        </w:rPr>
        <w:t xml:space="preserve"> </w:t>
      </w:r>
      <w:r>
        <w:rPr>
          <w:rFonts w:hint="eastAsia"/>
          <w:rtl/>
        </w:rPr>
        <w:t>שלה</w:t>
      </w:r>
      <w:r>
        <w:rPr>
          <w:rtl/>
        </w:rPr>
        <w:t xml:space="preserve">. </w:t>
      </w:r>
      <w:r>
        <w:rPr>
          <w:rFonts w:hint="eastAsia"/>
          <w:rtl/>
        </w:rPr>
        <w:t>בכך</w:t>
      </w:r>
      <w:r>
        <w:rPr>
          <w:rtl/>
        </w:rPr>
        <w:t xml:space="preserve"> </w:t>
      </w:r>
      <w:r>
        <w:rPr>
          <w:rFonts w:hint="eastAsia"/>
          <w:rtl/>
        </w:rPr>
        <w:t>נמצא</w:t>
      </w:r>
      <w:r>
        <w:rPr>
          <w:rtl/>
        </w:rPr>
        <w:t xml:space="preserve"> </w:t>
      </w:r>
      <w:r>
        <w:rPr>
          <w:rFonts w:hint="eastAsia"/>
          <w:rtl/>
        </w:rPr>
        <w:t>רציונל</w:t>
      </w:r>
      <w:r>
        <w:rPr>
          <w:rtl/>
        </w:rPr>
        <w:t xml:space="preserve"> </w:t>
      </w:r>
      <w:r>
        <w:rPr>
          <w:rFonts w:hint="eastAsia"/>
          <w:rtl/>
        </w:rPr>
        <w:t>היסטורי</w:t>
      </w:r>
      <w:r>
        <w:rPr>
          <w:rtl/>
        </w:rPr>
        <w:t>-</w:t>
      </w:r>
      <w:r>
        <w:rPr>
          <w:rFonts w:hint="eastAsia"/>
          <w:rtl/>
        </w:rPr>
        <w:t>לאומי</w:t>
      </w:r>
      <w:r>
        <w:rPr>
          <w:rtl/>
        </w:rPr>
        <w:t xml:space="preserve"> </w:t>
      </w:r>
      <w:r>
        <w:rPr>
          <w:rFonts w:hint="eastAsia"/>
          <w:rtl/>
        </w:rPr>
        <w:t>להבחנה</w:t>
      </w:r>
      <w:r>
        <w:rPr>
          <w:rtl/>
        </w:rPr>
        <w:t xml:space="preserve"> </w:t>
      </w:r>
      <w:r>
        <w:rPr>
          <w:rFonts w:hint="eastAsia"/>
          <w:rtl/>
        </w:rPr>
        <w:t>בין</w:t>
      </w:r>
      <w:r>
        <w:rPr>
          <w:rtl/>
        </w:rPr>
        <w:t xml:space="preserve"> </w:t>
      </w:r>
      <w:r>
        <w:rPr>
          <w:rFonts w:hint="eastAsia"/>
          <w:rtl/>
        </w:rPr>
        <w:t>הקניית</w:t>
      </w:r>
      <w:r>
        <w:rPr>
          <w:rtl/>
        </w:rPr>
        <w:t xml:space="preserve"> </w:t>
      </w:r>
      <w:r>
        <w:rPr>
          <w:rFonts w:hint="eastAsia"/>
          <w:rtl/>
        </w:rPr>
        <w:t>אזרחות</w:t>
      </w:r>
      <w:r>
        <w:rPr>
          <w:rtl/>
        </w:rPr>
        <w:t xml:space="preserve"> </w:t>
      </w:r>
      <w:r>
        <w:rPr>
          <w:rFonts w:hint="eastAsia"/>
          <w:rtl/>
        </w:rPr>
        <w:t>מיידית</w:t>
      </w:r>
      <w:r>
        <w:rPr>
          <w:rtl/>
        </w:rPr>
        <w:t xml:space="preserve"> </w:t>
      </w:r>
      <w:r>
        <w:rPr>
          <w:rFonts w:hint="eastAsia"/>
          <w:rtl/>
        </w:rPr>
        <w:t>ליהודי</w:t>
      </w:r>
      <w:r>
        <w:rPr>
          <w:rtl/>
        </w:rPr>
        <w:t xml:space="preserve"> </w:t>
      </w:r>
      <w:r>
        <w:rPr>
          <w:rFonts w:hint="eastAsia"/>
          <w:rtl/>
        </w:rPr>
        <w:t>הבא</w:t>
      </w:r>
      <w:r>
        <w:rPr>
          <w:rtl/>
        </w:rPr>
        <w:t xml:space="preserve"> </w:t>
      </w:r>
      <w:r>
        <w:rPr>
          <w:rFonts w:hint="eastAsia"/>
          <w:rtl/>
        </w:rPr>
        <w:t>לישראל</w:t>
      </w:r>
      <w:r>
        <w:rPr>
          <w:rtl/>
        </w:rPr>
        <w:t xml:space="preserve"> </w:t>
      </w:r>
      <w:r>
        <w:rPr>
          <w:rFonts w:hint="eastAsia"/>
          <w:rtl/>
        </w:rPr>
        <w:t>מכוח</w:t>
      </w:r>
      <w:r>
        <w:rPr>
          <w:rtl/>
        </w:rPr>
        <w:t xml:space="preserve"> </w:t>
      </w:r>
      <w:r>
        <w:rPr>
          <w:rFonts w:hint="eastAsia"/>
          <w:rtl/>
        </w:rPr>
        <w:t>שבות</w:t>
      </w:r>
      <w:r>
        <w:rPr>
          <w:rtl/>
        </w:rPr>
        <w:t xml:space="preserve">, </w:t>
      </w:r>
      <w:r>
        <w:rPr>
          <w:rFonts w:hint="eastAsia"/>
          <w:rtl/>
        </w:rPr>
        <w:t>לבין</w:t>
      </w:r>
      <w:r>
        <w:rPr>
          <w:rtl/>
        </w:rPr>
        <w:t xml:space="preserve"> </w:t>
      </w:r>
      <w:r>
        <w:rPr>
          <w:rFonts w:hint="eastAsia"/>
          <w:rtl/>
        </w:rPr>
        <w:t>הקניית</w:t>
      </w:r>
      <w:r>
        <w:rPr>
          <w:rtl/>
        </w:rPr>
        <w:t xml:space="preserve"> </w:t>
      </w:r>
      <w:r>
        <w:rPr>
          <w:rFonts w:hint="eastAsia"/>
          <w:rtl/>
        </w:rPr>
        <w:t>זכויות</w:t>
      </w:r>
      <w:r>
        <w:rPr>
          <w:rtl/>
        </w:rPr>
        <w:t xml:space="preserve"> </w:t>
      </w:r>
      <w:r>
        <w:rPr>
          <w:rFonts w:hint="eastAsia"/>
          <w:rtl/>
        </w:rPr>
        <w:t>אזרחיות</w:t>
      </w:r>
      <w:r>
        <w:rPr>
          <w:rtl/>
        </w:rPr>
        <w:t xml:space="preserve"> </w:t>
      </w:r>
      <w:r>
        <w:rPr>
          <w:rFonts w:hint="eastAsia"/>
          <w:rtl/>
        </w:rPr>
        <w:t>בדרכים</w:t>
      </w:r>
      <w:r>
        <w:rPr>
          <w:rtl/>
        </w:rPr>
        <w:t xml:space="preserve"> </w:t>
      </w:r>
      <w:r>
        <w:rPr>
          <w:rFonts w:hint="eastAsia"/>
          <w:rtl/>
        </w:rPr>
        <w:t>מקובלות</w:t>
      </w:r>
      <w:r>
        <w:rPr>
          <w:rtl/>
        </w:rPr>
        <w:t xml:space="preserve"> </w:t>
      </w:r>
      <w:r>
        <w:rPr>
          <w:rFonts w:hint="eastAsia"/>
          <w:rtl/>
        </w:rPr>
        <w:t>לתושבים</w:t>
      </w:r>
      <w:r>
        <w:rPr>
          <w:rtl/>
        </w:rPr>
        <w:t xml:space="preserve"> </w:t>
      </w:r>
      <w:r>
        <w:rPr>
          <w:rFonts w:hint="eastAsia"/>
          <w:rtl/>
        </w:rPr>
        <w:t>אחרים</w:t>
      </w:r>
      <w:r>
        <w:rPr>
          <w:rtl/>
        </w:rPr>
        <w:t xml:space="preserve">, </w:t>
      </w:r>
      <w:r>
        <w:rPr>
          <w:rFonts w:hint="eastAsia"/>
          <w:rtl/>
        </w:rPr>
        <w:t>המותווית</w:t>
      </w:r>
      <w:r>
        <w:rPr>
          <w:rtl/>
        </w:rPr>
        <w:t xml:space="preserve"> </w:t>
      </w:r>
      <w:r>
        <w:rPr>
          <w:rFonts w:hint="eastAsia"/>
          <w:rtl/>
        </w:rPr>
        <w:t>בחוק</w:t>
      </w:r>
      <w:r>
        <w:rPr>
          <w:rtl/>
        </w:rPr>
        <w:t xml:space="preserve"> </w:t>
      </w:r>
      <w:r>
        <w:rPr>
          <w:rFonts w:hint="eastAsia"/>
          <w:rtl/>
        </w:rPr>
        <w:t>האזרחות</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כחוק</w:t>
      </w:r>
      <w:r>
        <w:rPr>
          <w:rtl/>
        </w:rPr>
        <w:t xml:space="preserve"> </w:t>
      </w:r>
      <w:r>
        <w:rPr>
          <w:rFonts w:hint="eastAsia"/>
          <w:rtl/>
        </w:rPr>
        <w:t>של</w:t>
      </w:r>
      <w:r>
        <w:rPr>
          <w:rtl/>
        </w:rPr>
        <w:t xml:space="preserve"> </w:t>
      </w:r>
      <w:r>
        <w:rPr>
          <w:rFonts w:hint="eastAsia"/>
          <w:rtl/>
        </w:rPr>
        <w:t>עלייה</w:t>
      </w:r>
      <w:r>
        <w:rPr>
          <w:rtl/>
        </w:rPr>
        <w:t xml:space="preserve"> </w:t>
      </w:r>
      <w:r>
        <w:rPr>
          <w:rFonts w:hint="eastAsia"/>
          <w:rtl/>
        </w:rPr>
        <w:t>אינו</w:t>
      </w:r>
      <w:r>
        <w:rPr>
          <w:rtl/>
        </w:rPr>
        <w:t xml:space="preserve"> </w:t>
      </w:r>
      <w:r>
        <w:rPr>
          <w:rFonts w:hint="eastAsia"/>
          <w:rtl/>
        </w:rPr>
        <w:t>נוגד</w:t>
      </w:r>
      <w:r>
        <w:rPr>
          <w:rtl/>
        </w:rPr>
        <w:t xml:space="preserve"> </w:t>
      </w:r>
      <w:r>
        <w:rPr>
          <w:rFonts w:hint="eastAsia"/>
          <w:rtl/>
        </w:rPr>
        <w:t>את</w:t>
      </w:r>
      <w:r>
        <w:rPr>
          <w:rtl/>
        </w:rPr>
        <w:t xml:space="preserve"> </w:t>
      </w:r>
      <w:r>
        <w:rPr>
          <w:rFonts w:hint="eastAsia"/>
          <w:rtl/>
        </w:rPr>
        <w:t>הרציונל</w:t>
      </w:r>
      <w:r>
        <w:rPr>
          <w:rtl/>
        </w:rPr>
        <w:t xml:space="preserve"> </w:t>
      </w:r>
      <w:r>
        <w:rPr>
          <w:rFonts w:hint="eastAsia"/>
          <w:rtl/>
        </w:rPr>
        <w:t>הבסיסי</w:t>
      </w:r>
      <w:r>
        <w:rPr>
          <w:rtl/>
        </w:rPr>
        <w:t xml:space="preserve"> </w:t>
      </w:r>
      <w:r>
        <w:rPr>
          <w:rFonts w:hint="eastAsia"/>
          <w:rtl/>
        </w:rPr>
        <w:t>של</w:t>
      </w:r>
      <w:r>
        <w:rPr>
          <w:rtl/>
        </w:rPr>
        <w:t xml:space="preserve"> </w:t>
      </w:r>
      <w:r>
        <w:rPr>
          <w:rFonts w:hint="eastAsia"/>
          <w:rtl/>
        </w:rPr>
        <w:t>שוויון</w:t>
      </w:r>
      <w:r>
        <w:rPr>
          <w:rtl/>
        </w:rPr>
        <w:t xml:space="preserve"> </w:t>
      </w:r>
      <w:r>
        <w:rPr>
          <w:rFonts w:hint="eastAsia"/>
          <w:rtl/>
        </w:rPr>
        <w:t>בין</w:t>
      </w:r>
      <w:r>
        <w:rPr>
          <w:rtl/>
        </w:rPr>
        <w:t xml:space="preserve"> </w:t>
      </w:r>
      <w:r>
        <w:rPr>
          <w:rFonts w:hint="eastAsia"/>
          <w:rtl/>
        </w:rPr>
        <w:t>כל</w:t>
      </w:r>
      <w:r>
        <w:rPr>
          <w:rtl/>
        </w:rPr>
        <w:t xml:space="preserve"> </w:t>
      </w:r>
      <w:r>
        <w:rPr>
          <w:rFonts w:hint="eastAsia"/>
          <w:rtl/>
        </w:rPr>
        <w:t>האזרחים</w:t>
      </w:r>
      <w:r>
        <w:rPr>
          <w:rtl/>
        </w:rPr>
        <w:t xml:space="preserve"> </w:t>
      </w:r>
      <w:r>
        <w:rPr>
          <w:rFonts w:hint="eastAsia"/>
          <w:rtl/>
        </w:rPr>
        <w:t>מאחר</w:t>
      </w:r>
      <w:r>
        <w:rPr>
          <w:rtl/>
        </w:rPr>
        <w:t xml:space="preserve"> </w:t>
      </w:r>
      <w:r>
        <w:rPr>
          <w:rFonts w:hint="eastAsia"/>
          <w:rtl/>
        </w:rPr>
        <w:t>שהוא</w:t>
      </w:r>
      <w:r>
        <w:rPr>
          <w:rtl/>
        </w:rPr>
        <w:t xml:space="preserve"> </w:t>
      </w:r>
      <w:r>
        <w:rPr>
          <w:rFonts w:hint="eastAsia"/>
          <w:rtl/>
        </w:rPr>
        <w:t>נועד</w:t>
      </w:r>
      <w:r>
        <w:rPr>
          <w:rtl/>
        </w:rPr>
        <w:t xml:space="preserve"> </w:t>
      </w:r>
      <w:r>
        <w:rPr>
          <w:rFonts w:hint="eastAsia"/>
          <w:rtl/>
        </w:rPr>
        <w:t>לתכלית</w:t>
      </w:r>
      <w:r>
        <w:rPr>
          <w:rtl/>
        </w:rPr>
        <w:t xml:space="preserve"> </w:t>
      </w:r>
      <w:r>
        <w:rPr>
          <w:rFonts w:hint="eastAsia"/>
          <w:rtl/>
        </w:rPr>
        <w:t>מוגדרת</w:t>
      </w:r>
      <w:r>
        <w:rPr>
          <w:rtl/>
        </w:rPr>
        <w:t xml:space="preserve"> </w:t>
      </w:r>
      <w:r>
        <w:rPr>
          <w:rFonts w:hint="eastAsia"/>
          <w:rtl/>
        </w:rPr>
        <w:t>של</w:t>
      </w:r>
      <w:r>
        <w:rPr>
          <w:rtl/>
        </w:rPr>
        <w:t xml:space="preserve"> </w:t>
      </w:r>
      <w:r>
        <w:rPr>
          <w:rFonts w:hint="eastAsia"/>
          <w:rtl/>
        </w:rPr>
        <w:t>פתיחת</w:t>
      </w:r>
      <w:r>
        <w:rPr>
          <w:rFonts w:hint="cs"/>
          <w:rtl/>
        </w:rPr>
        <w:t xml:space="preserve"> </w:t>
      </w:r>
      <w:r>
        <w:rPr>
          <w:rFonts w:hint="eastAsia"/>
          <w:rtl/>
        </w:rPr>
        <w:t>שערי</w:t>
      </w:r>
      <w:r>
        <w:rPr>
          <w:rtl/>
        </w:rPr>
        <w:t xml:space="preserve"> </w:t>
      </w:r>
      <w:r>
        <w:rPr>
          <w:rFonts w:hint="eastAsia"/>
          <w:rtl/>
        </w:rPr>
        <w:t>הארץ</w:t>
      </w:r>
      <w:r>
        <w:rPr>
          <w:rtl/>
        </w:rPr>
        <w:t xml:space="preserve"> </w:t>
      </w:r>
      <w:r>
        <w:rPr>
          <w:rFonts w:hint="eastAsia"/>
          <w:rtl/>
        </w:rPr>
        <w:t>לעולה</w:t>
      </w:r>
      <w:r>
        <w:rPr>
          <w:rtl/>
        </w:rPr>
        <w:t xml:space="preserve"> </w:t>
      </w:r>
      <w:r>
        <w:rPr>
          <w:rFonts w:hint="eastAsia"/>
          <w:rtl/>
        </w:rPr>
        <w:t>היהודי</w:t>
      </w:r>
      <w:r>
        <w:rPr>
          <w:rtl/>
        </w:rPr>
        <w:t xml:space="preserve"> </w:t>
      </w:r>
      <w:r>
        <w:rPr>
          <w:rFonts w:hint="eastAsia"/>
          <w:rtl/>
        </w:rPr>
        <w:t>תוך</w:t>
      </w:r>
      <w:r>
        <w:rPr>
          <w:rtl/>
        </w:rPr>
        <w:t xml:space="preserve"> </w:t>
      </w:r>
      <w:r>
        <w:rPr>
          <w:rFonts w:hint="eastAsia"/>
          <w:rtl/>
        </w:rPr>
        <w:t>הכרה</w:t>
      </w:r>
      <w:r>
        <w:rPr>
          <w:rtl/>
        </w:rPr>
        <w:t xml:space="preserve"> </w:t>
      </w:r>
      <w:r>
        <w:rPr>
          <w:rFonts w:hint="eastAsia"/>
          <w:rtl/>
        </w:rPr>
        <w:t>בחשיבות</w:t>
      </w:r>
      <w:r>
        <w:rPr>
          <w:rtl/>
        </w:rPr>
        <w:t xml:space="preserve"> </w:t>
      </w:r>
      <w:r>
        <w:rPr>
          <w:rFonts w:hint="eastAsia"/>
          <w:rtl/>
        </w:rPr>
        <w:t>הקמתו</w:t>
      </w:r>
      <w:r>
        <w:rPr>
          <w:rtl/>
        </w:rPr>
        <w:t xml:space="preserve"> </w:t>
      </w:r>
      <w:r>
        <w:rPr>
          <w:rFonts w:hint="eastAsia"/>
          <w:rtl/>
        </w:rPr>
        <w:t>של</w:t>
      </w:r>
      <w:r>
        <w:rPr>
          <w:rtl/>
        </w:rPr>
        <w:t xml:space="preserve"> </w:t>
      </w:r>
      <w:r>
        <w:rPr>
          <w:rFonts w:hint="eastAsia"/>
          <w:rtl/>
        </w:rPr>
        <w:t>בית</w:t>
      </w:r>
      <w:r>
        <w:rPr>
          <w:rtl/>
        </w:rPr>
        <w:t xml:space="preserve"> </w:t>
      </w:r>
      <w:r>
        <w:rPr>
          <w:rFonts w:hint="eastAsia"/>
          <w:rtl/>
        </w:rPr>
        <w:t>לאומי</w:t>
      </w:r>
      <w:r>
        <w:rPr>
          <w:rtl/>
        </w:rPr>
        <w:t xml:space="preserve"> </w:t>
      </w:r>
      <w:r>
        <w:rPr>
          <w:rFonts w:hint="eastAsia"/>
          <w:rtl/>
        </w:rPr>
        <w:t>ליהודים</w:t>
      </w:r>
      <w:r>
        <w:rPr>
          <w:rtl/>
        </w:rPr>
        <w:t xml:space="preserve"> </w:t>
      </w:r>
      <w:r>
        <w:rPr>
          <w:rFonts w:hint="eastAsia"/>
          <w:rtl/>
        </w:rPr>
        <w:t>הפזורים</w:t>
      </w:r>
      <w:r>
        <w:rPr>
          <w:rtl/>
        </w:rPr>
        <w:t xml:space="preserve"> </w:t>
      </w:r>
      <w:r>
        <w:rPr>
          <w:rFonts w:hint="eastAsia"/>
          <w:rtl/>
        </w:rPr>
        <w:t>בעולם</w:t>
      </w:r>
      <w:r>
        <w:rPr>
          <w:rFonts w:hint="cs"/>
          <w:rtl/>
        </w:rPr>
        <w:t>" (שם, עמ'</w:t>
      </w:r>
      <w:r w:rsidRPr="001A431D">
        <w:rPr>
          <w:rtl/>
        </w:rPr>
        <w:t xml:space="preserve"> </w:t>
      </w:r>
      <w:r>
        <w:rPr>
          <w:rFonts w:hint="cs"/>
          <w:rtl/>
        </w:rPr>
        <w:t xml:space="preserve">449; ראו גם: </w:t>
      </w:r>
    </w:p>
    <w:p w:rsidR="00BA03D0" w:rsidRDefault="00BA03D0" w:rsidP="00BA03D0">
      <w:pPr>
        <w:pStyle w:val="Ruller5"/>
        <w:rPr>
          <w:rtl/>
        </w:rPr>
      </w:pPr>
      <w:r w:rsidRPr="00733FF7">
        <w:rPr>
          <w:rFonts w:hint="eastAsia"/>
          <w:rtl/>
        </w:rPr>
        <w:t>בג</w:t>
      </w:r>
      <w:r>
        <w:rPr>
          <w:rFonts w:hint="cs"/>
          <w:rtl/>
        </w:rPr>
        <w:t>"</w:t>
      </w:r>
      <w:r w:rsidRPr="00733FF7">
        <w:rPr>
          <w:rFonts w:hint="eastAsia"/>
          <w:rtl/>
        </w:rPr>
        <w:t>ץ</w:t>
      </w:r>
      <w:r w:rsidRPr="00733FF7">
        <w:rPr>
          <w:rtl/>
        </w:rPr>
        <w:t xml:space="preserve"> 1031/93‏ </w:t>
      </w:r>
      <w:r w:rsidRPr="00CF20CE">
        <w:rPr>
          <w:rFonts w:ascii="Century" w:hAnsi="Century" w:cs="Miriam" w:hint="eastAsia"/>
          <w:b/>
          <w:spacing w:val="0"/>
          <w:szCs w:val="24"/>
          <w:rtl/>
        </w:rPr>
        <w:t>פסרו</w:t>
      </w:r>
      <w:r w:rsidRPr="00CF20CE">
        <w:rPr>
          <w:rFonts w:ascii="Century" w:hAnsi="Century" w:cs="Miriam"/>
          <w:b/>
          <w:spacing w:val="0"/>
          <w:szCs w:val="24"/>
          <w:rtl/>
        </w:rPr>
        <w:t xml:space="preserve"> (</w:t>
      </w:r>
      <w:r w:rsidRPr="00CF20CE">
        <w:rPr>
          <w:rFonts w:ascii="Century" w:hAnsi="Century" w:cs="Miriam" w:hint="eastAsia"/>
          <w:b/>
          <w:spacing w:val="0"/>
          <w:szCs w:val="24"/>
          <w:rtl/>
        </w:rPr>
        <w:t>גולדשטיין</w:t>
      </w:r>
      <w:r w:rsidRPr="00CF20CE">
        <w:rPr>
          <w:rFonts w:ascii="Century" w:hAnsi="Century" w:cs="Miriam"/>
          <w:b/>
          <w:spacing w:val="0"/>
          <w:szCs w:val="24"/>
          <w:rtl/>
        </w:rPr>
        <w:t xml:space="preserve">) </w:t>
      </w:r>
      <w:r w:rsidRPr="00CF20CE">
        <w:rPr>
          <w:rFonts w:ascii="Century" w:hAnsi="Century" w:cs="Miriam" w:hint="eastAsia"/>
          <w:b/>
          <w:spacing w:val="0"/>
          <w:szCs w:val="24"/>
          <w:rtl/>
        </w:rPr>
        <w:t>נ</w:t>
      </w:r>
      <w:r w:rsidRPr="00CF20CE">
        <w:rPr>
          <w:rFonts w:ascii="Century" w:hAnsi="Century" w:cs="Miriam"/>
          <w:b/>
          <w:spacing w:val="0"/>
          <w:szCs w:val="24"/>
          <w:rtl/>
        </w:rPr>
        <w:t xml:space="preserve">' </w:t>
      </w:r>
      <w:r w:rsidRPr="00CF20CE">
        <w:rPr>
          <w:rFonts w:ascii="Century" w:hAnsi="Century" w:cs="Miriam" w:hint="eastAsia"/>
          <w:b/>
          <w:spacing w:val="0"/>
          <w:szCs w:val="24"/>
          <w:rtl/>
        </w:rPr>
        <w:t>שר</w:t>
      </w:r>
      <w:r w:rsidRPr="00CF20CE">
        <w:rPr>
          <w:rFonts w:ascii="Century" w:hAnsi="Century" w:cs="Miriam"/>
          <w:b/>
          <w:spacing w:val="0"/>
          <w:szCs w:val="24"/>
          <w:rtl/>
        </w:rPr>
        <w:t xml:space="preserve"> </w:t>
      </w:r>
      <w:r w:rsidRPr="00CF20CE">
        <w:rPr>
          <w:rFonts w:ascii="Century" w:hAnsi="Century" w:cs="Miriam" w:hint="eastAsia"/>
          <w:b/>
          <w:spacing w:val="0"/>
          <w:szCs w:val="24"/>
          <w:rtl/>
        </w:rPr>
        <w:t>הפנים</w:t>
      </w:r>
      <w:r w:rsidRPr="00733FF7">
        <w:rPr>
          <w:rtl/>
        </w:rPr>
        <w:t xml:space="preserve">‏, </w:t>
      </w:r>
      <w:r w:rsidRPr="00733FF7">
        <w:rPr>
          <w:rFonts w:hint="eastAsia"/>
          <w:rtl/>
        </w:rPr>
        <w:t>פ</w:t>
      </w:r>
      <w:r>
        <w:rPr>
          <w:rFonts w:hint="cs"/>
          <w:rtl/>
        </w:rPr>
        <w:t>"</w:t>
      </w:r>
      <w:r w:rsidRPr="00733FF7">
        <w:rPr>
          <w:rFonts w:hint="eastAsia"/>
          <w:rtl/>
        </w:rPr>
        <w:t>ד</w:t>
      </w:r>
      <w:r w:rsidRPr="00733FF7">
        <w:rPr>
          <w:rtl/>
        </w:rPr>
        <w:t xml:space="preserve"> </w:t>
      </w:r>
      <w:r w:rsidRPr="00733FF7">
        <w:rPr>
          <w:rFonts w:hint="eastAsia"/>
          <w:rtl/>
        </w:rPr>
        <w:t>מט</w:t>
      </w:r>
      <w:r w:rsidRPr="00733FF7">
        <w:rPr>
          <w:rtl/>
        </w:rPr>
        <w:t>(4) 661</w:t>
      </w:r>
      <w:r>
        <w:rPr>
          <w:rFonts w:hint="cs"/>
          <w:rtl/>
        </w:rPr>
        <w:t xml:space="preserve">, 743-742 (1995); מיכאל קורינאלדי </w:t>
      </w:r>
      <w:r>
        <w:rPr>
          <w:rFonts w:ascii="Century" w:hAnsi="Century" w:cs="Miriam" w:hint="cs"/>
          <w:b/>
          <w:spacing w:val="0"/>
          <w:szCs w:val="24"/>
          <w:rtl/>
        </w:rPr>
        <w:t xml:space="preserve">חידת הזהות היהודית: חוק השבות </w:t>
      </w:r>
      <w:r>
        <w:rPr>
          <w:rFonts w:ascii="Century" w:hAnsi="Century" w:cs="Miriam"/>
          <w:b/>
          <w:spacing w:val="0"/>
          <w:szCs w:val="24"/>
          <w:rtl/>
        </w:rPr>
        <w:t>–</w:t>
      </w:r>
      <w:r>
        <w:rPr>
          <w:rFonts w:ascii="Century" w:hAnsi="Century" w:cs="Miriam" w:hint="cs"/>
          <w:b/>
          <w:spacing w:val="0"/>
          <w:szCs w:val="24"/>
          <w:rtl/>
        </w:rPr>
        <w:t xml:space="preserve"> הלכה למעשה </w:t>
      </w:r>
      <w:r>
        <w:rPr>
          <w:rFonts w:ascii="Century" w:hAnsi="Century" w:hint="cs"/>
          <w:rtl/>
        </w:rPr>
        <w:t>13 (2001)</w:t>
      </w:r>
      <w:r>
        <w:rPr>
          <w:rFonts w:hint="cs"/>
          <w:rtl/>
        </w:rPr>
        <w:t xml:space="preserve">). </w:t>
      </w:r>
    </w:p>
    <w:p w:rsidR="00BA03D0" w:rsidRDefault="00BA03D0" w:rsidP="00BA03D0">
      <w:pPr>
        <w:pStyle w:val="Ruller41"/>
        <w:rPr>
          <w:rtl/>
        </w:rPr>
      </w:pPr>
    </w:p>
    <w:p w:rsidR="00BA03D0" w:rsidRDefault="00BA03D0" w:rsidP="00BA03D0">
      <w:pPr>
        <w:pStyle w:val="Ruller4"/>
        <w:textAlignment w:val="baseline"/>
        <w:rPr>
          <w:rtl/>
        </w:rPr>
      </w:pPr>
      <w:r>
        <w:rPr>
          <w:rFonts w:hint="cs"/>
          <w:rtl/>
        </w:rPr>
        <w:t>בשנותיו הראשונות של החוק, ההעדפה המכוונת הטמונה בו כללה בחובה יהודים בלבד ("</w:t>
      </w:r>
      <w:r w:rsidRPr="00513D02">
        <w:rPr>
          <w:rFonts w:hint="eastAsia"/>
          <w:rtl/>
        </w:rPr>
        <w:t>כל</w:t>
      </w:r>
      <w:r w:rsidRPr="00513D02">
        <w:rPr>
          <w:rtl/>
        </w:rPr>
        <w:t xml:space="preserve"> </w:t>
      </w:r>
      <w:r w:rsidRPr="00513D02">
        <w:rPr>
          <w:rFonts w:hint="eastAsia"/>
          <w:rtl/>
        </w:rPr>
        <w:t>יהודי</w:t>
      </w:r>
      <w:r w:rsidRPr="00513D02">
        <w:rPr>
          <w:rtl/>
        </w:rPr>
        <w:t xml:space="preserve"> </w:t>
      </w:r>
      <w:r w:rsidRPr="00513D02">
        <w:rPr>
          <w:rFonts w:hint="eastAsia"/>
          <w:rtl/>
        </w:rPr>
        <w:t>זכאי</w:t>
      </w:r>
      <w:r w:rsidRPr="00513D02">
        <w:rPr>
          <w:rtl/>
        </w:rPr>
        <w:t xml:space="preserve"> </w:t>
      </w:r>
      <w:r w:rsidRPr="00513D02">
        <w:rPr>
          <w:rFonts w:hint="eastAsia"/>
          <w:rtl/>
        </w:rPr>
        <w:t>לעלות</w:t>
      </w:r>
      <w:r w:rsidRPr="00513D02">
        <w:rPr>
          <w:rtl/>
        </w:rPr>
        <w:t xml:space="preserve"> </w:t>
      </w:r>
      <w:r w:rsidRPr="00513D02">
        <w:rPr>
          <w:rFonts w:hint="eastAsia"/>
          <w:rtl/>
        </w:rPr>
        <w:t>ארצה</w:t>
      </w:r>
      <w:r>
        <w:rPr>
          <w:rFonts w:hint="cs"/>
          <w:rtl/>
        </w:rPr>
        <w:t xml:space="preserve">" (סעיף 1 לחוק)). בשנת 1970, עם חקיקת התיקון לחוק, הורחבו גדריה באמצעות הענקת הזכויות המיוחדות שבחוק גם לבני משפחה מסוימים של יהודים </w:t>
      </w:r>
      <w:r>
        <w:rPr>
          <w:rtl/>
        </w:rPr>
        <w:t>–</w:t>
      </w:r>
      <w:r>
        <w:rPr>
          <w:rFonts w:hint="cs"/>
          <w:rtl/>
        </w:rPr>
        <w:t xml:space="preserve"> בן זוגו של היהודי; בנו ונכדו של היהודי; בן זוגו של בנו ושל נכדו של היהודי. הרחבה זו, הגם שנולדה כשני עשורים לאחר חקיקת חוק השבות, לא נועדה אלא לשרת את התכלית העיקרית העומדת ביסודו: קיבוץ גלויות העם היהודי, שיבת הבנים לגבולם וחיזוק העם היהודי היושב בציון. תכלית זו מוגשמת על ידי הרחבת מעגל הזכאים בשני אופנים. הראשון שבהם, הוא </w:t>
      </w:r>
      <w:r w:rsidRPr="00163DBC">
        <w:rPr>
          <w:rFonts w:ascii="Century" w:hAnsi="Century" w:hint="cs"/>
          <w:sz w:val="22"/>
          <w:rtl/>
        </w:rPr>
        <w:t>עידוד יהודים לעלות</w:t>
      </w:r>
      <w:r w:rsidRPr="006940C9">
        <w:rPr>
          <w:rFonts w:hint="cs"/>
          <w:rtl/>
        </w:rPr>
        <w:t xml:space="preserve"> </w:t>
      </w:r>
      <w:r>
        <w:rPr>
          <w:rFonts w:hint="cs"/>
          <w:rtl/>
        </w:rPr>
        <w:t xml:space="preserve">ארצה </w:t>
      </w:r>
      <w:r>
        <w:rPr>
          <w:rFonts w:hint="cs"/>
          <w:rtl/>
        </w:rPr>
        <w:lastRenderedPageBreak/>
        <w:t xml:space="preserve">על ידי מתן אפשרות להביא עמם את בני משפחתם גם אם אינם יהודים תוך שמירה על אחדות המשפחה. עמד על כך השופט </w:t>
      </w:r>
      <w:r w:rsidRPr="00163DBC">
        <w:rPr>
          <w:rFonts w:ascii="Century" w:hAnsi="Century" w:cs="Miriam" w:hint="cs"/>
          <w:b/>
          <w:spacing w:val="0"/>
          <w:sz w:val="22"/>
          <w:szCs w:val="24"/>
          <w:rtl/>
        </w:rPr>
        <w:t>מ' חשין</w:t>
      </w:r>
      <w:r w:rsidRPr="0045701F">
        <w:rPr>
          <w:rFonts w:hint="cs"/>
          <w:rtl/>
        </w:rPr>
        <w:t xml:space="preserve"> </w:t>
      </w:r>
      <w:r>
        <w:rPr>
          <w:rFonts w:hint="cs"/>
          <w:rtl/>
        </w:rPr>
        <w:t xml:space="preserve">בעניין </w:t>
      </w:r>
      <w:r w:rsidRPr="00163DBC">
        <w:rPr>
          <w:rFonts w:ascii="Century" w:hAnsi="Century" w:cs="Miriam" w:hint="cs"/>
          <w:b/>
          <w:spacing w:val="0"/>
          <w:sz w:val="22"/>
          <w:szCs w:val="24"/>
          <w:rtl/>
        </w:rPr>
        <w:t>סטמקה</w:t>
      </w:r>
      <w:r>
        <w:rPr>
          <w:rFonts w:hint="cs"/>
          <w:rtl/>
        </w:rPr>
        <w:t>:</w:t>
      </w:r>
    </w:p>
    <w:p w:rsidR="00BA03D0" w:rsidRDefault="00BA03D0" w:rsidP="00BA03D0">
      <w:pPr>
        <w:pStyle w:val="Ruller41"/>
        <w:rPr>
          <w:rtl/>
        </w:rPr>
      </w:pPr>
    </w:p>
    <w:p w:rsidR="00BA03D0" w:rsidRDefault="00BA03D0" w:rsidP="00BA03D0">
      <w:pPr>
        <w:pStyle w:val="Ruller5"/>
        <w:rPr>
          <w:rtl/>
        </w:rPr>
      </w:pPr>
      <w:r>
        <w:rPr>
          <w:rFonts w:hint="cs"/>
          <w:rtl/>
        </w:rPr>
        <w:t>"</w:t>
      </w:r>
      <w:r w:rsidRPr="007B17C9">
        <w:rPr>
          <w:rFonts w:hint="eastAsia"/>
          <w:rtl/>
        </w:rPr>
        <w:t>הרחבת</w:t>
      </w:r>
      <w:r w:rsidRPr="007B17C9">
        <w:rPr>
          <w:rtl/>
        </w:rPr>
        <w:t xml:space="preserve"> </w:t>
      </w:r>
      <w:r w:rsidRPr="007B17C9">
        <w:rPr>
          <w:rFonts w:hint="eastAsia"/>
          <w:rtl/>
        </w:rPr>
        <w:t>זכות</w:t>
      </w:r>
      <w:r w:rsidRPr="007B17C9">
        <w:rPr>
          <w:rtl/>
        </w:rPr>
        <w:t xml:space="preserve"> </w:t>
      </w:r>
      <w:r w:rsidRPr="007B17C9">
        <w:rPr>
          <w:rFonts w:hint="eastAsia"/>
          <w:rtl/>
        </w:rPr>
        <w:t>השבות</w:t>
      </w:r>
      <w:r w:rsidRPr="007B17C9">
        <w:rPr>
          <w:rtl/>
        </w:rPr>
        <w:t xml:space="preserve"> </w:t>
      </w:r>
      <w:r w:rsidRPr="007B17C9">
        <w:rPr>
          <w:rFonts w:hint="eastAsia"/>
          <w:rtl/>
        </w:rPr>
        <w:t>לבני</w:t>
      </w:r>
      <w:r w:rsidRPr="007B17C9">
        <w:rPr>
          <w:rtl/>
        </w:rPr>
        <w:t xml:space="preserve"> </w:t>
      </w:r>
      <w:r w:rsidRPr="007B17C9">
        <w:rPr>
          <w:rFonts w:hint="eastAsia"/>
          <w:rtl/>
        </w:rPr>
        <w:t>משפחה</w:t>
      </w:r>
      <w:r w:rsidRPr="007B17C9">
        <w:rPr>
          <w:rtl/>
        </w:rPr>
        <w:t xml:space="preserve"> </w:t>
      </w:r>
      <w:r w:rsidRPr="007B17C9">
        <w:rPr>
          <w:rFonts w:hint="eastAsia"/>
          <w:rtl/>
        </w:rPr>
        <w:t>כוונה</w:t>
      </w:r>
      <w:r w:rsidRPr="007B17C9">
        <w:rPr>
          <w:rtl/>
        </w:rPr>
        <w:t xml:space="preserve"> </w:t>
      </w:r>
      <w:r w:rsidRPr="007B17C9">
        <w:rPr>
          <w:rFonts w:hint="eastAsia"/>
          <w:rtl/>
        </w:rPr>
        <w:t>לשמור</w:t>
      </w:r>
      <w:r w:rsidRPr="007B17C9">
        <w:rPr>
          <w:rtl/>
        </w:rPr>
        <w:t xml:space="preserve"> </w:t>
      </w:r>
      <w:r w:rsidRPr="007B17C9">
        <w:rPr>
          <w:rFonts w:hint="eastAsia"/>
          <w:rtl/>
        </w:rPr>
        <w:t>על</w:t>
      </w:r>
      <w:r w:rsidRPr="007B17C9">
        <w:rPr>
          <w:rtl/>
        </w:rPr>
        <w:t xml:space="preserve"> </w:t>
      </w:r>
      <w:r w:rsidRPr="007B17C9">
        <w:rPr>
          <w:rFonts w:hint="eastAsia"/>
          <w:rtl/>
        </w:rPr>
        <w:t>אחדות</w:t>
      </w:r>
      <w:r w:rsidRPr="007B17C9">
        <w:rPr>
          <w:rtl/>
        </w:rPr>
        <w:t xml:space="preserve"> </w:t>
      </w:r>
      <w:r w:rsidRPr="007B17C9">
        <w:rPr>
          <w:rFonts w:hint="eastAsia"/>
          <w:rtl/>
        </w:rPr>
        <w:t>המשפחה</w:t>
      </w:r>
      <w:r w:rsidRPr="007B17C9">
        <w:rPr>
          <w:rtl/>
        </w:rPr>
        <w:t xml:space="preserve"> </w:t>
      </w:r>
      <w:r w:rsidRPr="007B17C9">
        <w:rPr>
          <w:rFonts w:hint="eastAsia"/>
          <w:rtl/>
        </w:rPr>
        <w:t>אשר</w:t>
      </w:r>
      <w:r w:rsidRPr="007B17C9">
        <w:rPr>
          <w:rtl/>
        </w:rPr>
        <w:t xml:space="preserve"> </w:t>
      </w:r>
      <w:r w:rsidRPr="007B17C9">
        <w:rPr>
          <w:rFonts w:hint="eastAsia"/>
          <w:rtl/>
        </w:rPr>
        <w:t>אחד</w:t>
      </w:r>
      <w:r w:rsidRPr="007B17C9">
        <w:rPr>
          <w:rtl/>
        </w:rPr>
        <w:t xml:space="preserve"> </w:t>
      </w:r>
      <w:r w:rsidRPr="007B17C9">
        <w:rPr>
          <w:rFonts w:hint="eastAsia"/>
          <w:rtl/>
        </w:rPr>
        <w:t>מבניה</w:t>
      </w:r>
      <w:r w:rsidRPr="007B17C9">
        <w:rPr>
          <w:rtl/>
        </w:rPr>
        <w:t xml:space="preserve"> </w:t>
      </w:r>
      <w:r w:rsidRPr="007B17C9">
        <w:rPr>
          <w:rFonts w:hint="eastAsia"/>
          <w:rtl/>
        </w:rPr>
        <w:t>הוא</w:t>
      </w:r>
      <w:r w:rsidRPr="007B17C9">
        <w:rPr>
          <w:rtl/>
        </w:rPr>
        <w:t xml:space="preserve"> </w:t>
      </w:r>
      <w:r w:rsidRPr="007B17C9">
        <w:rPr>
          <w:rFonts w:hint="eastAsia"/>
          <w:rtl/>
        </w:rPr>
        <w:t>יהודי</w:t>
      </w:r>
      <w:r w:rsidRPr="007B17C9">
        <w:rPr>
          <w:rtl/>
        </w:rPr>
        <w:t xml:space="preserve">. </w:t>
      </w:r>
      <w:r w:rsidRPr="007B17C9">
        <w:rPr>
          <w:rFonts w:hint="eastAsia"/>
          <w:rtl/>
        </w:rPr>
        <w:t>נישואי</w:t>
      </w:r>
      <w:r w:rsidRPr="007B17C9">
        <w:rPr>
          <w:rtl/>
        </w:rPr>
        <w:t>-</w:t>
      </w:r>
      <w:r w:rsidRPr="007B17C9">
        <w:rPr>
          <w:rFonts w:hint="eastAsia"/>
          <w:rtl/>
        </w:rPr>
        <w:t>תערובת</w:t>
      </w:r>
      <w:r w:rsidRPr="007B17C9">
        <w:rPr>
          <w:rtl/>
        </w:rPr>
        <w:t xml:space="preserve"> </w:t>
      </w:r>
      <w:r w:rsidRPr="007B17C9">
        <w:rPr>
          <w:rFonts w:hint="eastAsia"/>
          <w:rtl/>
        </w:rPr>
        <w:t>הינם</w:t>
      </w:r>
      <w:r w:rsidRPr="007B17C9">
        <w:rPr>
          <w:rtl/>
        </w:rPr>
        <w:t xml:space="preserve"> </w:t>
      </w:r>
      <w:r w:rsidRPr="007B17C9">
        <w:rPr>
          <w:rFonts w:hint="eastAsia"/>
          <w:rtl/>
        </w:rPr>
        <w:t>תופעה</w:t>
      </w:r>
      <w:r w:rsidRPr="007B17C9">
        <w:rPr>
          <w:rtl/>
        </w:rPr>
        <w:t xml:space="preserve"> </w:t>
      </w:r>
      <w:r w:rsidRPr="007B17C9">
        <w:rPr>
          <w:rFonts w:hint="eastAsia"/>
          <w:rtl/>
        </w:rPr>
        <w:t>רווחת</w:t>
      </w:r>
      <w:r w:rsidRPr="007B17C9">
        <w:rPr>
          <w:rtl/>
        </w:rPr>
        <w:t xml:space="preserve"> </w:t>
      </w:r>
      <w:r w:rsidRPr="007B17C9">
        <w:rPr>
          <w:rFonts w:hint="eastAsia"/>
          <w:rtl/>
        </w:rPr>
        <w:t>בקרב</w:t>
      </w:r>
      <w:r w:rsidRPr="007B17C9">
        <w:rPr>
          <w:rtl/>
        </w:rPr>
        <w:t xml:space="preserve"> </w:t>
      </w:r>
      <w:r w:rsidRPr="007B17C9">
        <w:rPr>
          <w:rFonts w:hint="eastAsia"/>
          <w:rtl/>
        </w:rPr>
        <w:t>יהודי</w:t>
      </w:r>
      <w:r w:rsidRPr="007B17C9">
        <w:rPr>
          <w:rtl/>
        </w:rPr>
        <w:t xml:space="preserve"> </w:t>
      </w:r>
      <w:r w:rsidRPr="007B17C9">
        <w:rPr>
          <w:rFonts w:hint="eastAsia"/>
          <w:rtl/>
        </w:rPr>
        <w:t>התפוצות</w:t>
      </w:r>
      <w:r w:rsidRPr="007B17C9">
        <w:rPr>
          <w:rtl/>
        </w:rPr>
        <w:t xml:space="preserve">, </w:t>
      </w:r>
      <w:r w:rsidRPr="007B17C9">
        <w:rPr>
          <w:rFonts w:hint="eastAsia"/>
          <w:rtl/>
        </w:rPr>
        <w:t>והחשש</w:t>
      </w:r>
      <w:r w:rsidRPr="007B17C9">
        <w:rPr>
          <w:rtl/>
        </w:rPr>
        <w:t xml:space="preserve"> </w:t>
      </w:r>
      <w:r w:rsidRPr="007B17C9">
        <w:rPr>
          <w:rFonts w:hint="eastAsia"/>
          <w:rtl/>
        </w:rPr>
        <w:t>היה</w:t>
      </w:r>
      <w:r w:rsidRPr="007B17C9">
        <w:rPr>
          <w:rtl/>
        </w:rPr>
        <w:t xml:space="preserve"> </w:t>
      </w:r>
      <w:r w:rsidRPr="007B17C9">
        <w:rPr>
          <w:rFonts w:hint="eastAsia"/>
          <w:rtl/>
        </w:rPr>
        <w:t>כי</w:t>
      </w:r>
      <w:r w:rsidRPr="007B17C9">
        <w:rPr>
          <w:rtl/>
        </w:rPr>
        <w:t xml:space="preserve"> </w:t>
      </w:r>
      <w:r w:rsidRPr="007B17C9">
        <w:rPr>
          <w:rFonts w:hint="eastAsia"/>
          <w:rtl/>
        </w:rPr>
        <w:t>שלילת</w:t>
      </w:r>
      <w:r w:rsidRPr="007B17C9">
        <w:rPr>
          <w:rtl/>
        </w:rPr>
        <w:t xml:space="preserve"> </w:t>
      </w:r>
      <w:r w:rsidRPr="007B17C9">
        <w:rPr>
          <w:rFonts w:hint="eastAsia"/>
          <w:rtl/>
        </w:rPr>
        <w:t>זכויות</w:t>
      </w:r>
      <w:r w:rsidRPr="007B17C9">
        <w:rPr>
          <w:rtl/>
        </w:rPr>
        <w:t xml:space="preserve"> </w:t>
      </w:r>
      <w:r w:rsidRPr="007B17C9">
        <w:rPr>
          <w:rFonts w:hint="eastAsia"/>
          <w:rtl/>
        </w:rPr>
        <w:t>מבן</w:t>
      </w:r>
      <w:r w:rsidRPr="007B17C9">
        <w:rPr>
          <w:rtl/>
        </w:rPr>
        <w:t>-</w:t>
      </w:r>
      <w:r w:rsidRPr="007B17C9">
        <w:rPr>
          <w:rFonts w:hint="eastAsia"/>
          <w:rtl/>
        </w:rPr>
        <w:t>משפחה</w:t>
      </w:r>
      <w:r w:rsidRPr="007B17C9">
        <w:rPr>
          <w:rtl/>
        </w:rPr>
        <w:t xml:space="preserve"> </w:t>
      </w:r>
      <w:r w:rsidRPr="007B17C9">
        <w:rPr>
          <w:rFonts w:hint="eastAsia"/>
          <w:rtl/>
        </w:rPr>
        <w:t>שאינו</w:t>
      </w:r>
      <w:r w:rsidRPr="007B17C9">
        <w:rPr>
          <w:rtl/>
        </w:rPr>
        <w:t xml:space="preserve"> </w:t>
      </w:r>
      <w:r w:rsidRPr="007B17C9">
        <w:rPr>
          <w:rFonts w:hint="eastAsia"/>
          <w:rtl/>
        </w:rPr>
        <w:t>יהודי</w:t>
      </w:r>
      <w:r w:rsidRPr="007B17C9">
        <w:rPr>
          <w:rtl/>
        </w:rPr>
        <w:t xml:space="preserve"> </w:t>
      </w:r>
      <w:r w:rsidRPr="007B17C9">
        <w:rPr>
          <w:rFonts w:hint="eastAsia"/>
          <w:rtl/>
        </w:rPr>
        <w:t>עלולה</w:t>
      </w:r>
      <w:r w:rsidRPr="007B17C9">
        <w:rPr>
          <w:rtl/>
        </w:rPr>
        <w:t xml:space="preserve"> </w:t>
      </w:r>
      <w:r w:rsidRPr="007B17C9">
        <w:rPr>
          <w:rFonts w:hint="eastAsia"/>
          <w:rtl/>
        </w:rPr>
        <w:t>להניא</w:t>
      </w:r>
      <w:r w:rsidRPr="007B17C9">
        <w:rPr>
          <w:rtl/>
        </w:rPr>
        <w:t xml:space="preserve"> </w:t>
      </w:r>
      <w:r w:rsidRPr="007B17C9">
        <w:rPr>
          <w:rFonts w:hint="eastAsia"/>
          <w:rtl/>
        </w:rPr>
        <w:t>יהודים</w:t>
      </w:r>
      <w:r w:rsidRPr="007B17C9">
        <w:rPr>
          <w:rtl/>
        </w:rPr>
        <w:t xml:space="preserve"> </w:t>
      </w:r>
      <w:r w:rsidRPr="007B17C9">
        <w:rPr>
          <w:rFonts w:hint="eastAsia"/>
          <w:rtl/>
        </w:rPr>
        <w:t>מֵעֲלות</w:t>
      </w:r>
      <w:r w:rsidRPr="007B17C9">
        <w:rPr>
          <w:rtl/>
        </w:rPr>
        <w:t xml:space="preserve"> </w:t>
      </w:r>
      <w:r w:rsidRPr="007B17C9">
        <w:rPr>
          <w:rFonts w:hint="eastAsia"/>
          <w:rtl/>
        </w:rPr>
        <w:t>ארצה</w:t>
      </w:r>
      <w:r w:rsidRPr="007B17C9">
        <w:rPr>
          <w:rtl/>
        </w:rPr>
        <w:t xml:space="preserve">: </w:t>
      </w:r>
      <w:r w:rsidRPr="007B17C9">
        <w:rPr>
          <w:rFonts w:hint="eastAsia"/>
          <w:rtl/>
        </w:rPr>
        <w:t>שיהודים</w:t>
      </w:r>
      <w:r w:rsidRPr="007B17C9">
        <w:rPr>
          <w:rtl/>
        </w:rPr>
        <w:t xml:space="preserve"> </w:t>
      </w:r>
      <w:r w:rsidRPr="007B17C9">
        <w:rPr>
          <w:rFonts w:hint="eastAsia"/>
          <w:rtl/>
        </w:rPr>
        <w:t>לא</w:t>
      </w:r>
      <w:r w:rsidRPr="007B17C9">
        <w:rPr>
          <w:rtl/>
        </w:rPr>
        <w:t xml:space="preserve"> </w:t>
      </w:r>
      <w:r w:rsidRPr="007B17C9">
        <w:rPr>
          <w:rFonts w:hint="eastAsia"/>
          <w:rtl/>
        </w:rPr>
        <w:t>יסכימו</w:t>
      </w:r>
      <w:r w:rsidRPr="007B17C9">
        <w:rPr>
          <w:rtl/>
        </w:rPr>
        <w:t xml:space="preserve"> </w:t>
      </w:r>
      <w:r w:rsidRPr="007B17C9">
        <w:rPr>
          <w:rFonts w:hint="eastAsia"/>
          <w:rtl/>
        </w:rPr>
        <w:t>לעלות</w:t>
      </w:r>
      <w:r w:rsidRPr="007B17C9">
        <w:rPr>
          <w:rtl/>
        </w:rPr>
        <w:t xml:space="preserve"> </w:t>
      </w:r>
      <w:r w:rsidRPr="007B17C9">
        <w:rPr>
          <w:rFonts w:hint="eastAsia"/>
          <w:rtl/>
        </w:rPr>
        <w:t>ומשפחתם</w:t>
      </w:r>
      <w:r w:rsidRPr="007B17C9">
        <w:rPr>
          <w:rtl/>
        </w:rPr>
        <w:t xml:space="preserve"> </w:t>
      </w:r>
      <w:r w:rsidRPr="007B17C9">
        <w:rPr>
          <w:rFonts w:hint="eastAsia"/>
          <w:rtl/>
        </w:rPr>
        <w:t>אינה</w:t>
      </w:r>
      <w:r w:rsidRPr="007B17C9">
        <w:rPr>
          <w:rtl/>
        </w:rPr>
        <w:t xml:space="preserve"> </w:t>
      </w:r>
      <w:r w:rsidRPr="007B17C9">
        <w:rPr>
          <w:rFonts w:hint="eastAsia"/>
          <w:rtl/>
        </w:rPr>
        <w:t>עמם</w:t>
      </w:r>
      <w:r w:rsidRPr="007B17C9">
        <w:rPr>
          <w:rtl/>
        </w:rPr>
        <w:t xml:space="preserve">. </w:t>
      </w:r>
      <w:r w:rsidRPr="007B17C9">
        <w:rPr>
          <w:rFonts w:hint="eastAsia"/>
          <w:rtl/>
        </w:rPr>
        <w:t>אכן</w:t>
      </w:r>
      <w:r w:rsidRPr="007B17C9">
        <w:rPr>
          <w:rtl/>
        </w:rPr>
        <w:t xml:space="preserve">, </w:t>
      </w:r>
      <w:r w:rsidRPr="007B17C9">
        <w:rPr>
          <w:rFonts w:hint="eastAsia"/>
          <w:rtl/>
        </w:rPr>
        <w:t>הוראת</w:t>
      </w:r>
      <w:r w:rsidRPr="007B17C9">
        <w:rPr>
          <w:rtl/>
        </w:rPr>
        <w:t xml:space="preserve"> </w:t>
      </w:r>
      <w:r w:rsidRPr="007B17C9">
        <w:rPr>
          <w:rFonts w:hint="eastAsia"/>
          <w:rtl/>
        </w:rPr>
        <w:t>סעיף</w:t>
      </w:r>
      <w:r w:rsidRPr="007B17C9">
        <w:rPr>
          <w:rtl/>
        </w:rPr>
        <w:t xml:space="preserve"> 4</w:t>
      </w:r>
      <w:r w:rsidRPr="007B17C9">
        <w:rPr>
          <w:rFonts w:hint="eastAsia"/>
          <w:rtl/>
        </w:rPr>
        <w:t>א</w:t>
      </w:r>
      <w:r w:rsidRPr="007B17C9">
        <w:rPr>
          <w:rtl/>
        </w:rPr>
        <w:t xml:space="preserve"> </w:t>
      </w:r>
      <w:r w:rsidRPr="007B17C9">
        <w:rPr>
          <w:rFonts w:hint="eastAsia"/>
          <w:rtl/>
        </w:rPr>
        <w:t>נועדה</w:t>
      </w:r>
      <w:r w:rsidRPr="007B17C9">
        <w:rPr>
          <w:rtl/>
        </w:rPr>
        <w:t xml:space="preserve"> </w:t>
      </w:r>
      <w:r w:rsidRPr="007B17C9">
        <w:rPr>
          <w:rFonts w:hint="eastAsia"/>
          <w:rtl/>
        </w:rPr>
        <w:t>בעליל</w:t>
      </w:r>
      <w:r w:rsidRPr="007B17C9">
        <w:rPr>
          <w:rtl/>
        </w:rPr>
        <w:t xml:space="preserve"> </w:t>
      </w:r>
      <w:r w:rsidRPr="007B17C9">
        <w:rPr>
          <w:rFonts w:hint="eastAsia"/>
          <w:rtl/>
        </w:rPr>
        <w:t>למשפחה</w:t>
      </w:r>
      <w:r w:rsidRPr="007B17C9">
        <w:rPr>
          <w:rtl/>
        </w:rPr>
        <w:t xml:space="preserve"> </w:t>
      </w:r>
      <w:r w:rsidRPr="007B17C9">
        <w:rPr>
          <w:rFonts w:hint="eastAsia"/>
          <w:rtl/>
        </w:rPr>
        <w:t>של</w:t>
      </w:r>
      <w:r w:rsidRPr="007B17C9">
        <w:rPr>
          <w:rtl/>
        </w:rPr>
        <w:t xml:space="preserve"> </w:t>
      </w:r>
      <w:r w:rsidRPr="007B17C9">
        <w:rPr>
          <w:rFonts w:hint="eastAsia"/>
          <w:rtl/>
        </w:rPr>
        <w:t>נישואי</w:t>
      </w:r>
      <w:r w:rsidRPr="007B17C9">
        <w:rPr>
          <w:rtl/>
        </w:rPr>
        <w:t>-</w:t>
      </w:r>
      <w:r w:rsidRPr="007B17C9">
        <w:rPr>
          <w:rFonts w:hint="eastAsia"/>
          <w:rtl/>
        </w:rPr>
        <w:t>תערובת</w:t>
      </w:r>
      <w:r w:rsidRPr="007B17C9">
        <w:rPr>
          <w:rtl/>
        </w:rPr>
        <w:t xml:space="preserve">, </w:t>
      </w:r>
      <w:r w:rsidRPr="007B17C9">
        <w:rPr>
          <w:rFonts w:hint="eastAsia"/>
          <w:rtl/>
        </w:rPr>
        <w:t>במגמה</w:t>
      </w:r>
      <w:r w:rsidRPr="007B17C9">
        <w:rPr>
          <w:rtl/>
        </w:rPr>
        <w:t xml:space="preserve"> </w:t>
      </w:r>
      <w:r w:rsidRPr="007B17C9">
        <w:rPr>
          <w:rFonts w:hint="eastAsia"/>
          <w:rtl/>
        </w:rPr>
        <w:t>שלא</w:t>
      </w:r>
      <w:r w:rsidRPr="007B17C9">
        <w:rPr>
          <w:rtl/>
        </w:rPr>
        <w:t xml:space="preserve"> </w:t>
      </w:r>
      <w:r w:rsidRPr="007B17C9">
        <w:rPr>
          <w:rFonts w:hint="eastAsia"/>
          <w:rtl/>
        </w:rPr>
        <w:t>להביא</w:t>
      </w:r>
      <w:r w:rsidRPr="007B17C9">
        <w:rPr>
          <w:rtl/>
        </w:rPr>
        <w:t xml:space="preserve"> </w:t>
      </w:r>
      <w:r w:rsidRPr="007B17C9">
        <w:rPr>
          <w:rFonts w:hint="eastAsia"/>
          <w:rtl/>
        </w:rPr>
        <w:t>לפיצולה</w:t>
      </w:r>
      <w:r w:rsidRPr="007B17C9">
        <w:rPr>
          <w:rtl/>
        </w:rPr>
        <w:t xml:space="preserve"> </w:t>
      </w:r>
      <w:r w:rsidRPr="007B17C9">
        <w:rPr>
          <w:rFonts w:hint="eastAsia"/>
          <w:rtl/>
        </w:rPr>
        <w:t>ובמטרה</w:t>
      </w:r>
      <w:r w:rsidRPr="007B17C9">
        <w:rPr>
          <w:rtl/>
        </w:rPr>
        <w:t xml:space="preserve"> </w:t>
      </w:r>
      <w:r w:rsidRPr="007B17C9">
        <w:rPr>
          <w:rFonts w:hint="eastAsia"/>
          <w:rtl/>
        </w:rPr>
        <w:t>לעודד</w:t>
      </w:r>
      <w:r w:rsidRPr="007B17C9">
        <w:rPr>
          <w:rtl/>
        </w:rPr>
        <w:t xml:space="preserve"> </w:t>
      </w:r>
      <w:r w:rsidRPr="007B17C9">
        <w:rPr>
          <w:rFonts w:hint="eastAsia"/>
          <w:rtl/>
        </w:rPr>
        <w:t>את</w:t>
      </w:r>
      <w:r w:rsidRPr="007B17C9">
        <w:rPr>
          <w:rtl/>
        </w:rPr>
        <w:t xml:space="preserve"> </w:t>
      </w:r>
      <w:r w:rsidRPr="007B17C9">
        <w:rPr>
          <w:rFonts w:hint="eastAsia"/>
          <w:rtl/>
        </w:rPr>
        <w:t>עלייתה</w:t>
      </w:r>
      <w:r w:rsidRPr="007B17C9">
        <w:rPr>
          <w:rtl/>
        </w:rPr>
        <w:t xml:space="preserve"> </w:t>
      </w:r>
      <w:r w:rsidRPr="007B17C9">
        <w:rPr>
          <w:rFonts w:hint="eastAsia"/>
          <w:rtl/>
        </w:rPr>
        <w:t>ארצה</w:t>
      </w:r>
      <w:r w:rsidRPr="007B17C9">
        <w:rPr>
          <w:rtl/>
        </w:rPr>
        <w:t xml:space="preserve">. </w:t>
      </w:r>
      <w:r w:rsidRPr="007B17C9">
        <w:rPr>
          <w:rFonts w:hint="eastAsia"/>
          <w:rtl/>
        </w:rPr>
        <w:t>מגמה</w:t>
      </w:r>
      <w:r w:rsidRPr="007B17C9">
        <w:rPr>
          <w:rtl/>
        </w:rPr>
        <w:t xml:space="preserve"> </w:t>
      </w:r>
      <w:r w:rsidRPr="007B17C9">
        <w:rPr>
          <w:rFonts w:hint="eastAsia"/>
          <w:rtl/>
        </w:rPr>
        <w:t>זו</w:t>
      </w:r>
      <w:r w:rsidRPr="007B17C9">
        <w:rPr>
          <w:rtl/>
        </w:rPr>
        <w:t xml:space="preserve"> </w:t>
      </w:r>
      <w:r w:rsidRPr="007B17C9">
        <w:rPr>
          <w:rFonts w:hint="eastAsia"/>
          <w:rtl/>
        </w:rPr>
        <w:t>האחרונה</w:t>
      </w:r>
      <w:r w:rsidRPr="007B17C9">
        <w:rPr>
          <w:rtl/>
        </w:rPr>
        <w:t xml:space="preserve"> </w:t>
      </w:r>
      <w:r w:rsidRPr="007B17C9">
        <w:rPr>
          <w:rFonts w:hint="eastAsia"/>
          <w:rtl/>
        </w:rPr>
        <w:t>ביקש</w:t>
      </w:r>
      <w:r w:rsidRPr="007B17C9">
        <w:rPr>
          <w:rtl/>
        </w:rPr>
        <w:t xml:space="preserve"> </w:t>
      </w:r>
      <w:r w:rsidRPr="007B17C9">
        <w:rPr>
          <w:rFonts w:hint="eastAsia"/>
          <w:rtl/>
        </w:rPr>
        <w:t>המחוקק</w:t>
      </w:r>
      <w:r w:rsidRPr="007B17C9">
        <w:rPr>
          <w:rtl/>
        </w:rPr>
        <w:t xml:space="preserve"> </w:t>
      </w:r>
      <w:r w:rsidRPr="007B17C9">
        <w:rPr>
          <w:rFonts w:hint="eastAsia"/>
          <w:rtl/>
        </w:rPr>
        <w:t>להגשים</w:t>
      </w:r>
      <w:r w:rsidRPr="007B17C9">
        <w:rPr>
          <w:rtl/>
        </w:rPr>
        <w:t xml:space="preserve"> </w:t>
      </w:r>
      <w:r w:rsidRPr="007B17C9">
        <w:rPr>
          <w:rFonts w:hint="eastAsia"/>
          <w:rtl/>
        </w:rPr>
        <w:t>על</w:t>
      </w:r>
      <w:r w:rsidRPr="007B17C9">
        <w:rPr>
          <w:rtl/>
        </w:rPr>
        <w:t xml:space="preserve"> </w:t>
      </w:r>
      <w:r w:rsidRPr="007B17C9">
        <w:rPr>
          <w:rFonts w:hint="eastAsia"/>
          <w:rtl/>
        </w:rPr>
        <w:t>דרך</w:t>
      </w:r>
      <w:r w:rsidRPr="007B17C9">
        <w:rPr>
          <w:rtl/>
        </w:rPr>
        <w:t xml:space="preserve"> </w:t>
      </w:r>
      <w:r w:rsidRPr="007B17C9">
        <w:rPr>
          <w:rFonts w:hint="eastAsia"/>
          <w:rtl/>
        </w:rPr>
        <w:t>הקניית</w:t>
      </w:r>
      <w:r w:rsidRPr="007B17C9">
        <w:rPr>
          <w:rtl/>
        </w:rPr>
        <w:t xml:space="preserve"> </w:t>
      </w:r>
      <w:r w:rsidRPr="007B17C9">
        <w:rPr>
          <w:rFonts w:hint="eastAsia"/>
          <w:rtl/>
        </w:rPr>
        <w:t>זכויות</w:t>
      </w:r>
      <w:r w:rsidRPr="007B17C9">
        <w:rPr>
          <w:rtl/>
        </w:rPr>
        <w:t xml:space="preserve"> </w:t>
      </w:r>
      <w:r w:rsidRPr="007B17C9">
        <w:rPr>
          <w:rFonts w:hint="eastAsia"/>
          <w:rtl/>
        </w:rPr>
        <w:t>שבות</w:t>
      </w:r>
      <w:r w:rsidRPr="007B17C9">
        <w:rPr>
          <w:rtl/>
        </w:rPr>
        <w:t xml:space="preserve"> </w:t>
      </w:r>
      <w:r w:rsidRPr="007B17C9">
        <w:rPr>
          <w:rFonts w:hint="eastAsia"/>
          <w:rtl/>
        </w:rPr>
        <w:t>לבן</w:t>
      </w:r>
      <w:r w:rsidRPr="007B17C9">
        <w:rPr>
          <w:rtl/>
        </w:rPr>
        <w:t xml:space="preserve"> </w:t>
      </w:r>
      <w:r w:rsidRPr="007B17C9">
        <w:rPr>
          <w:rFonts w:hint="eastAsia"/>
          <w:rtl/>
        </w:rPr>
        <w:t>משפחתו</w:t>
      </w:r>
      <w:r w:rsidRPr="007B17C9">
        <w:rPr>
          <w:rtl/>
        </w:rPr>
        <w:t xml:space="preserve"> </w:t>
      </w:r>
      <w:r w:rsidRPr="007B17C9">
        <w:rPr>
          <w:rFonts w:hint="eastAsia"/>
          <w:rtl/>
        </w:rPr>
        <w:t>של</w:t>
      </w:r>
      <w:r w:rsidRPr="007B17C9">
        <w:rPr>
          <w:rtl/>
        </w:rPr>
        <w:t xml:space="preserve"> </w:t>
      </w:r>
      <w:r w:rsidRPr="007B17C9">
        <w:rPr>
          <w:rFonts w:hint="eastAsia"/>
          <w:rtl/>
        </w:rPr>
        <w:t>יהודי</w:t>
      </w:r>
      <w:r w:rsidRPr="007B17C9">
        <w:rPr>
          <w:rtl/>
        </w:rPr>
        <w:t xml:space="preserve">, </w:t>
      </w:r>
      <w:r w:rsidRPr="007B17C9">
        <w:rPr>
          <w:rFonts w:hint="eastAsia"/>
          <w:rtl/>
        </w:rPr>
        <w:t>גם</w:t>
      </w:r>
      <w:r w:rsidRPr="007B17C9">
        <w:rPr>
          <w:rtl/>
        </w:rPr>
        <w:t xml:space="preserve"> </w:t>
      </w:r>
      <w:r w:rsidRPr="007B17C9">
        <w:rPr>
          <w:rFonts w:hint="eastAsia"/>
          <w:rtl/>
        </w:rPr>
        <w:t>בלא</w:t>
      </w:r>
      <w:r w:rsidRPr="007B17C9">
        <w:rPr>
          <w:rtl/>
        </w:rPr>
        <w:t xml:space="preserve"> </w:t>
      </w:r>
      <w:r w:rsidRPr="007B17C9">
        <w:rPr>
          <w:rFonts w:hint="eastAsia"/>
          <w:rtl/>
        </w:rPr>
        <w:t>להכיר</w:t>
      </w:r>
      <w:r w:rsidRPr="007B17C9">
        <w:rPr>
          <w:rtl/>
        </w:rPr>
        <w:t xml:space="preserve"> </w:t>
      </w:r>
      <w:r w:rsidRPr="007B17C9">
        <w:rPr>
          <w:rFonts w:hint="eastAsia"/>
          <w:rtl/>
        </w:rPr>
        <w:t>בו</w:t>
      </w:r>
      <w:r w:rsidRPr="007B17C9">
        <w:rPr>
          <w:rtl/>
        </w:rPr>
        <w:t xml:space="preserve"> </w:t>
      </w:r>
      <w:r w:rsidRPr="007B17C9">
        <w:rPr>
          <w:rFonts w:hint="eastAsia"/>
          <w:rtl/>
        </w:rPr>
        <w:t>כיהודי</w:t>
      </w:r>
      <w:r>
        <w:rPr>
          <w:rFonts w:hint="cs"/>
          <w:rtl/>
        </w:rPr>
        <w:t xml:space="preserve">" (שם, עמ' 755 </w:t>
      </w:r>
      <w:r w:rsidRPr="00C870F9">
        <w:rPr>
          <w:rFonts w:hint="cs"/>
          <w:rtl/>
        </w:rPr>
        <w:t>וכן עמ' 757</w:t>
      </w:r>
      <w:r>
        <w:rPr>
          <w:rFonts w:hint="cs"/>
          <w:rtl/>
        </w:rPr>
        <w:t xml:space="preserve">; ראו גם: </w:t>
      </w:r>
      <w:r w:rsidRPr="00BC3AF9">
        <w:rPr>
          <w:rFonts w:hint="eastAsia"/>
          <w:rtl/>
        </w:rPr>
        <w:t>בג</w:t>
      </w:r>
      <w:r>
        <w:rPr>
          <w:rFonts w:hint="cs"/>
          <w:rtl/>
        </w:rPr>
        <w:t>"</w:t>
      </w:r>
      <w:r w:rsidRPr="00BC3AF9">
        <w:rPr>
          <w:rFonts w:hint="eastAsia"/>
          <w:rtl/>
        </w:rPr>
        <w:t>ץ</w:t>
      </w:r>
      <w:r w:rsidRPr="00BC3AF9">
        <w:rPr>
          <w:rtl/>
        </w:rPr>
        <w:t xml:space="preserve"> 5517/16 ‏</w:t>
      </w:r>
      <w:r w:rsidRPr="00E6222B">
        <w:rPr>
          <w:rFonts w:ascii="Century" w:hAnsi="Century" w:cs="Miriam" w:hint="eastAsia"/>
          <w:b/>
          <w:spacing w:val="0"/>
          <w:szCs w:val="24"/>
          <w:rtl/>
        </w:rPr>
        <w:t>יעקובוב</w:t>
      </w:r>
      <w:r w:rsidRPr="00E6222B">
        <w:rPr>
          <w:rFonts w:ascii="Century" w:hAnsi="Century" w:cs="Miriam"/>
          <w:b/>
          <w:spacing w:val="0"/>
          <w:szCs w:val="24"/>
          <w:rtl/>
        </w:rPr>
        <w:t xml:space="preserve"> </w:t>
      </w:r>
      <w:r w:rsidRPr="00E6222B">
        <w:rPr>
          <w:rFonts w:ascii="Century" w:hAnsi="Century" w:cs="Miriam" w:hint="eastAsia"/>
          <w:b/>
          <w:spacing w:val="0"/>
          <w:szCs w:val="24"/>
          <w:rtl/>
        </w:rPr>
        <w:t>נ</w:t>
      </w:r>
      <w:r w:rsidRPr="00E6222B">
        <w:rPr>
          <w:rFonts w:ascii="Century" w:hAnsi="Century" w:cs="Miriam"/>
          <w:b/>
          <w:spacing w:val="0"/>
          <w:szCs w:val="24"/>
          <w:rtl/>
        </w:rPr>
        <w:t xml:space="preserve">' </w:t>
      </w:r>
      <w:r w:rsidRPr="00E6222B">
        <w:rPr>
          <w:rFonts w:ascii="Century" w:hAnsi="Century" w:cs="Miriam" w:hint="eastAsia"/>
          <w:b/>
          <w:spacing w:val="0"/>
          <w:szCs w:val="24"/>
          <w:rtl/>
        </w:rPr>
        <w:t>שר</w:t>
      </w:r>
      <w:r w:rsidRPr="00E6222B">
        <w:rPr>
          <w:rFonts w:ascii="Century" w:hAnsi="Century" w:cs="Miriam"/>
          <w:b/>
          <w:spacing w:val="0"/>
          <w:szCs w:val="24"/>
          <w:rtl/>
        </w:rPr>
        <w:t xml:space="preserve"> </w:t>
      </w:r>
      <w:r w:rsidRPr="00E6222B">
        <w:rPr>
          <w:rFonts w:ascii="Century" w:hAnsi="Century" w:cs="Miriam" w:hint="eastAsia"/>
          <w:b/>
          <w:spacing w:val="0"/>
          <w:szCs w:val="24"/>
          <w:rtl/>
        </w:rPr>
        <w:t>הפנים</w:t>
      </w:r>
      <w:r>
        <w:rPr>
          <w:rFonts w:hint="cs"/>
          <w:rtl/>
        </w:rPr>
        <w:t>, פסקה 24 (24.4.2018)).</w:t>
      </w:r>
    </w:p>
    <w:p w:rsidR="00BA03D0" w:rsidRDefault="00BA03D0" w:rsidP="00BA03D0">
      <w:pPr>
        <w:pStyle w:val="Ruller41"/>
        <w:rPr>
          <w:rtl/>
        </w:rPr>
      </w:pPr>
    </w:p>
    <w:p w:rsidR="00BA03D0" w:rsidRDefault="00BA03D0" w:rsidP="00BA03D0">
      <w:pPr>
        <w:pStyle w:val="Ruller4"/>
        <w:numPr>
          <w:ilvl w:val="0"/>
          <w:numId w:val="0"/>
        </w:numPr>
        <w:rPr>
          <w:rtl/>
        </w:rPr>
      </w:pPr>
      <w:r>
        <w:rPr>
          <w:rtl/>
        </w:rPr>
        <w:tab/>
      </w:r>
      <w:r w:rsidRPr="00262240">
        <w:rPr>
          <w:rFonts w:hint="eastAsia"/>
          <w:rtl/>
        </w:rPr>
        <w:t>לצד</w:t>
      </w:r>
      <w:r w:rsidRPr="00262240">
        <w:rPr>
          <w:rtl/>
        </w:rPr>
        <w:t xml:space="preserve"> </w:t>
      </w:r>
      <w:r w:rsidRPr="00262240">
        <w:rPr>
          <w:rFonts w:hint="eastAsia"/>
          <w:rtl/>
        </w:rPr>
        <w:t>זאת</w:t>
      </w:r>
      <w:r w:rsidRPr="00262240">
        <w:rPr>
          <w:rtl/>
        </w:rPr>
        <w:t xml:space="preserve"> </w:t>
      </w:r>
      <w:r w:rsidRPr="00262240">
        <w:rPr>
          <w:rFonts w:hint="eastAsia"/>
          <w:rtl/>
        </w:rPr>
        <w:t>מגשים</w:t>
      </w:r>
      <w:r w:rsidRPr="00262240">
        <w:rPr>
          <w:rtl/>
        </w:rPr>
        <w:t xml:space="preserve"> </w:t>
      </w:r>
      <w:r w:rsidRPr="00262240">
        <w:rPr>
          <w:rFonts w:hint="eastAsia"/>
          <w:rtl/>
        </w:rPr>
        <w:t>סעיף</w:t>
      </w:r>
      <w:r w:rsidRPr="00262240">
        <w:rPr>
          <w:rtl/>
        </w:rPr>
        <w:t xml:space="preserve"> 4</w:t>
      </w:r>
      <w:r w:rsidRPr="00262240">
        <w:rPr>
          <w:rFonts w:hint="eastAsia"/>
          <w:rtl/>
        </w:rPr>
        <w:t>א</w:t>
      </w:r>
      <w:r w:rsidRPr="00262240">
        <w:rPr>
          <w:rtl/>
        </w:rPr>
        <w:t xml:space="preserve"> </w:t>
      </w:r>
      <w:r w:rsidRPr="00262240">
        <w:rPr>
          <w:rFonts w:hint="eastAsia"/>
          <w:rtl/>
        </w:rPr>
        <w:t>לחוק</w:t>
      </w:r>
      <w:r w:rsidRPr="00262240">
        <w:rPr>
          <w:rtl/>
        </w:rPr>
        <w:t xml:space="preserve"> </w:t>
      </w:r>
      <w:r w:rsidRPr="00262240">
        <w:rPr>
          <w:rFonts w:hint="eastAsia"/>
          <w:rtl/>
        </w:rPr>
        <w:t>את</w:t>
      </w:r>
      <w:r w:rsidRPr="00262240">
        <w:rPr>
          <w:rtl/>
        </w:rPr>
        <w:t xml:space="preserve"> </w:t>
      </w:r>
      <w:r w:rsidRPr="00262240">
        <w:rPr>
          <w:rFonts w:hint="eastAsia"/>
          <w:rtl/>
        </w:rPr>
        <w:t>התכלית</w:t>
      </w:r>
      <w:r w:rsidRPr="00262240">
        <w:rPr>
          <w:rtl/>
        </w:rPr>
        <w:t xml:space="preserve"> </w:t>
      </w:r>
      <w:r w:rsidRPr="00262240">
        <w:rPr>
          <w:rFonts w:hint="eastAsia"/>
          <w:rtl/>
        </w:rPr>
        <w:t>בדבר</w:t>
      </w:r>
      <w:r w:rsidRPr="00262240">
        <w:rPr>
          <w:rtl/>
        </w:rPr>
        <w:t xml:space="preserve"> </w:t>
      </w:r>
      <w:r w:rsidRPr="00262240">
        <w:rPr>
          <w:rFonts w:hint="eastAsia"/>
          <w:rtl/>
        </w:rPr>
        <w:t>השבת</w:t>
      </w:r>
      <w:r w:rsidRPr="00262240">
        <w:rPr>
          <w:rtl/>
        </w:rPr>
        <w:t xml:space="preserve"> </w:t>
      </w:r>
      <w:r w:rsidRPr="00262240">
        <w:rPr>
          <w:rFonts w:hint="eastAsia"/>
          <w:rtl/>
        </w:rPr>
        <w:t>העם</w:t>
      </w:r>
      <w:r w:rsidRPr="00262240">
        <w:rPr>
          <w:rtl/>
        </w:rPr>
        <w:t xml:space="preserve"> </w:t>
      </w:r>
      <w:r w:rsidRPr="00262240">
        <w:rPr>
          <w:rFonts w:hint="eastAsia"/>
          <w:rtl/>
        </w:rPr>
        <w:t>היהודי</w:t>
      </w:r>
      <w:r w:rsidRPr="00262240">
        <w:rPr>
          <w:rtl/>
        </w:rPr>
        <w:t xml:space="preserve"> </w:t>
      </w:r>
      <w:r w:rsidRPr="00262240">
        <w:rPr>
          <w:rFonts w:hint="eastAsia"/>
          <w:rtl/>
        </w:rPr>
        <w:t>לארצו</w:t>
      </w:r>
      <w:r w:rsidRPr="00262240">
        <w:rPr>
          <w:rtl/>
        </w:rPr>
        <w:t xml:space="preserve">, </w:t>
      </w:r>
      <w:r w:rsidRPr="00262240">
        <w:rPr>
          <w:rFonts w:hint="eastAsia"/>
          <w:rtl/>
        </w:rPr>
        <w:t>גם</w:t>
      </w:r>
      <w:r w:rsidRPr="00262240">
        <w:rPr>
          <w:rtl/>
        </w:rPr>
        <w:t xml:space="preserve"> </w:t>
      </w:r>
      <w:r w:rsidRPr="00262240">
        <w:rPr>
          <w:rFonts w:hint="eastAsia"/>
          <w:rtl/>
        </w:rPr>
        <w:t>בדרך</w:t>
      </w:r>
      <w:r w:rsidRPr="00262240">
        <w:rPr>
          <w:rtl/>
        </w:rPr>
        <w:t xml:space="preserve"> </w:t>
      </w:r>
      <w:r w:rsidRPr="00262240">
        <w:rPr>
          <w:rFonts w:hint="eastAsia"/>
          <w:rtl/>
        </w:rPr>
        <w:t>נוספת</w:t>
      </w:r>
      <w:r w:rsidRPr="00262240">
        <w:rPr>
          <w:rtl/>
        </w:rPr>
        <w:t xml:space="preserve">: </w:t>
      </w:r>
      <w:r w:rsidRPr="00262240">
        <w:rPr>
          <w:rFonts w:hint="eastAsia"/>
          <w:rtl/>
        </w:rPr>
        <w:t>עידוד</w:t>
      </w:r>
      <w:r w:rsidRPr="00262240">
        <w:rPr>
          <w:rtl/>
        </w:rPr>
        <w:t xml:space="preserve"> </w:t>
      </w:r>
      <w:r w:rsidRPr="00262240">
        <w:rPr>
          <w:rFonts w:hint="eastAsia"/>
          <w:rtl/>
        </w:rPr>
        <w:t>בני</w:t>
      </w:r>
      <w:r w:rsidRPr="00262240">
        <w:rPr>
          <w:rtl/>
        </w:rPr>
        <w:t xml:space="preserve"> </w:t>
      </w:r>
      <w:r w:rsidRPr="00262240">
        <w:rPr>
          <w:rFonts w:hint="eastAsia"/>
          <w:rtl/>
        </w:rPr>
        <w:t>משפחתו</w:t>
      </w:r>
      <w:r w:rsidRPr="00262240">
        <w:rPr>
          <w:rtl/>
        </w:rPr>
        <w:t xml:space="preserve"> </w:t>
      </w:r>
      <w:r w:rsidRPr="00262240">
        <w:rPr>
          <w:rFonts w:hint="eastAsia"/>
          <w:rtl/>
        </w:rPr>
        <w:t>של</w:t>
      </w:r>
      <w:r w:rsidRPr="00262240">
        <w:rPr>
          <w:rtl/>
        </w:rPr>
        <w:t xml:space="preserve"> </w:t>
      </w:r>
      <w:r w:rsidRPr="00262240">
        <w:rPr>
          <w:rFonts w:ascii="Century" w:hAnsi="Century" w:hint="eastAsia"/>
          <w:sz w:val="22"/>
          <w:rtl/>
        </w:rPr>
        <w:t>היהודי</w:t>
      </w:r>
      <w:r w:rsidRPr="00262240">
        <w:rPr>
          <w:rFonts w:ascii="Century" w:hAnsi="Century"/>
          <w:sz w:val="22"/>
          <w:rtl/>
        </w:rPr>
        <w:t xml:space="preserve"> </w:t>
      </w:r>
      <w:r w:rsidRPr="00262240">
        <w:rPr>
          <w:rFonts w:ascii="Century" w:hAnsi="Century" w:hint="eastAsia"/>
          <w:sz w:val="22"/>
          <w:rtl/>
        </w:rPr>
        <w:t>אשר</w:t>
      </w:r>
      <w:r w:rsidRPr="00262240">
        <w:rPr>
          <w:rFonts w:ascii="Century" w:hAnsi="Century"/>
          <w:sz w:val="22"/>
          <w:rtl/>
        </w:rPr>
        <w:t xml:space="preserve"> </w:t>
      </w:r>
      <w:r w:rsidRPr="00262240">
        <w:rPr>
          <w:rFonts w:ascii="Century" w:hAnsi="Century" w:hint="eastAsia"/>
          <w:sz w:val="22"/>
          <w:rtl/>
        </w:rPr>
        <w:t>אינם</w:t>
      </w:r>
      <w:r w:rsidRPr="00262240">
        <w:rPr>
          <w:rFonts w:ascii="Century" w:hAnsi="Century"/>
          <w:sz w:val="22"/>
          <w:rtl/>
        </w:rPr>
        <w:t xml:space="preserve"> </w:t>
      </w:r>
      <w:r w:rsidRPr="00262240">
        <w:rPr>
          <w:rFonts w:ascii="Century" w:hAnsi="Century" w:hint="eastAsia"/>
          <w:sz w:val="22"/>
          <w:rtl/>
        </w:rPr>
        <w:t>נחשבים</w:t>
      </w:r>
      <w:r w:rsidRPr="00262240">
        <w:rPr>
          <w:rFonts w:ascii="Century" w:hAnsi="Century"/>
          <w:sz w:val="22"/>
          <w:rtl/>
        </w:rPr>
        <w:t xml:space="preserve"> "</w:t>
      </w:r>
      <w:r w:rsidRPr="00262240">
        <w:rPr>
          <w:rFonts w:ascii="Century" w:hAnsi="Century" w:hint="eastAsia"/>
          <w:sz w:val="22"/>
          <w:rtl/>
        </w:rPr>
        <w:t>יהודים</w:t>
      </w:r>
      <w:r w:rsidRPr="00262240">
        <w:rPr>
          <w:rFonts w:ascii="Century" w:hAnsi="Century"/>
          <w:sz w:val="22"/>
          <w:rtl/>
        </w:rPr>
        <w:t xml:space="preserve">" </w:t>
      </w:r>
      <w:r w:rsidRPr="00262240">
        <w:rPr>
          <w:rFonts w:ascii="Century" w:hAnsi="Century" w:hint="eastAsia"/>
          <w:sz w:val="22"/>
          <w:rtl/>
        </w:rPr>
        <w:t>על</w:t>
      </w:r>
      <w:r w:rsidRPr="00262240">
        <w:rPr>
          <w:rFonts w:ascii="Century" w:hAnsi="Century"/>
          <w:sz w:val="22"/>
          <w:rtl/>
        </w:rPr>
        <w:t xml:space="preserve"> </w:t>
      </w:r>
      <w:r w:rsidRPr="00262240">
        <w:rPr>
          <w:rFonts w:ascii="Century" w:hAnsi="Century" w:hint="eastAsia"/>
          <w:sz w:val="22"/>
          <w:rtl/>
        </w:rPr>
        <w:t>פי</w:t>
      </w:r>
      <w:r w:rsidRPr="00262240">
        <w:rPr>
          <w:rFonts w:ascii="Century" w:hAnsi="Century"/>
          <w:sz w:val="22"/>
          <w:rtl/>
        </w:rPr>
        <w:t xml:space="preserve"> </w:t>
      </w:r>
      <w:r w:rsidRPr="00262240">
        <w:rPr>
          <w:rFonts w:ascii="Century" w:hAnsi="Century" w:hint="eastAsia"/>
          <w:sz w:val="22"/>
          <w:rtl/>
        </w:rPr>
        <w:t>ההגדרה</w:t>
      </w:r>
      <w:r w:rsidRPr="00262240">
        <w:rPr>
          <w:rFonts w:ascii="Century" w:hAnsi="Century"/>
          <w:sz w:val="22"/>
          <w:rtl/>
        </w:rPr>
        <w:t xml:space="preserve"> </w:t>
      </w:r>
      <w:r w:rsidRPr="00262240">
        <w:rPr>
          <w:rFonts w:ascii="Century" w:hAnsi="Century" w:hint="eastAsia"/>
          <w:sz w:val="22"/>
          <w:rtl/>
        </w:rPr>
        <w:t>שעוגנה</w:t>
      </w:r>
      <w:r w:rsidRPr="00262240">
        <w:rPr>
          <w:rtl/>
        </w:rPr>
        <w:t xml:space="preserve"> </w:t>
      </w:r>
      <w:r w:rsidRPr="00262240">
        <w:rPr>
          <w:rFonts w:hint="eastAsia"/>
          <w:rtl/>
        </w:rPr>
        <w:t>בחוק</w:t>
      </w:r>
      <w:r>
        <w:rPr>
          <w:rFonts w:hint="cs"/>
          <w:rtl/>
        </w:rPr>
        <w:t>, אך</w:t>
      </w:r>
      <w:r w:rsidRPr="00262240">
        <w:rPr>
          <w:rtl/>
        </w:rPr>
        <w:t xml:space="preserve"> </w:t>
      </w:r>
      <w:r w:rsidRPr="00262240">
        <w:rPr>
          <w:rFonts w:hint="eastAsia"/>
          <w:rtl/>
        </w:rPr>
        <w:t>רואים</w:t>
      </w:r>
      <w:r w:rsidRPr="00262240">
        <w:rPr>
          <w:rtl/>
        </w:rPr>
        <w:t xml:space="preserve"> </w:t>
      </w:r>
      <w:r w:rsidRPr="00262240">
        <w:rPr>
          <w:rFonts w:hint="eastAsia"/>
          <w:rtl/>
        </w:rPr>
        <w:t>בהם</w:t>
      </w:r>
      <w:r w:rsidRPr="00262240">
        <w:rPr>
          <w:rtl/>
        </w:rPr>
        <w:t xml:space="preserve"> </w:t>
      </w:r>
      <w:r w:rsidRPr="00262240">
        <w:rPr>
          <w:rFonts w:hint="eastAsia"/>
          <w:rtl/>
        </w:rPr>
        <w:t>כמי</w:t>
      </w:r>
      <w:r w:rsidRPr="00262240">
        <w:rPr>
          <w:rtl/>
        </w:rPr>
        <w:t xml:space="preserve"> </w:t>
      </w:r>
      <w:r w:rsidRPr="00262240">
        <w:rPr>
          <w:rFonts w:hint="eastAsia"/>
          <w:rtl/>
        </w:rPr>
        <w:t>שסיפחו</w:t>
      </w:r>
      <w:r w:rsidRPr="00262240">
        <w:rPr>
          <w:rtl/>
        </w:rPr>
        <w:t xml:space="preserve"> </w:t>
      </w:r>
      <w:r w:rsidRPr="00262240">
        <w:rPr>
          <w:rFonts w:hint="eastAsia"/>
          <w:rtl/>
        </w:rPr>
        <w:t>עצמם</w:t>
      </w:r>
      <w:r w:rsidRPr="00262240">
        <w:rPr>
          <w:rtl/>
        </w:rPr>
        <w:t xml:space="preserve"> </w:t>
      </w:r>
      <w:r w:rsidRPr="00262240">
        <w:rPr>
          <w:rFonts w:hint="eastAsia"/>
          <w:rtl/>
        </w:rPr>
        <w:t>לעם</w:t>
      </w:r>
      <w:r w:rsidRPr="00262240">
        <w:rPr>
          <w:rtl/>
        </w:rPr>
        <w:t xml:space="preserve"> </w:t>
      </w:r>
      <w:r w:rsidRPr="00262240">
        <w:rPr>
          <w:rFonts w:hint="eastAsia"/>
          <w:rtl/>
        </w:rPr>
        <w:t>היהודי</w:t>
      </w:r>
      <w:r w:rsidRPr="00262240">
        <w:rPr>
          <w:rtl/>
        </w:rPr>
        <w:t xml:space="preserve">, </w:t>
      </w:r>
      <w:r w:rsidRPr="00262240">
        <w:rPr>
          <w:rFonts w:hint="eastAsia"/>
          <w:rtl/>
        </w:rPr>
        <w:t>לעלות</w:t>
      </w:r>
      <w:r w:rsidRPr="00262240">
        <w:rPr>
          <w:rtl/>
        </w:rPr>
        <w:t xml:space="preserve"> </w:t>
      </w:r>
      <w:r w:rsidRPr="00262240">
        <w:rPr>
          <w:rFonts w:hint="eastAsia"/>
          <w:rtl/>
        </w:rPr>
        <w:t>ארצה</w:t>
      </w:r>
      <w:r w:rsidRPr="00262240">
        <w:rPr>
          <w:rtl/>
        </w:rPr>
        <w:t xml:space="preserve"> </w:t>
      </w:r>
      <w:r w:rsidRPr="00262240">
        <w:rPr>
          <w:rFonts w:hint="eastAsia"/>
          <w:rtl/>
        </w:rPr>
        <w:t>ולהפוך</w:t>
      </w:r>
      <w:r w:rsidRPr="00262240">
        <w:rPr>
          <w:rtl/>
        </w:rPr>
        <w:t xml:space="preserve"> </w:t>
      </w:r>
      <w:r w:rsidRPr="00262240">
        <w:rPr>
          <w:rFonts w:hint="eastAsia"/>
          <w:rtl/>
        </w:rPr>
        <w:t>לחלק</w:t>
      </w:r>
      <w:r w:rsidRPr="00262240">
        <w:rPr>
          <w:rtl/>
        </w:rPr>
        <w:t xml:space="preserve"> </w:t>
      </w:r>
      <w:r w:rsidRPr="00262240">
        <w:rPr>
          <w:rFonts w:hint="eastAsia"/>
          <w:rtl/>
        </w:rPr>
        <w:t>מהעם</w:t>
      </w:r>
      <w:r w:rsidRPr="00262240">
        <w:rPr>
          <w:rtl/>
        </w:rPr>
        <w:t xml:space="preserve"> </w:t>
      </w:r>
      <w:r w:rsidRPr="00262240">
        <w:rPr>
          <w:rFonts w:hint="eastAsia"/>
          <w:rtl/>
        </w:rPr>
        <w:t>היהודי</w:t>
      </w:r>
      <w:r w:rsidRPr="00262240">
        <w:rPr>
          <w:rtl/>
        </w:rPr>
        <w:t xml:space="preserve">. </w:t>
      </w:r>
      <w:r w:rsidRPr="00262240">
        <w:rPr>
          <w:rFonts w:hint="eastAsia"/>
          <w:rtl/>
        </w:rPr>
        <w:t>להבהרת</w:t>
      </w:r>
      <w:r w:rsidRPr="00262240">
        <w:rPr>
          <w:rtl/>
        </w:rPr>
        <w:t xml:space="preserve"> </w:t>
      </w:r>
      <w:r w:rsidRPr="00262240">
        <w:rPr>
          <w:rFonts w:hint="eastAsia"/>
          <w:rtl/>
        </w:rPr>
        <w:t>עניין</w:t>
      </w:r>
      <w:r w:rsidRPr="00262240">
        <w:rPr>
          <w:rtl/>
        </w:rPr>
        <w:t xml:space="preserve"> </w:t>
      </w:r>
      <w:r w:rsidRPr="00262240">
        <w:rPr>
          <w:rFonts w:hint="eastAsia"/>
          <w:rtl/>
        </w:rPr>
        <w:t>זה</w:t>
      </w:r>
      <w:r w:rsidRPr="00262240">
        <w:rPr>
          <w:rtl/>
        </w:rPr>
        <w:t xml:space="preserve"> </w:t>
      </w:r>
      <w:r w:rsidRPr="00262240">
        <w:rPr>
          <w:rFonts w:hint="eastAsia"/>
          <w:rtl/>
        </w:rPr>
        <w:t>יש</w:t>
      </w:r>
      <w:r w:rsidRPr="00262240">
        <w:rPr>
          <w:rtl/>
        </w:rPr>
        <w:t xml:space="preserve"> </w:t>
      </w:r>
      <w:r w:rsidRPr="00262240">
        <w:rPr>
          <w:rFonts w:hint="eastAsia"/>
          <w:rtl/>
        </w:rPr>
        <w:t>להזכיר</w:t>
      </w:r>
      <w:r w:rsidRPr="00262240">
        <w:rPr>
          <w:rtl/>
        </w:rPr>
        <w:t xml:space="preserve">, </w:t>
      </w:r>
      <w:r w:rsidRPr="00262240">
        <w:rPr>
          <w:rFonts w:hint="cs"/>
          <w:rtl/>
        </w:rPr>
        <w:t>כאמור לעיל ו</w:t>
      </w:r>
      <w:r w:rsidRPr="00262240">
        <w:rPr>
          <w:rFonts w:hint="eastAsia"/>
          <w:rtl/>
        </w:rPr>
        <w:t>כפי</w:t>
      </w:r>
      <w:r w:rsidRPr="00262240">
        <w:rPr>
          <w:rtl/>
        </w:rPr>
        <w:t xml:space="preserve"> </w:t>
      </w:r>
      <w:r w:rsidRPr="00262240">
        <w:rPr>
          <w:rFonts w:hint="eastAsia"/>
          <w:rtl/>
        </w:rPr>
        <w:t>שגם</w:t>
      </w:r>
      <w:r w:rsidRPr="00262240">
        <w:rPr>
          <w:rtl/>
        </w:rPr>
        <w:t xml:space="preserve"> </w:t>
      </w:r>
      <w:r w:rsidRPr="00262240">
        <w:rPr>
          <w:rFonts w:hint="eastAsia"/>
          <w:rtl/>
        </w:rPr>
        <w:t>ציינו</w:t>
      </w:r>
      <w:r w:rsidRPr="00262240">
        <w:rPr>
          <w:rtl/>
        </w:rPr>
        <w:t xml:space="preserve"> </w:t>
      </w:r>
      <w:r w:rsidRPr="00262240">
        <w:rPr>
          <w:rFonts w:hint="eastAsia"/>
          <w:rtl/>
        </w:rPr>
        <w:t>חבריי</w:t>
      </w:r>
      <w:r w:rsidRPr="00262240">
        <w:rPr>
          <w:rtl/>
        </w:rPr>
        <w:t xml:space="preserve">, </w:t>
      </w:r>
      <w:r w:rsidRPr="00262240">
        <w:rPr>
          <w:rFonts w:hint="eastAsia"/>
          <w:rtl/>
        </w:rPr>
        <w:t>כי</w:t>
      </w:r>
      <w:r w:rsidRPr="00262240">
        <w:rPr>
          <w:rtl/>
        </w:rPr>
        <w:t xml:space="preserve"> </w:t>
      </w:r>
      <w:r w:rsidRPr="00262240">
        <w:rPr>
          <w:rFonts w:hint="eastAsia"/>
          <w:rtl/>
        </w:rPr>
        <w:t>ברקע</w:t>
      </w:r>
      <w:r w:rsidRPr="00262240">
        <w:rPr>
          <w:rtl/>
        </w:rPr>
        <w:t xml:space="preserve"> </w:t>
      </w:r>
      <w:r w:rsidRPr="00262240">
        <w:rPr>
          <w:rFonts w:hint="eastAsia"/>
          <w:rtl/>
        </w:rPr>
        <w:t>לתיקון</w:t>
      </w:r>
      <w:r w:rsidRPr="00262240">
        <w:rPr>
          <w:rtl/>
        </w:rPr>
        <w:t xml:space="preserve"> </w:t>
      </w:r>
      <w:r w:rsidRPr="00262240">
        <w:rPr>
          <w:rFonts w:hint="eastAsia"/>
          <w:rtl/>
        </w:rPr>
        <w:t>חוק</w:t>
      </w:r>
      <w:r w:rsidRPr="00262240">
        <w:rPr>
          <w:rtl/>
        </w:rPr>
        <w:t xml:space="preserve"> </w:t>
      </w:r>
      <w:r w:rsidRPr="00262240">
        <w:rPr>
          <w:rFonts w:hint="eastAsia"/>
          <w:rtl/>
        </w:rPr>
        <w:t>השבות</w:t>
      </w:r>
      <w:r w:rsidRPr="00262240">
        <w:rPr>
          <w:rtl/>
        </w:rPr>
        <w:t xml:space="preserve"> </w:t>
      </w:r>
      <w:r w:rsidRPr="00262240">
        <w:rPr>
          <w:rFonts w:hint="eastAsia"/>
          <w:rtl/>
        </w:rPr>
        <w:t>עמדה</w:t>
      </w:r>
      <w:r w:rsidRPr="00262240">
        <w:rPr>
          <w:rtl/>
        </w:rPr>
        <w:t xml:space="preserve"> </w:t>
      </w:r>
      <w:r w:rsidRPr="00262240">
        <w:rPr>
          <w:rFonts w:hint="eastAsia"/>
          <w:rtl/>
        </w:rPr>
        <w:t>פסיקתו</w:t>
      </w:r>
      <w:r w:rsidRPr="00262240">
        <w:rPr>
          <w:rtl/>
        </w:rPr>
        <w:t xml:space="preserve"> </w:t>
      </w:r>
      <w:r w:rsidRPr="00262240">
        <w:rPr>
          <w:rFonts w:hint="eastAsia"/>
          <w:rtl/>
        </w:rPr>
        <w:t>של</w:t>
      </w:r>
      <w:r w:rsidRPr="00262240">
        <w:rPr>
          <w:rtl/>
        </w:rPr>
        <w:t xml:space="preserve"> </w:t>
      </w:r>
      <w:r w:rsidRPr="00262240">
        <w:rPr>
          <w:rFonts w:hint="eastAsia"/>
          <w:rtl/>
        </w:rPr>
        <w:t>בית</w:t>
      </w:r>
      <w:r w:rsidRPr="00262240">
        <w:rPr>
          <w:rtl/>
        </w:rPr>
        <w:t xml:space="preserve"> </w:t>
      </w:r>
      <w:r w:rsidRPr="00262240">
        <w:rPr>
          <w:rFonts w:hint="eastAsia"/>
          <w:rtl/>
        </w:rPr>
        <w:t>משפט</w:t>
      </w:r>
      <w:r w:rsidRPr="00262240">
        <w:rPr>
          <w:rtl/>
        </w:rPr>
        <w:t xml:space="preserve"> </w:t>
      </w:r>
      <w:r w:rsidRPr="00262240">
        <w:rPr>
          <w:rFonts w:hint="eastAsia"/>
          <w:rtl/>
        </w:rPr>
        <w:t>זה</w:t>
      </w:r>
      <w:r w:rsidRPr="00262240">
        <w:rPr>
          <w:rtl/>
        </w:rPr>
        <w:t xml:space="preserve"> </w:t>
      </w:r>
      <w:r w:rsidRPr="00262240">
        <w:rPr>
          <w:rFonts w:hint="eastAsia"/>
          <w:rtl/>
        </w:rPr>
        <w:t>בעניין</w:t>
      </w:r>
      <w:r w:rsidRPr="00262240">
        <w:rPr>
          <w:rtl/>
        </w:rPr>
        <w:t xml:space="preserve"> </w:t>
      </w:r>
      <w:r w:rsidRPr="00262240">
        <w:rPr>
          <w:rFonts w:ascii="Century" w:hAnsi="Century" w:cs="Miriam" w:hint="eastAsia"/>
          <w:b/>
          <w:spacing w:val="0"/>
          <w:sz w:val="22"/>
          <w:szCs w:val="24"/>
          <w:rtl/>
        </w:rPr>
        <w:t>שליט</w:t>
      </w:r>
      <w:r w:rsidRPr="00262240">
        <w:rPr>
          <w:rtl/>
        </w:rPr>
        <w:t xml:space="preserve">, </w:t>
      </w:r>
      <w:r w:rsidRPr="00262240">
        <w:rPr>
          <w:rFonts w:hint="eastAsia"/>
          <w:rtl/>
        </w:rPr>
        <w:t>בה</w:t>
      </w:r>
      <w:r w:rsidRPr="00262240">
        <w:rPr>
          <w:rtl/>
        </w:rPr>
        <w:t xml:space="preserve"> </w:t>
      </w:r>
      <w:r w:rsidRPr="00262240">
        <w:rPr>
          <w:rFonts w:hint="eastAsia"/>
          <w:rtl/>
        </w:rPr>
        <w:t>חויב</w:t>
      </w:r>
      <w:r w:rsidRPr="00262240">
        <w:rPr>
          <w:rtl/>
        </w:rPr>
        <w:t xml:space="preserve"> </w:t>
      </w:r>
      <w:r w:rsidRPr="00262240">
        <w:rPr>
          <w:rFonts w:hint="eastAsia"/>
          <w:rtl/>
        </w:rPr>
        <w:t>פקיד</w:t>
      </w:r>
      <w:r w:rsidRPr="00262240">
        <w:rPr>
          <w:rtl/>
        </w:rPr>
        <w:t xml:space="preserve"> </w:t>
      </w:r>
      <w:r w:rsidRPr="00262240">
        <w:rPr>
          <w:rFonts w:hint="eastAsia"/>
          <w:rtl/>
        </w:rPr>
        <w:t>הרישום</w:t>
      </w:r>
      <w:r w:rsidRPr="00262240">
        <w:rPr>
          <w:rtl/>
        </w:rPr>
        <w:t xml:space="preserve"> </w:t>
      </w:r>
      <w:r w:rsidRPr="00262240">
        <w:rPr>
          <w:rFonts w:hint="eastAsia"/>
          <w:rtl/>
        </w:rPr>
        <w:t>לרשום</w:t>
      </w:r>
      <w:r w:rsidRPr="00262240">
        <w:rPr>
          <w:rtl/>
        </w:rPr>
        <w:t xml:space="preserve"> </w:t>
      </w:r>
      <w:r w:rsidRPr="00262240">
        <w:rPr>
          <w:rFonts w:hint="eastAsia"/>
          <w:rtl/>
        </w:rPr>
        <w:t>את</w:t>
      </w:r>
      <w:r w:rsidRPr="00262240">
        <w:rPr>
          <w:rtl/>
        </w:rPr>
        <w:t xml:space="preserve"> </w:t>
      </w:r>
      <w:r w:rsidRPr="00262240">
        <w:rPr>
          <w:rFonts w:hint="eastAsia"/>
          <w:rtl/>
        </w:rPr>
        <w:t>לאומם</w:t>
      </w:r>
      <w:r w:rsidRPr="00262240">
        <w:rPr>
          <w:rtl/>
        </w:rPr>
        <w:t xml:space="preserve"> </w:t>
      </w:r>
      <w:r w:rsidRPr="00262240">
        <w:rPr>
          <w:rFonts w:hint="eastAsia"/>
          <w:rtl/>
        </w:rPr>
        <w:t>של</w:t>
      </w:r>
      <w:r w:rsidRPr="00262240">
        <w:rPr>
          <w:rtl/>
        </w:rPr>
        <w:t xml:space="preserve"> </w:t>
      </w:r>
      <w:r w:rsidRPr="00262240">
        <w:rPr>
          <w:rFonts w:hint="eastAsia"/>
          <w:rtl/>
        </w:rPr>
        <w:t>ילדי</w:t>
      </w:r>
      <w:r w:rsidRPr="00262240">
        <w:rPr>
          <w:rtl/>
        </w:rPr>
        <w:t xml:space="preserve"> </w:t>
      </w:r>
      <w:r w:rsidRPr="00262240">
        <w:rPr>
          <w:rFonts w:hint="eastAsia"/>
          <w:rtl/>
        </w:rPr>
        <w:t>העותרים</w:t>
      </w:r>
      <w:r w:rsidRPr="00262240">
        <w:rPr>
          <w:rtl/>
        </w:rPr>
        <w:t xml:space="preserve"> (</w:t>
      </w:r>
      <w:r w:rsidRPr="00262240">
        <w:rPr>
          <w:rFonts w:hint="eastAsia"/>
          <w:rtl/>
        </w:rPr>
        <w:t>אב</w:t>
      </w:r>
      <w:r w:rsidRPr="00262240">
        <w:rPr>
          <w:rtl/>
        </w:rPr>
        <w:t xml:space="preserve"> </w:t>
      </w:r>
      <w:r w:rsidRPr="00262240">
        <w:rPr>
          <w:rFonts w:hint="eastAsia"/>
          <w:rtl/>
        </w:rPr>
        <w:t>יהודי</w:t>
      </w:r>
      <w:r w:rsidRPr="00262240">
        <w:rPr>
          <w:rtl/>
        </w:rPr>
        <w:t xml:space="preserve"> </w:t>
      </w:r>
      <w:r w:rsidRPr="00262240">
        <w:rPr>
          <w:rFonts w:hint="eastAsia"/>
          <w:rtl/>
        </w:rPr>
        <w:t>ואם</w:t>
      </w:r>
      <w:r w:rsidRPr="00262240">
        <w:rPr>
          <w:rtl/>
        </w:rPr>
        <w:t xml:space="preserve"> </w:t>
      </w:r>
      <w:r w:rsidRPr="00262240">
        <w:rPr>
          <w:rFonts w:hint="eastAsia"/>
          <w:rtl/>
        </w:rPr>
        <w:t>לא</w:t>
      </w:r>
      <w:r w:rsidRPr="00262240">
        <w:rPr>
          <w:rtl/>
        </w:rPr>
        <w:t xml:space="preserve"> </w:t>
      </w:r>
      <w:r w:rsidRPr="00262240">
        <w:rPr>
          <w:rFonts w:hint="eastAsia"/>
          <w:rtl/>
        </w:rPr>
        <w:t>יהודיה</w:t>
      </w:r>
      <w:r w:rsidRPr="00262240">
        <w:rPr>
          <w:rtl/>
        </w:rPr>
        <w:t xml:space="preserve">) </w:t>
      </w:r>
      <w:r w:rsidRPr="00262240">
        <w:rPr>
          <w:rFonts w:hint="eastAsia"/>
          <w:rtl/>
        </w:rPr>
        <w:t>כיהודים</w:t>
      </w:r>
      <w:r w:rsidRPr="00262240">
        <w:rPr>
          <w:rtl/>
        </w:rPr>
        <w:t xml:space="preserve"> </w:t>
      </w:r>
      <w:r w:rsidRPr="00262240">
        <w:rPr>
          <w:rFonts w:hint="eastAsia"/>
          <w:rtl/>
        </w:rPr>
        <w:t>במרשם</w:t>
      </w:r>
      <w:r w:rsidRPr="00262240">
        <w:rPr>
          <w:rtl/>
        </w:rPr>
        <w:t xml:space="preserve"> </w:t>
      </w:r>
      <w:r w:rsidRPr="00262240">
        <w:rPr>
          <w:rFonts w:hint="eastAsia"/>
          <w:rtl/>
        </w:rPr>
        <w:t>האוכלוסין</w:t>
      </w:r>
      <w:r w:rsidRPr="00262240">
        <w:rPr>
          <w:rtl/>
        </w:rPr>
        <w:t xml:space="preserve">. </w:t>
      </w:r>
      <w:r w:rsidRPr="00262240">
        <w:rPr>
          <w:rFonts w:hint="eastAsia"/>
          <w:rtl/>
        </w:rPr>
        <w:t>נוכח</w:t>
      </w:r>
      <w:r w:rsidRPr="00262240">
        <w:rPr>
          <w:rtl/>
        </w:rPr>
        <w:t xml:space="preserve"> </w:t>
      </w:r>
      <w:r w:rsidRPr="00262240">
        <w:rPr>
          <w:rFonts w:hint="eastAsia"/>
          <w:rtl/>
        </w:rPr>
        <w:t>פסיקה</w:t>
      </w:r>
      <w:r w:rsidRPr="00262240">
        <w:rPr>
          <w:rtl/>
        </w:rPr>
        <w:t xml:space="preserve"> </w:t>
      </w:r>
      <w:r w:rsidRPr="00262240">
        <w:rPr>
          <w:rFonts w:hint="eastAsia"/>
          <w:rtl/>
        </w:rPr>
        <w:t>זו</w:t>
      </w:r>
      <w:r w:rsidRPr="00262240">
        <w:rPr>
          <w:rtl/>
        </w:rPr>
        <w:t xml:space="preserve"> </w:t>
      </w:r>
      <w:r w:rsidRPr="00262240">
        <w:rPr>
          <w:rFonts w:hint="eastAsia"/>
          <w:rtl/>
        </w:rPr>
        <w:t>ביקש</w:t>
      </w:r>
      <w:r w:rsidRPr="00262240">
        <w:rPr>
          <w:rtl/>
        </w:rPr>
        <w:t xml:space="preserve"> </w:t>
      </w:r>
      <w:r w:rsidRPr="00262240">
        <w:rPr>
          <w:rFonts w:hint="eastAsia"/>
          <w:rtl/>
        </w:rPr>
        <w:t>המחוקק</w:t>
      </w:r>
      <w:r w:rsidRPr="00262240">
        <w:rPr>
          <w:rtl/>
        </w:rPr>
        <w:t xml:space="preserve"> </w:t>
      </w:r>
      <w:r w:rsidRPr="00262240">
        <w:rPr>
          <w:rFonts w:hint="eastAsia"/>
          <w:rtl/>
        </w:rPr>
        <w:t>לעגן</w:t>
      </w:r>
      <w:r w:rsidRPr="00262240">
        <w:rPr>
          <w:rtl/>
        </w:rPr>
        <w:t xml:space="preserve"> </w:t>
      </w:r>
      <w:r w:rsidRPr="00262240">
        <w:rPr>
          <w:rFonts w:hint="eastAsia"/>
          <w:rtl/>
        </w:rPr>
        <w:t>בחוק</w:t>
      </w:r>
      <w:r w:rsidRPr="00262240">
        <w:rPr>
          <w:rtl/>
        </w:rPr>
        <w:t xml:space="preserve"> </w:t>
      </w:r>
      <w:r w:rsidRPr="00262240">
        <w:rPr>
          <w:rFonts w:hint="eastAsia"/>
          <w:rtl/>
        </w:rPr>
        <w:t>הגדרה</w:t>
      </w:r>
      <w:r w:rsidRPr="00262240">
        <w:rPr>
          <w:rtl/>
        </w:rPr>
        <w:t xml:space="preserve"> </w:t>
      </w:r>
      <w:r w:rsidRPr="00262240">
        <w:rPr>
          <w:rFonts w:hint="eastAsia"/>
          <w:rtl/>
        </w:rPr>
        <w:t>מחייבת</w:t>
      </w:r>
      <w:r w:rsidRPr="00262240">
        <w:rPr>
          <w:rtl/>
        </w:rPr>
        <w:t xml:space="preserve"> </w:t>
      </w:r>
      <w:r w:rsidRPr="00262240">
        <w:rPr>
          <w:rFonts w:hint="eastAsia"/>
          <w:rtl/>
        </w:rPr>
        <w:t>למונח</w:t>
      </w:r>
      <w:r w:rsidRPr="00262240">
        <w:rPr>
          <w:rtl/>
        </w:rPr>
        <w:t xml:space="preserve"> "</w:t>
      </w:r>
      <w:r w:rsidRPr="00262240">
        <w:rPr>
          <w:rFonts w:hint="eastAsia"/>
          <w:rtl/>
        </w:rPr>
        <w:t>יהודי</w:t>
      </w:r>
      <w:r w:rsidRPr="00262240">
        <w:rPr>
          <w:rtl/>
        </w:rPr>
        <w:t xml:space="preserve">" </w:t>
      </w:r>
      <w:r w:rsidRPr="00262240">
        <w:rPr>
          <w:rFonts w:hint="eastAsia"/>
          <w:rtl/>
        </w:rPr>
        <w:t>שתתבסס</w:t>
      </w:r>
      <w:r w:rsidRPr="00262240">
        <w:rPr>
          <w:rtl/>
        </w:rPr>
        <w:t xml:space="preserve"> </w:t>
      </w:r>
      <w:r w:rsidRPr="00262240">
        <w:rPr>
          <w:rFonts w:hint="eastAsia"/>
          <w:rtl/>
        </w:rPr>
        <w:t>על</w:t>
      </w:r>
      <w:r w:rsidRPr="00262240">
        <w:rPr>
          <w:rtl/>
        </w:rPr>
        <w:t xml:space="preserve"> </w:t>
      </w:r>
      <w:r w:rsidRPr="00262240">
        <w:rPr>
          <w:rFonts w:hint="eastAsia"/>
          <w:rtl/>
        </w:rPr>
        <w:t>ההגדרה</w:t>
      </w:r>
      <w:r w:rsidRPr="00262240">
        <w:rPr>
          <w:rtl/>
        </w:rPr>
        <w:t xml:space="preserve"> </w:t>
      </w:r>
      <w:r w:rsidRPr="00262240">
        <w:rPr>
          <w:rFonts w:hint="eastAsia"/>
          <w:rtl/>
        </w:rPr>
        <w:t>ההלכתית</w:t>
      </w:r>
      <w:r w:rsidRPr="00262240">
        <w:rPr>
          <w:rtl/>
        </w:rPr>
        <w:t xml:space="preserve"> </w:t>
      </w:r>
      <w:r w:rsidRPr="00262240">
        <w:rPr>
          <w:rFonts w:hint="eastAsia"/>
          <w:rtl/>
        </w:rPr>
        <w:t>לפיה</w:t>
      </w:r>
      <w:r w:rsidRPr="00262240">
        <w:rPr>
          <w:rtl/>
        </w:rPr>
        <w:t xml:space="preserve"> </w:t>
      </w:r>
      <w:r w:rsidRPr="00262240">
        <w:rPr>
          <w:rFonts w:hint="eastAsia"/>
          <w:rtl/>
        </w:rPr>
        <w:t>יהודי</w:t>
      </w:r>
      <w:r w:rsidRPr="00262240">
        <w:rPr>
          <w:rtl/>
        </w:rPr>
        <w:t xml:space="preserve"> </w:t>
      </w:r>
      <w:r w:rsidRPr="00262240">
        <w:rPr>
          <w:rFonts w:hint="eastAsia"/>
          <w:rtl/>
        </w:rPr>
        <w:t>הוא</w:t>
      </w:r>
      <w:r w:rsidRPr="00262240">
        <w:rPr>
          <w:rtl/>
        </w:rPr>
        <w:t xml:space="preserve"> </w:t>
      </w:r>
      <w:r w:rsidRPr="00262240">
        <w:rPr>
          <w:rFonts w:hint="eastAsia"/>
          <w:rtl/>
        </w:rPr>
        <w:t>מי</w:t>
      </w:r>
      <w:r w:rsidRPr="00262240">
        <w:rPr>
          <w:rtl/>
        </w:rPr>
        <w:t xml:space="preserve"> </w:t>
      </w:r>
      <w:r w:rsidRPr="00262240">
        <w:rPr>
          <w:rFonts w:hint="eastAsia"/>
          <w:rtl/>
        </w:rPr>
        <w:t>שנולד</w:t>
      </w:r>
      <w:r w:rsidRPr="00262240">
        <w:rPr>
          <w:rtl/>
        </w:rPr>
        <w:t xml:space="preserve"> </w:t>
      </w:r>
      <w:r w:rsidRPr="00262240">
        <w:rPr>
          <w:rFonts w:hint="eastAsia"/>
          <w:rtl/>
        </w:rPr>
        <w:t>לאם</w:t>
      </w:r>
      <w:r w:rsidRPr="00262240">
        <w:rPr>
          <w:rtl/>
        </w:rPr>
        <w:t xml:space="preserve"> </w:t>
      </w:r>
      <w:r w:rsidRPr="00262240">
        <w:rPr>
          <w:rFonts w:hint="eastAsia"/>
          <w:rtl/>
        </w:rPr>
        <w:t>יהודיה</w:t>
      </w:r>
      <w:r w:rsidRPr="00262240">
        <w:rPr>
          <w:rtl/>
        </w:rPr>
        <w:t xml:space="preserve">. </w:t>
      </w:r>
      <w:r w:rsidRPr="00262240">
        <w:rPr>
          <w:rFonts w:hint="eastAsia"/>
          <w:rtl/>
        </w:rPr>
        <w:t>אלא</w:t>
      </w:r>
      <w:r w:rsidRPr="00262240">
        <w:rPr>
          <w:rtl/>
        </w:rPr>
        <w:t xml:space="preserve"> </w:t>
      </w:r>
      <w:r w:rsidRPr="00262240">
        <w:rPr>
          <w:rFonts w:hint="eastAsia"/>
          <w:rtl/>
        </w:rPr>
        <w:t>שהדבר</w:t>
      </w:r>
      <w:r w:rsidRPr="00262240">
        <w:rPr>
          <w:rtl/>
        </w:rPr>
        <w:t xml:space="preserve"> </w:t>
      </w:r>
      <w:r w:rsidRPr="00262240">
        <w:rPr>
          <w:rFonts w:hint="eastAsia"/>
          <w:rtl/>
        </w:rPr>
        <w:t>עורר</w:t>
      </w:r>
      <w:r w:rsidRPr="00262240">
        <w:rPr>
          <w:rtl/>
        </w:rPr>
        <w:t xml:space="preserve"> </w:t>
      </w:r>
      <w:r w:rsidRPr="00262240">
        <w:rPr>
          <w:rFonts w:hint="eastAsia"/>
          <w:rtl/>
        </w:rPr>
        <w:t>התנגדויות</w:t>
      </w:r>
      <w:r w:rsidRPr="00262240">
        <w:rPr>
          <w:rtl/>
        </w:rPr>
        <w:t xml:space="preserve"> </w:t>
      </w:r>
      <w:r w:rsidRPr="00262240">
        <w:rPr>
          <w:rFonts w:hint="eastAsia"/>
          <w:rtl/>
        </w:rPr>
        <w:t>ופולמוסים</w:t>
      </w:r>
      <w:r w:rsidRPr="00262240">
        <w:rPr>
          <w:rtl/>
        </w:rPr>
        <w:t xml:space="preserve"> </w:t>
      </w:r>
      <w:r w:rsidRPr="00262240">
        <w:rPr>
          <w:rFonts w:hint="eastAsia"/>
          <w:rtl/>
        </w:rPr>
        <w:t>רבים</w:t>
      </w:r>
      <w:r w:rsidRPr="00262240">
        <w:rPr>
          <w:rtl/>
        </w:rPr>
        <w:t xml:space="preserve"> </w:t>
      </w:r>
      <w:r w:rsidRPr="00262240">
        <w:rPr>
          <w:rFonts w:hint="eastAsia"/>
          <w:rtl/>
        </w:rPr>
        <w:t>ובסופו</w:t>
      </w:r>
      <w:r w:rsidRPr="00262240">
        <w:rPr>
          <w:rtl/>
        </w:rPr>
        <w:t xml:space="preserve"> </w:t>
      </w:r>
      <w:r w:rsidRPr="00262240">
        <w:rPr>
          <w:rFonts w:hint="eastAsia"/>
          <w:rtl/>
        </w:rPr>
        <w:t>של</w:t>
      </w:r>
      <w:r w:rsidRPr="00262240">
        <w:rPr>
          <w:rtl/>
        </w:rPr>
        <w:t xml:space="preserve"> </w:t>
      </w:r>
      <w:r w:rsidRPr="00262240">
        <w:rPr>
          <w:rFonts w:hint="eastAsia"/>
          <w:rtl/>
        </w:rPr>
        <w:t>דבר</w:t>
      </w:r>
      <w:r w:rsidRPr="00262240">
        <w:rPr>
          <w:rtl/>
        </w:rPr>
        <w:t xml:space="preserve">, </w:t>
      </w:r>
      <w:r w:rsidRPr="00262240">
        <w:rPr>
          <w:rFonts w:hint="eastAsia"/>
          <w:rtl/>
        </w:rPr>
        <w:t>כמעין</w:t>
      </w:r>
      <w:r w:rsidRPr="00262240">
        <w:rPr>
          <w:rtl/>
        </w:rPr>
        <w:t xml:space="preserve"> </w:t>
      </w:r>
      <w:r w:rsidRPr="00262240">
        <w:rPr>
          <w:rFonts w:hint="eastAsia"/>
          <w:rtl/>
        </w:rPr>
        <w:t>פשרה</w:t>
      </w:r>
      <w:r w:rsidRPr="00262240">
        <w:rPr>
          <w:rtl/>
        </w:rPr>
        <w:t xml:space="preserve"> </w:t>
      </w:r>
      <w:r w:rsidRPr="00262240">
        <w:rPr>
          <w:rFonts w:hint="eastAsia"/>
          <w:rtl/>
        </w:rPr>
        <w:t>בין</w:t>
      </w:r>
      <w:r w:rsidRPr="00262240">
        <w:rPr>
          <w:rtl/>
        </w:rPr>
        <w:t xml:space="preserve"> </w:t>
      </w:r>
      <w:r w:rsidRPr="00262240">
        <w:rPr>
          <w:rFonts w:hint="eastAsia"/>
          <w:rtl/>
        </w:rPr>
        <w:t>המגמה</w:t>
      </w:r>
      <w:r w:rsidRPr="00262240">
        <w:rPr>
          <w:rtl/>
        </w:rPr>
        <w:t xml:space="preserve"> </w:t>
      </w:r>
      <w:r w:rsidRPr="00262240">
        <w:rPr>
          <w:rFonts w:hint="eastAsia"/>
          <w:rtl/>
        </w:rPr>
        <w:t>החילונית</w:t>
      </w:r>
      <w:r w:rsidRPr="00262240">
        <w:rPr>
          <w:rtl/>
        </w:rPr>
        <w:t xml:space="preserve"> </w:t>
      </w:r>
      <w:r w:rsidRPr="00262240">
        <w:rPr>
          <w:rFonts w:hint="eastAsia"/>
          <w:rtl/>
        </w:rPr>
        <w:t>לבין</w:t>
      </w:r>
      <w:r w:rsidRPr="00262240">
        <w:rPr>
          <w:rtl/>
        </w:rPr>
        <w:t xml:space="preserve"> </w:t>
      </w:r>
      <w:r w:rsidRPr="00262240">
        <w:rPr>
          <w:rFonts w:hint="eastAsia"/>
          <w:rtl/>
        </w:rPr>
        <w:t>התפיסה</w:t>
      </w:r>
      <w:r w:rsidRPr="00262240">
        <w:rPr>
          <w:rtl/>
        </w:rPr>
        <w:t xml:space="preserve"> </w:t>
      </w:r>
      <w:r w:rsidRPr="00262240">
        <w:rPr>
          <w:rFonts w:hint="eastAsia"/>
          <w:rtl/>
        </w:rPr>
        <w:t>הדתית</w:t>
      </w:r>
      <w:r w:rsidRPr="00262240">
        <w:rPr>
          <w:rtl/>
        </w:rPr>
        <w:t xml:space="preserve">, </w:t>
      </w:r>
      <w:r w:rsidRPr="00262240">
        <w:rPr>
          <w:rFonts w:hint="eastAsia"/>
          <w:rtl/>
        </w:rPr>
        <w:t>נחקק</w:t>
      </w:r>
      <w:r w:rsidRPr="00262240">
        <w:rPr>
          <w:rtl/>
        </w:rPr>
        <w:t xml:space="preserve"> </w:t>
      </w:r>
      <w:r w:rsidRPr="00262240">
        <w:rPr>
          <w:rFonts w:hint="eastAsia"/>
          <w:rtl/>
        </w:rPr>
        <w:t>לצד</w:t>
      </w:r>
      <w:r w:rsidRPr="00262240">
        <w:rPr>
          <w:rtl/>
        </w:rPr>
        <w:t xml:space="preserve"> </w:t>
      </w:r>
      <w:r w:rsidRPr="00262240">
        <w:rPr>
          <w:rFonts w:hint="eastAsia"/>
          <w:rtl/>
        </w:rPr>
        <w:t>הסעיף</w:t>
      </w:r>
      <w:r w:rsidRPr="00262240">
        <w:rPr>
          <w:rtl/>
        </w:rPr>
        <w:t xml:space="preserve"> </w:t>
      </w:r>
      <w:r w:rsidRPr="00262240">
        <w:rPr>
          <w:rFonts w:hint="eastAsia"/>
          <w:rtl/>
        </w:rPr>
        <w:t>ה</w:t>
      </w:r>
      <w:r w:rsidRPr="00262240">
        <w:rPr>
          <w:rtl/>
        </w:rPr>
        <w:t>"</w:t>
      </w:r>
      <w:r w:rsidRPr="00262240">
        <w:rPr>
          <w:rFonts w:hint="eastAsia"/>
          <w:rtl/>
        </w:rPr>
        <w:t>עקרוני</w:t>
      </w:r>
      <w:r w:rsidRPr="00262240">
        <w:rPr>
          <w:rtl/>
        </w:rPr>
        <w:t xml:space="preserve">" </w:t>
      </w:r>
      <w:r w:rsidRPr="00262240">
        <w:rPr>
          <w:rFonts w:hint="eastAsia"/>
          <w:rtl/>
        </w:rPr>
        <w:t>העוסק</w:t>
      </w:r>
      <w:r w:rsidRPr="00262240">
        <w:rPr>
          <w:rtl/>
        </w:rPr>
        <w:t xml:space="preserve"> </w:t>
      </w:r>
      <w:r w:rsidRPr="00262240">
        <w:rPr>
          <w:rFonts w:hint="eastAsia"/>
          <w:rtl/>
        </w:rPr>
        <w:t>בהגדרתו</w:t>
      </w:r>
      <w:r w:rsidRPr="00262240">
        <w:rPr>
          <w:rtl/>
        </w:rPr>
        <w:t xml:space="preserve"> </w:t>
      </w:r>
      <w:r w:rsidRPr="00262240">
        <w:rPr>
          <w:rFonts w:hint="eastAsia"/>
          <w:rtl/>
        </w:rPr>
        <w:t>של</w:t>
      </w:r>
      <w:r w:rsidRPr="00262240">
        <w:rPr>
          <w:rtl/>
        </w:rPr>
        <w:t xml:space="preserve"> </w:t>
      </w:r>
      <w:r w:rsidRPr="00262240">
        <w:rPr>
          <w:rFonts w:hint="eastAsia"/>
          <w:rtl/>
        </w:rPr>
        <w:t>יהודי</w:t>
      </w:r>
      <w:r w:rsidRPr="00262240">
        <w:rPr>
          <w:rtl/>
        </w:rPr>
        <w:t xml:space="preserve"> </w:t>
      </w:r>
      <w:r w:rsidRPr="00262240">
        <w:rPr>
          <w:rFonts w:hint="eastAsia"/>
          <w:rtl/>
        </w:rPr>
        <w:t>גם</w:t>
      </w:r>
      <w:r w:rsidRPr="00262240">
        <w:rPr>
          <w:rtl/>
        </w:rPr>
        <w:t xml:space="preserve"> </w:t>
      </w:r>
      <w:r w:rsidRPr="00262240">
        <w:rPr>
          <w:rFonts w:hint="eastAsia"/>
          <w:rtl/>
        </w:rPr>
        <w:t>סעיף</w:t>
      </w:r>
      <w:r w:rsidRPr="00262240">
        <w:rPr>
          <w:rtl/>
        </w:rPr>
        <w:t xml:space="preserve"> "</w:t>
      </w:r>
      <w:r w:rsidRPr="00262240">
        <w:rPr>
          <w:rFonts w:hint="eastAsia"/>
          <w:rtl/>
        </w:rPr>
        <w:t>מעשי</w:t>
      </w:r>
      <w:r w:rsidRPr="00262240">
        <w:rPr>
          <w:rtl/>
        </w:rPr>
        <w:t xml:space="preserve">" </w:t>
      </w:r>
      <w:r w:rsidRPr="00262240">
        <w:rPr>
          <w:rFonts w:hint="eastAsia"/>
          <w:rtl/>
        </w:rPr>
        <w:t>המעניק</w:t>
      </w:r>
      <w:r w:rsidRPr="00262240">
        <w:rPr>
          <w:rtl/>
        </w:rPr>
        <w:t xml:space="preserve"> </w:t>
      </w:r>
      <w:r w:rsidRPr="00262240">
        <w:rPr>
          <w:rFonts w:hint="eastAsia"/>
          <w:rtl/>
        </w:rPr>
        <w:t>לבני</w:t>
      </w:r>
      <w:r w:rsidRPr="00262240">
        <w:rPr>
          <w:rtl/>
        </w:rPr>
        <w:t xml:space="preserve"> </w:t>
      </w:r>
      <w:r w:rsidRPr="00262240">
        <w:rPr>
          <w:rFonts w:hint="eastAsia"/>
          <w:rtl/>
        </w:rPr>
        <w:t>משפחתו</w:t>
      </w:r>
      <w:r w:rsidRPr="00262240">
        <w:rPr>
          <w:rtl/>
        </w:rPr>
        <w:t xml:space="preserve"> </w:t>
      </w:r>
      <w:r w:rsidRPr="00262240">
        <w:rPr>
          <w:rFonts w:hint="eastAsia"/>
          <w:rtl/>
        </w:rPr>
        <w:t>של</w:t>
      </w:r>
      <w:r w:rsidRPr="00262240">
        <w:rPr>
          <w:rtl/>
        </w:rPr>
        <w:t xml:space="preserve"> </w:t>
      </w:r>
      <w:r w:rsidRPr="00262240">
        <w:rPr>
          <w:rFonts w:hint="eastAsia"/>
          <w:rtl/>
        </w:rPr>
        <w:t>יהודי</w:t>
      </w:r>
      <w:r w:rsidRPr="00262240">
        <w:rPr>
          <w:rtl/>
        </w:rPr>
        <w:t xml:space="preserve"> </w:t>
      </w:r>
      <w:r w:rsidRPr="00262240">
        <w:rPr>
          <w:rFonts w:hint="eastAsia"/>
          <w:rtl/>
        </w:rPr>
        <w:t>זכויות</w:t>
      </w:r>
      <w:r w:rsidRPr="00262240">
        <w:rPr>
          <w:rtl/>
        </w:rPr>
        <w:t xml:space="preserve"> </w:t>
      </w:r>
      <w:r w:rsidRPr="00262240">
        <w:rPr>
          <w:rFonts w:hint="eastAsia"/>
          <w:rtl/>
        </w:rPr>
        <w:t>עלייה</w:t>
      </w:r>
      <w:r w:rsidRPr="00262240">
        <w:rPr>
          <w:rtl/>
        </w:rPr>
        <w:t xml:space="preserve"> </w:t>
      </w:r>
      <w:r w:rsidRPr="00262240">
        <w:rPr>
          <w:rFonts w:hint="eastAsia"/>
          <w:rtl/>
        </w:rPr>
        <w:t>שוות</w:t>
      </w:r>
      <w:r w:rsidRPr="00262240">
        <w:rPr>
          <w:rtl/>
        </w:rPr>
        <w:t xml:space="preserve"> (</w:t>
      </w:r>
      <w:r w:rsidRPr="00262240">
        <w:rPr>
          <w:rFonts w:hint="eastAsia"/>
          <w:rtl/>
        </w:rPr>
        <w:t>ראו</w:t>
      </w:r>
      <w:r w:rsidRPr="00262240">
        <w:rPr>
          <w:rtl/>
        </w:rPr>
        <w:t xml:space="preserve">: </w:t>
      </w:r>
      <w:r w:rsidRPr="00262240">
        <w:rPr>
          <w:rFonts w:hint="eastAsia"/>
          <w:rtl/>
        </w:rPr>
        <w:t>עניין</w:t>
      </w:r>
      <w:r w:rsidRPr="00262240">
        <w:rPr>
          <w:rtl/>
        </w:rPr>
        <w:t xml:space="preserve"> </w:t>
      </w:r>
      <w:r w:rsidRPr="00262240">
        <w:rPr>
          <w:rFonts w:ascii="Century" w:hAnsi="Century" w:cs="Miriam" w:hint="eastAsia"/>
          <w:b/>
          <w:spacing w:val="0"/>
          <w:sz w:val="22"/>
          <w:szCs w:val="24"/>
          <w:rtl/>
        </w:rPr>
        <w:t>סטמקה</w:t>
      </w:r>
      <w:r w:rsidRPr="00262240">
        <w:rPr>
          <w:rtl/>
        </w:rPr>
        <w:t xml:space="preserve">, </w:t>
      </w:r>
      <w:r w:rsidRPr="00262240">
        <w:rPr>
          <w:rFonts w:hint="eastAsia"/>
          <w:rtl/>
        </w:rPr>
        <w:t>עמ</w:t>
      </w:r>
      <w:r w:rsidRPr="00262240">
        <w:rPr>
          <w:rtl/>
        </w:rPr>
        <w:t xml:space="preserve">' 756-754; </w:t>
      </w:r>
      <w:r w:rsidRPr="00262240">
        <w:rPr>
          <w:rFonts w:hint="eastAsia"/>
          <w:rtl/>
        </w:rPr>
        <w:t>עניין</w:t>
      </w:r>
      <w:r w:rsidRPr="00262240">
        <w:rPr>
          <w:rtl/>
        </w:rPr>
        <w:t xml:space="preserve"> </w:t>
      </w:r>
      <w:r w:rsidRPr="00262240">
        <w:rPr>
          <w:rFonts w:ascii="Century" w:hAnsi="Century" w:cs="Miriam" w:hint="eastAsia"/>
          <w:b/>
          <w:spacing w:val="0"/>
          <w:sz w:val="22"/>
          <w:szCs w:val="24"/>
          <w:rtl/>
        </w:rPr>
        <w:t>גורודצקי</w:t>
      </w:r>
      <w:r w:rsidRPr="00262240">
        <w:rPr>
          <w:rtl/>
        </w:rPr>
        <w:t xml:space="preserve">, </w:t>
      </w:r>
      <w:r w:rsidRPr="00262240">
        <w:rPr>
          <w:rFonts w:hint="eastAsia"/>
          <w:rtl/>
        </w:rPr>
        <w:t>פסקאות</w:t>
      </w:r>
      <w:r w:rsidRPr="00262240">
        <w:rPr>
          <w:rtl/>
        </w:rPr>
        <w:t xml:space="preserve"> 27-25 </w:t>
      </w:r>
      <w:r w:rsidRPr="00262240">
        <w:rPr>
          <w:rFonts w:hint="eastAsia"/>
          <w:rtl/>
        </w:rPr>
        <w:t>ו</w:t>
      </w:r>
      <w:r w:rsidRPr="00262240">
        <w:rPr>
          <w:rtl/>
        </w:rPr>
        <w:t xml:space="preserve">-31; </w:t>
      </w:r>
      <w:r w:rsidRPr="00262240">
        <w:rPr>
          <w:rFonts w:hint="eastAsia"/>
          <w:rtl/>
        </w:rPr>
        <w:t>דנג</w:t>
      </w:r>
      <w:r w:rsidRPr="00262240">
        <w:rPr>
          <w:rtl/>
        </w:rPr>
        <w:t>"</w:t>
      </w:r>
      <w:r w:rsidRPr="00262240">
        <w:rPr>
          <w:rFonts w:hint="eastAsia"/>
          <w:rtl/>
        </w:rPr>
        <w:t>ץ</w:t>
      </w:r>
      <w:r w:rsidRPr="00262240">
        <w:rPr>
          <w:rtl/>
        </w:rPr>
        <w:t xml:space="preserve"> 1197/16 </w:t>
      </w:r>
      <w:r w:rsidRPr="00262240">
        <w:rPr>
          <w:rFonts w:ascii="Century" w:hAnsi="Century" w:cs="Miriam" w:hint="eastAsia"/>
          <w:b/>
          <w:spacing w:val="0"/>
          <w:sz w:val="22"/>
          <w:szCs w:val="24"/>
          <w:rtl/>
        </w:rPr>
        <w:t>פלונית</w:t>
      </w:r>
      <w:r w:rsidRPr="00262240">
        <w:rPr>
          <w:rFonts w:ascii="Century" w:hAnsi="Century" w:cs="Miriam"/>
          <w:b/>
          <w:spacing w:val="0"/>
          <w:sz w:val="22"/>
          <w:szCs w:val="24"/>
          <w:rtl/>
        </w:rPr>
        <w:t xml:space="preserve"> </w:t>
      </w:r>
      <w:r w:rsidRPr="00262240">
        <w:rPr>
          <w:rFonts w:ascii="Century" w:hAnsi="Century" w:cs="Miriam" w:hint="eastAsia"/>
          <w:b/>
          <w:spacing w:val="0"/>
          <w:sz w:val="22"/>
          <w:szCs w:val="24"/>
          <w:rtl/>
        </w:rPr>
        <w:t>נ</w:t>
      </w:r>
      <w:r w:rsidRPr="00262240">
        <w:rPr>
          <w:rFonts w:ascii="Century" w:hAnsi="Century" w:cs="Miriam"/>
          <w:b/>
          <w:spacing w:val="0"/>
          <w:sz w:val="22"/>
          <w:szCs w:val="24"/>
          <w:rtl/>
        </w:rPr>
        <w:t xml:space="preserve">' </w:t>
      </w:r>
      <w:r w:rsidRPr="00262240">
        <w:rPr>
          <w:rFonts w:ascii="Century" w:hAnsi="Century" w:cs="Miriam" w:hint="eastAsia"/>
          <w:b/>
          <w:spacing w:val="0"/>
          <w:sz w:val="22"/>
          <w:szCs w:val="24"/>
          <w:rtl/>
        </w:rPr>
        <w:t>מדינת</w:t>
      </w:r>
      <w:r w:rsidRPr="00262240">
        <w:rPr>
          <w:rFonts w:ascii="Century" w:hAnsi="Century" w:cs="Miriam"/>
          <w:b/>
          <w:spacing w:val="0"/>
          <w:sz w:val="22"/>
          <w:szCs w:val="24"/>
          <w:rtl/>
        </w:rPr>
        <w:t xml:space="preserve"> </w:t>
      </w:r>
      <w:r w:rsidRPr="00262240">
        <w:rPr>
          <w:rFonts w:ascii="Century" w:hAnsi="Century" w:cs="Miriam" w:hint="eastAsia"/>
          <w:b/>
          <w:spacing w:val="0"/>
          <w:sz w:val="22"/>
          <w:szCs w:val="24"/>
          <w:rtl/>
        </w:rPr>
        <w:t>ישראל</w:t>
      </w:r>
      <w:r w:rsidRPr="00262240">
        <w:rPr>
          <w:rFonts w:ascii="Century" w:hAnsi="Century" w:cs="Miriam"/>
          <w:b/>
          <w:spacing w:val="0"/>
          <w:sz w:val="22"/>
          <w:szCs w:val="24"/>
          <w:rtl/>
        </w:rPr>
        <w:t xml:space="preserve"> – </w:t>
      </w:r>
      <w:r w:rsidRPr="00262240">
        <w:rPr>
          <w:rFonts w:ascii="Century" w:hAnsi="Century" w:cs="Miriam" w:hint="eastAsia"/>
          <w:b/>
          <w:spacing w:val="0"/>
          <w:sz w:val="22"/>
          <w:szCs w:val="24"/>
          <w:rtl/>
        </w:rPr>
        <w:t>שר</w:t>
      </w:r>
      <w:r w:rsidRPr="00262240">
        <w:rPr>
          <w:rFonts w:ascii="Century" w:hAnsi="Century" w:cs="Miriam"/>
          <w:b/>
          <w:spacing w:val="0"/>
          <w:sz w:val="22"/>
          <w:szCs w:val="24"/>
          <w:rtl/>
        </w:rPr>
        <w:t xml:space="preserve"> </w:t>
      </w:r>
      <w:r w:rsidRPr="00262240">
        <w:rPr>
          <w:rFonts w:ascii="Century" w:hAnsi="Century" w:cs="Miriam" w:hint="eastAsia"/>
          <w:b/>
          <w:spacing w:val="0"/>
          <w:sz w:val="22"/>
          <w:szCs w:val="24"/>
          <w:rtl/>
        </w:rPr>
        <w:t>הפנים</w:t>
      </w:r>
      <w:r w:rsidRPr="00262240">
        <w:rPr>
          <w:rtl/>
        </w:rPr>
        <w:t xml:space="preserve">, </w:t>
      </w:r>
      <w:r w:rsidRPr="00262240">
        <w:rPr>
          <w:rFonts w:hint="eastAsia"/>
          <w:rtl/>
        </w:rPr>
        <w:t>פסקאות</w:t>
      </w:r>
      <w:r w:rsidRPr="00262240">
        <w:rPr>
          <w:rtl/>
        </w:rPr>
        <w:t xml:space="preserve"> </w:t>
      </w:r>
      <w:r w:rsidRPr="00262240">
        <w:rPr>
          <w:rFonts w:hint="eastAsia"/>
          <w:rtl/>
        </w:rPr>
        <w:t>י</w:t>
      </w:r>
      <w:r w:rsidRPr="00262240">
        <w:rPr>
          <w:rtl/>
        </w:rPr>
        <w:t>'-</w:t>
      </w:r>
      <w:r w:rsidRPr="00262240">
        <w:rPr>
          <w:rFonts w:hint="eastAsia"/>
          <w:rtl/>
        </w:rPr>
        <w:t>י</w:t>
      </w:r>
      <w:r w:rsidRPr="00262240">
        <w:rPr>
          <w:rtl/>
        </w:rPr>
        <w:t>"</w:t>
      </w:r>
      <w:r w:rsidRPr="00262240">
        <w:rPr>
          <w:rFonts w:hint="eastAsia"/>
          <w:rtl/>
        </w:rPr>
        <w:t>א</w:t>
      </w:r>
      <w:r w:rsidRPr="00262240">
        <w:rPr>
          <w:rtl/>
        </w:rPr>
        <w:t xml:space="preserve"> (9.11.2016); </w:t>
      </w:r>
      <w:r w:rsidRPr="00262240">
        <w:rPr>
          <w:rFonts w:hint="eastAsia"/>
          <w:rtl/>
        </w:rPr>
        <w:t>אשר</w:t>
      </w:r>
      <w:r w:rsidRPr="00262240">
        <w:rPr>
          <w:rtl/>
        </w:rPr>
        <w:t xml:space="preserve"> </w:t>
      </w:r>
      <w:r w:rsidRPr="00262240">
        <w:rPr>
          <w:rFonts w:hint="eastAsia"/>
          <w:rtl/>
        </w:rPr>
        <w:t>מעוז</w:t>
      </w:r>
      <w:r w:rsidRPr="00262240">
        <w:rPr>
          <w:rtl/>
        </w:rPr>
        <w:t xml:space="preserve"> "</w:t>
      </w:r>
      <w:r w:rsidRPr="00262240">
        <w:rPr>
          <w:rFonts w:hint="eastAsia"/>
          <w:rtl/>
        </w:rPr>
        <w:t>הבן</w:t>
      </w:r>
      <w:r w:rsidRPr="00262240">
        <w:rPr>
          <w:rtl/>
        </w:rPr>
        <w:t xml:space="preserve"> </w:t>
      </w:r>
      <w:r w:rsidRPr="00262240">
        <w:rPr>
          <w:rFonts w:hint="eastAsia"/>
          <w:rtl/>
        </w:rPr>
        <w:t>הנשכח</w:t>
      </w:r>
      <w:r w:rsidRPr="00262240">
        <w:rPr>
          <w:rtl/>
        </w:rPr>
        <w:t xml:space="preserve">: </w:t>
      </w:r>
      <w:r w:rsidRPr="00262240">
        <w:rPr>
          <w:rFonts w:hint="eastAsia"/>
          <w:rtl/>
        </w:rPr>
        <w:t>על</w:t>
      </w:r>
      <w:r w:rsidRPr="00262240">
        <w:rPr>
          <w:rtl/>
        </w:rPr>
        <w:t xml:space="preserve"> </w:t>
      </w:r>
      <w:r w:rsidRPr="00262240">
        <w:rPr>
          <w:rFonts w:hint="eastAsia"/>
          <w:rtl/>
        </w:rPr>
        <w:t>סעיף</w:t>
      </w:r>
      <w:r w:rsidRPr="00262240">
        <w:rPr>
          <w:rtl/>
        </w:rPr>
        <w:t xml:space="preserve"> 4</w:t>
      </w:r>
      <w:r w:rsidRPr="00262240">
        <w:rPr>
          <w:rFonts w:hint="eastAsia"/>
          <w:rtl/>
        </w:rPr>
        <w:t>א</w:t>
      </w:r>
      <w:r w:rsidRPr="00262240">
        <w:rPr>
          <w:rtl/>
        </w:rPr>
        <w:t>(</w:t>
      </w:r>
      <w:r w:rsidRPr="00262240">
        <w:rPr>
          <w:rFonts w:hint="eastAsia"/>
          <w:rtl/>
        </w:rPr>
        <w:t>א</w:t>
      </w:r>
      <w:r w:rsidRPr="00262240">
        <w:rPr>
          <w:rtl/>
        </w:rPr>
        <w:t xml:space="preserve">) </w:t>
      </w:r>
      <w:r w:rsidRPr="00262240">
        <w:rPr>
          <w:rFonts w:hint="eastAsia"/>
          <w:rtl/>
        </w:rPr>
        <w:t>לחוק</w:t>
      </w:r>
      <w:r w:rsidRPr="00262240">
        <w:rPr>
          <w:rtl/>
        </w:rPr>
        <w:t xml:space="preserve"> </w:t>
      </w:r>
      <w:r w:rsidRPr="00262240">
        <w:rPr>
          <w:rFonts w:hint="eastAsia"/>
          <w:rtl/>
        </w:rPr>
        <w:t>השבות</w:t>
      </w:r>
      <w:r w:rsidRPr="00262240">
        <w:rPr>
          <w:rtl/>
        </w:rPr>
        <w:t xml:space="preserve"> </w:t>
      </w:r>
      <w:r w:rsidRPr="00262240">
        <w:rPr>
          <w:rFonts w:hint="eastAsia"/>
          <w:rtl/>
        </w:rPr>
        <w:t>ועל</w:t>
      </w:r>
      <w:r w:rsidRPr="00262240">
        <w:rPr>
          <w:rtl/>
        </w:rPr>
        <w:t xml:space="preserve"> </w:t>
      </w:r>
      <w:r w:rsidRPr="00262240">
        <w:rPr>
          <w:rFonts w:hint="eastAsia"/>
          <w:rtl/>
        </w:rPr>
        <w:t>השמטה</w:t>
      </w:r>
      <w:r w:rsidRPr="00262240">
        <w:rPr>
          <w:rtl/>
        </w:rPr>
        <w:t xml:space="preserve"> </w:t>
      </w:r>
      <w:r w:rsidRPr="00262240">
        <w:rPr>
          <w:rFonts w:hint="eastAsia"/>
          <w:rtl/>
        </w:rPr>
        <w:t>שבהיסח</w:t>
      </w:r>
      <w:r w:rsidRPr="00262240">
        <w:rPr>
          <w:rtl/>
        </w:rPr>
        <w:t xml:space="preserve"> </w:t>
      </w:r>
      <w:r w:rsidRPr="00262240">
        <w:rPr>
          <w:rFonts w:hint="eastAsia"/>
          <w:rtl/>
        </w:rPr>
        <w:t>הדעת</w:t>
      </w:r>
      <w:r w:rsidRPr="00262240">
        <w:rPr>
          <w:rtl/>
        </w:rPr>
        <w:t xml:space="preserve">" </w:t>
      </w:r>
      <w:r w:rsidRPr="00262240">
        <w:rPr>
          <w:rFonts w:ascii="Century" w:hAnsi="Century" w:cs="Miriam" w:hint="eastAsia"/>
          <w:b/>
          <w:spacing w:val="0"/>
          <w:sz w:val="22"/>
          <w:szCs w:val="24"/>
          <w:rtl/>
        </w:rPr>
        <w:t>הפרקליט</w:t>
      </w:r>
      <w:r w:rsidRPr="00262240">
        <w:rPr>
          <w:rtl/>
        </w:rPr>
        <w:t xml:space="preserve"> </w:t>
      </w:r>
      <w:r w:rsidRPr="00262240">
        <w:rPr>
          <w:rFonts w:hint="eastAsia"/>
          <w:rtl/>
        </w:rPr>
        <w:t>לח</w:t>
      </w:r>
      <w:r w:rsidRPr="00262240">
        <w:rPr>
          <w:rtl/>
        </w:rPr>
        <w:t xml:space="preserve"> 637, 639 (1989)). </w:t>
      </w:r>
      <w:r w:rsidRPr="00262240">
        <w:rPr>
          <w:rFonts w:hint="eastAsia"/>
          <w:rtl/>
        </w:rPr>
        <w:t>הרחבת</w:t>
      </w:r>
      <w:r w:rsidRPr="00262240">
        <w:rPr>
          <w:rtl/>
        </w:rPr>
        <w:t xml:space="preserve"> </w:t>
      </w:r>
      <w:r w:rsidRPr="00262240">
        <w:rPr>
          <w:rFonts w:hint="eastAsia"/>
          <w:rtl/>
        </w:rPr>
        <w:t>מעגל</w:t>
      </w:r>
      <w:r w:rsidRPr="00262240">
        <w:rPr>
          <w:rtl/>
        </w:rPr>
        <w:t xml:space="preserve"> </w:t>
      </w:r>
      <w:r w:rsidRPr="00262240">
        <w:rPr>
          <w:rFonts w:hint="eastAsia"/>
          <w:rtl/>
        </w:rPr>
        <w:t>הזכאים</w:t>
      </w:r>
      <w:r w:rsidRPr="00262240">
        <w:rPr>
          <w:rtl/>
        </w:rPr>
        <w:t xml:space="preserve"> </w:t>
      </w:r>
      <w:r w:rsidRPr="00262240">
        <w:rPr>
          <w:rFonts w:hint="eastAsia"/>
          <w:rtl/>
        </w:rPr>
        <w:t>שבסעיף</w:t>
      </w:r>
      <w:r w:rsidRPr="00262240">
        <w:rPr>
          <w:rtl/>
        </w:rPr>
        <w:t xml:space="preserve"> 4</w:t>
      </w:r>
      <w:r w:rsidRPr="00262240">
        <w:rPr>
          <w:rFonts w:hint="eastAsia"/>
          <w:rtl/>
        </w:rPr>
        <w:t>א</w:t>
      </w:r>
      <w:r w:rsidRPr="00262240">
        <w:rPr>
          <w:rtl/>
        </w:rPr>
        <w:t xml:space="preserve"> </w:t>
      </w:r>
      <w:r w:rsidRPr="00262240">
        <w:rPr>
          <w:rFonts w:hint="eastAsia"/>
          <w:rtl/>
        </w:rPr>
        <w:t>לחוק</w:t>
      </w:r>
      <w:r w:rsidRPr="00262240">
        <w:rPr>
          <w:rtl/>
        </w:rPr>
        <w:t xml:space="preserve"> </w:t>
      </w:r>
      <w:r w:rsidRPr="00262240">
        <w:rPr>
          <w:rFonts w:hint="eastAsia"/>
          <w:rtl/>
        </w:rPr>
        <w:t>משלימה</w:t>
      </w:r>
      <w:r w:rsidRPr="00262240">
        <w:rPr>
          <w:rtl/>
        </w:rPr>
        <w:t xml:space="preserve"> </w:t>
      </w:r>
      <w:r w:rsidRPr="00262240">
        <w:rPr>
          <w:rFonts w:hint="eastAsia"/>
          <w:rtl/>
        </w:rPr>
        <w:t>אפוא</w:t>
      </w:r>
      <w:r w:rsidRPr="00262240">
        <w:rPr>
          <w:rtl/>
        </w:rPr>
        <w:t xml:space="preserve"> </w:t>
      </w:r>
      <w:r w:rsidRPr="00262240">
        <w:rPr>
          <w:rFonts w:hint="eastAsia"/>
          <w:rtl/>
        </w:rPr>
        <w:t>את</w:t>
      </w:r>
      <w:r w:rsidRPr="00262240">
        <w:rPr>
          <w:rtl/>
        </w:rPr>
        <w:t xml:space="preserve"> </w:t>
      </w:r>
      <w:r w:rsidRPr="00262240">
        <w:rPr>
          <w:rFonts w:hint="eastAsia"/>
          <w:rtl/>
        </w:rPr>
        <w:t>ההסדר</w:t>
      </w:r>
      <w:r w:rsidRPr="00262240">
        <w:rPr>
          <w:rtl/>
        </w:rPr>
        <w:t xml:space="preserve"> </w:t>
      </w:r>
      <w:r w:rsidRPr="00262240">
        <w:rPr>
          <w:rFonts w:hint="eastAsia"/>
          <w:rtl/>
        </w:rPr>
        <w:t>שעוגן</w:t>
      </w:r>
      <w:r w:rsidRPr="00262240">
        <w:rPr>
          <w:rtl/>
        </w:rPr>
        <w:t xml:space="preserve"> </w:t>
      </w:r>
      <w:r w:rsidRPr="00262240">
        <w:rPr>
          <w:rFonts w:hint="eastAsia"/>
          <w:rtl/>
        </w:rPr>
        <w:t>בחוק</w:t>
      </w:r>
      <w:r w:rsidRPr="00262240">
        <w:rPr>
          <w:rtl/>
        </w:rPr>
        <w:t xml:space="preserve"> </w:t>
      </w:r>
      <w:r w:rsidRPr="00262240">
        <w:rPr>
          <w:rFonts w:hint="eastAsia"/>
          <w:rtl/>
        </w:rPr>
        <w:t>במסגרת</w:t>
      </w:r>
      <w:r w:rsidRPr="00262240">
        <w:rPr>
          <w:rtl/>
        </w:rPr>
        <w:t xml:space="preserve"> </w:t>
      </w:r>
      <w:r w:rsidRPr="00262240">
        <w:rPr>
          <w:rFonts w:hint="eastAsia"/>
          <w:rtl/>
        </w:rPr>
        <w:t>התיקון</w:t>
      </w:r>
      <w:r w:rsidRPr="00262240">
        <w:rPr>
          <w:rtl/>
        </w:rPr>
        <w:t xml:space="preserve"> </w:t>
      </w:r>
      <w:r w:rsidRPr="00262240">
        <w:rPr>
          <w:rFonts w:hint="eastAsia"/>
          <w:rtl/>
        </w:rPr>
        <w:t>במובן</w:t>
      </w:r>
      <w:r w:rsidRPr="00262240">
        <w:rPr>
          <w:rtl/>
        </w:rPr>
        <w:t xml:space="preserve"> </w:t>
      </w:r>
      <w:r w:rsidRPr="00262240">
        <w:rPr>
          <w:rFonts w:hint="eastAsia"/>
          <w:rtl/>
        </w:rPr>
        <w:t>זה</w:t>
      </w:r>
      <w:r w:rsidRPr="00262240">
        <w:rPr>
          <w:rtl/>
        </w:rPr>
        <w:t xml:space="preserve"> </w:t>
      </w:r>
      <w:r w:rsidRPr="00262240">
        <w:rPr>
          <w:rFonts w:hint="eastAsia"/>
          <w:rtl/>
        </w:rPr>
        <w:t>שהיא</w:t>
      </w:r>
      <w:r w:rsidRPr="00262240">
        <w:rPr>
          <w:rtl/>
        </w:rPr>
        <w:t xml:space="preserve"> </w:t>
      </w:r>
      <w:r w:rsidRPr="00262240">
        <w:rPr>
          <w:rFonts w:hint="eastAsia"/>
          <w:rtl/>
        </w:rPr>
        <w:t>תורמת</w:t>
      </w:r>
      <w:r w:rsidRPr="00262240">
        <w:rPr>
          <w:rtl/>
        </w:rPr>
        <w:t xml:space="preserve"> </w:t>
      </w:r>
      <w:r w:rsidRPr="00262240">
        <w:rPr>
          <w:rFonts w:hint="eastAsia"/>
          <w:rtl/>
        </w:rPr>
        <w:t>לאיזון</w:t>
      </w:r>
      <w:r w:rsidRPr="00262240">
        <w:rPr>
          <w:rtl/>
        </w:rPr>
        <w:t xml:space="preserve"> </w:t>
      </w:r>
      <w:r w:rsidRPr="00262240">
        <w:rPr>
          <w:rFonts w:hint="eastAsia"/>
          <w:rtl/>
        </w:rPr>
        <w:t>בין</w:t>
      </w:r>
      <w:r w:rsidRPr="00262240">
        <w:rPr>
          <w:rtl/>
        </w:rPr>
        <w:t xml:space="preserve"> </w:t>
      </w:r>
      <w:r w:rsidRPr="00262240">
        <w:rPr>
          <w:rFonts w:hint="eastAsia"/>
          <w:rtl/>
        </w:rPr>
        <w:t>הגדרתו</w:t>
      </w:r>
      <w:r w:rsidRPr="00262240">
        <w:rPr>
          <w:rtl/>
        </w:rPr>
        <w:t xml:space="preserve"> </w:t>
      </w:r>
      <w:r w:rsidRPr="00262240">
        <w:rPr>
          <w:rFonts w:hint="eastAsia"/>
          <w:rtl/>
        </w:rPr>
        <w:t>ההלכתית</w:t>
      </w:r>
      <w:r w:rsidRPr="00262240">
        <w:rPr>
          <w:rtl/>
        </w:rPr>
        <w:t xml:space="preserve"> </w:t>
      </w:r>
      <w:r w:rsidRPr="00262240">
        <w:rPr>
          <w:rFonts w:hint="eastAsia"/>
          <w:rtl/>
        </w:rPr>
        <w:t>של</w:t>
      </w:r>
      <w:r w:rsidRPr="00262240">
        <w:rPr>
          <w:rtl/>
        </w:rPr>
        <w:t xml:space="preserve"> </w:t>
      </w:r>
      <w:r w:rsidRPr="00262240">
        <w:rPr>
          <w:rFonts w:hint="eastAsia"/>
          <w:rtl/>
        </w:rPr>
        <w:t>המונח</w:t>
      </w:r>
      <w:r w:rsidRPr="00262240">
        <w:rPr>
          <w:rtl/>
        </w:rPr>
        <w:t xml:space="preserve"> </w:t>
      </w:r>
      <w:r w:rsidRPr="00262240">
        <w:rPr>
          <w:rFonts w:hint="eastAsia"/>
          <w:rtl/>
        </w:rPr>
        <w:t>יהודי</w:t>
      </w:r>
      <w:r w:rsidRPr="00262240">
        <w:rPr>
          <w:rtl/>
        </w:rPr>
        <w:t xml:space="preserve">, </w:t>
      </w:r>
      <w:r w:rsidRPr="00262240">
        <w:rPr>
          <w:rFonts w:hint="eastAsia"/>
          <w:rtl/>
        </w:rPr>
        <w:t>לבין</w:t>
      </w:r>
      <w:r w:rsidRPr="00262240">
        <w:rPr>
          <w:rtl/>
        </w:rPr>
        <w:t xml:space="preserve"> </w:t>
      </w:r>
      <w:r w:rsidRPr="00262240">
        <w:rPr>
          <w:rFonts w:hint="eastAsia"/>
          <w:rtl/>
        </w:rPr>
        <w:t>הרצון</w:t>
      </w:r>
      <w:r w:rsidRPr="00262240">
        <w:rPr>
          <w:rtl/>
        </w:rPr>
        <w:t xml:space="preserve"> </w:t>
      </w:r>
      <w:r w:rsidRPr="00262240">
        <w:rPr>
          <w:rFonts w:hint="eastAsia"/>
          <w:rtl/>
        </w:rPr>
        <w:t>להביא</w:t>
      </w:r>
      <w:r w:rsidRPr="00262240">
        <w:rPr>
          <w:rtl/>
        </w:rPr>
        <w:t xml:space="preserve"> </w:t>
      </w:r>
      <w:r w:rsidRPr="00262240">
        <w:rPr>
          <w:rFonts w:hint="eastAsia"/>
          <w:rtl/>
        </w:rPr>
        <w:t>את</w:t>
      </w:r>
      <w:r w:rsidRPr="00262240">
        <w:rPr>
          <w:rtl/>
        </w:rPr>
        <w:t xml:space="preserve"> </w:t>
      </w:r>
      <w:r w:rsidRPr="00262240">
        <w:rPr>
          <w:rFonts w:hint="eastAsia"/>
          <w:rtl/>
        </w:rPr>
        <w:t>צאצאי</w:t>
      </w:r>
      <w:r w:rsidRPr="00262240">
        <w:rPr>
          <w:rtl/>
        </w:rPr>
        <w:t xml:space="preserve"> </w:t>
      </w:r>
      <w:r w:rsidRPr="00262240">
        <w:rPr>
          <w:rFonts w:hint="eastAsia"/>
          <w:rtl/>
        </w:rPr>
        <w:t>העם</w:t>
      </w:r>
      <w:r w:rsidRPr="00262240">
        <w:rPr>
          <w:rtl/>
        </w:rPr>
        <w:t xml:space="preserve"> </w:t>
      </w:r>
      <w:r w:rsidRPr="00262240">
        <w:rPr>
          <w:rFonts w:hint="eastAsia"/>
          <w:rtl/>
        </w:rPr>
        <w:t>היהודי</w:t>
      </w:r>
      <w:r w:rsidRPr="00262240">
        <w:rPr>
          <w:rtl/>
        </w:rPr>
        <w:t xml:space="preserve"> </w:t>
      </w:r>
      <w:r w:rsidRPr="00262240">
        <w:rPr>
          <w:rFonts w:hint="eastAsia"/>
          <w:rtl/>
        </w:rPr>
        <w:t>ארצה</w:t>
      </w:r>
      <w:r w:rsidRPr="00262240">
        <w:rPr>
          <w:rtl/>
        </w:rPr>
        <w:t xml:space="preserve"> </w:t>
      </w:r>
      <w:r w:rsidRPr="00262240">
        <w:rPr>
          <w:rFonts w:hint="eastAsia"/>
          <w:rtl/>
        </w:rPr>
        <w:t>אף</w:t>
      </w:r>
      <w:r w:rsidRPr="00262240">
        <w:rPr>
          <w:rtl/>
        </w:rPr>
        <w:t xml:space="preserve"> </w:t>
      </w:r>
      <w:r w:rsidRPr="00262240">
        <w:rPr>
          <w:rFonts w:hint="eastAsia"/>
          <w:rtl/>
        </w:rPr>
        <w:t>אם</w:t>
      </w:r>
      <w:r w:rsidRPr="00262240">
        <w:rPr>
          <w:rtl/>
        </w:rPr>
        <w:t xml:space="preserve"> </w:t>
      </w:r>
      <w:r w:rsidRPr="00262240">
        <w:rPr>
          <w:rFonts w:hint="eastAsia"/>
          <w:rtl/>
        </w:rPr>
        <w:t>אינם</w:t>
      </w:r>
      <w:r w:rsidRPr="00262240">
        <w:rPr>
          <w:rtl/>
        </w:rPr>
        <w:t xml:space="preserve"> </w:t>
      </w:r>
      <w:r w:rsidRPr="00262240">
        <w:rPr>
          <w:rFonts w:hint="eastAsia"/>
          <w:rtl/>
        </w:rPr>
        <w:t>עומדים</w:t>
      </w:r>
      <w:r w:rsidRPr="00262240">
        <w:rPr>
          <w:rtl/>
        </w:rPr>
        <w:t xml:space="preserve"> </w:t>
      </w:r>
      <w:r w:rsidRPr="00262240">
        <w:rPr>
          <w:rFonts w:hint="eastAsia"/>
          <w:rtl/>
        </w:rPr>
        <w:t>בהגדרה</w:t>
      </w:r>
      <w:r w:rsidRPr="00262240">
        <w:rPr>
          <w:rtl/>
        </w:rPr>
        <w:t xml:space="preserve"> </w:t>
      </w:r>
      <w:r w:rsidRPr="00262240">
        <w:rPr>
          <w:rFonts w:hint="eastAsia"/>
          <w:rtl/>
        </w:rPr>
        <w:t>שנקבעה</w:t>
      </w:r>
      <w:r w:rsidRPr="00262240">
        <w:rPr>
          <w:rtl/>
        </w:rPr>
        <w:t xml:space="preserve"> </w:t>
      </w:r>
      <w:r w:rsidRPr="00262240">
        <w:rPr>
          <w:rFonts w:hint="eastAsia"/>
          <w:rtl/>
        </w:rPr>
        <w:t>בחוק</w:t>
      </w:r>
      <w:r w:rsidRPr="00262240">
        <w:rPr>
          <w:rtl/>
        </w:rPr>
        <w:t xml:space="preserve">. </w:t>
      </w:r>
      <w:r w:rsidRPr="00262240">
        <w:rPr>
          <w:rFonts w:hint="eastAsia"/>
          <w:rtl/>
        </w:rPr>
        <w:t>היא</w:t>
      </w:r>
      <w:r w:rsidRPr="00262240">
        <w:rPr>
          <w:rtl/>
        </w:rPr>
        <w:t xml:space="preserve"> </w:t>
      </w:r>
      <w:r w:rsidRPr="00262240">
        <w:rPr>
          <w:rFonts w:hint="eastAsia"/>
          <w:rtl/>
        </w:rPr>
        <w:t>משקפת</w:t>
      </w:r>
      <w:r w:rsidRPr="00262240">
        <w:rPr>
          <w:rtl/>
        </w:rPr>
        <w:t xml:space="preserve"> </w:t>
      </w:r>
      <w:r w:rsidRPr="00262240">
        <w:rPr>
          <w:rFonts w:hint="eastAsia"/>
          <w:rtl/>
        </w:rPr>
        <w:t>את</w:t>
      </w:r>
      <w:r w:rsidRPr="00262240">
        <w:rPr>
          <w:rtl/>
        </w:rPr>
        <w:t xml:space="preserve"> </w:t>
      </w:r>
      <w:r w:rsidRPr="00262240">
        <w:rPr>
          <w:rFonts w:hint="eastAsia"/>
          <w:rtl/>
        </w:rPr>
        <w:t>רצון</w:t>
      </w:r>
      <w:r w:rsidRPr="00262240">
        <w:rPr>
          <w:rtl/>
        </w:rPr>
        <w:t xml:space="preserve"> </w:t>
      </w:r>
      <w:r w:rsidRPr="00262240">
        <w:rPr>
          <w:rFonts w:hint="eastAsia"/>
          <w:rtl/>
        </w:rPr>
        <w:t>המחוקק</w:t>
      </w:r>
      <w:r w:rsidRPr="00262240">
        <w:rPr>
          <w:rtl/>
        </w:rPr>
        <w:t xml:space="preserve"> </w:t>
      </w:r>
      <w:r w:rsidRPr="00262240">
        <w:rPr>
          <w:rFonts w:hint="eastAsia"/>
          <w:rtl/>
        </w:rPr>
        <w:t>לאפשר</w:t>
      </w:r>
      <w:r w:rsidRPr="00262240">
        <w:rPr>
          <w:rtl/>
        </w:rPr>
        <w:t xml:space="preserve"> </w:t>
      </w:r>
      <w:r w:rsidRPr="00262240">
        <w:rPr>
          <w:rFonts w:hint="eastAsia"/>
          <w:rtl/>
        </w:rPr>
        <w:t>את</w:t>
      </w:r>
      <w:r w:rsidRPr="00262240">
        <w:rPr>
          <w:rtl/>
        </w:rPr>
        <w:t xml:space="preserve"> </w:t>
      </w:r>
      <w:r w:rsidRPr="00262240">
        <w:rPr>
          <w:rFonts w:hint="eastAsia"/>
          <w:rtl/>
        </w:rPr>
        <w:t>עלייתם</w:t>
      </w:r>
      <w:r w:rsidRPr="00262240">
        <w:rPr>
          <w:rtl/>
        </w:rPr>
        <w:t xml:space="preserve"> </w:t>
      </w:r>
      <w:r w:rsidRPr="00262240">
        <w:rPr>
          <w:rFonts w:hint="eastAsia"/>
          <w:rtl/>
        </w:rPr>
        <w:t>של</w:t>
      </w:r>
      <w:r w:rsidRPr="00262240">
        <w:rPr>
          <w:rtl/>
        </w:rPr>
        <w:t xml:space="preserve"> </w:t>
      </w:r>
      <w:r w:rsidRPr="00262240">
        <w:rPr>
          <w:rFonts w:hint="eastAsia"/>
          <w:rtl/>
        </w:rPr>
        <w:t>צאצאי</w:t>
      </w:r>
      <w:r w:rsidRPr="00262240">
        <w:rPr>
          <w:rtl/>
        </w:rPr>
        <w:t xml:space="preserve"> </w:t>
      </w:r>
      <w:r w:rsidRPr="00262240">
        <w:rPr>
          <w:rFonts w:hint="eastAsia"/>
          <w:rtl/>
        </w:rPr>
        <w:t>היהודי</w:t>
      </w:r>
      <w:r w:rsidRPr="00262240">
        <w:rPr>
          <w:rtl/>
        </w:rPr>
        <w:t xml:space="preserve"> </w:t>
      </w:r>
      <w:r w:rsidRPr="00262240">
        <w:rPr>
          <w:rFonts w:hint="eastAsia"/>
          <w:rtl/>
        </w:rPr>
        <w:t>על</w:t>
      </w:r>
      <w:r w:rsidRPr="00262240">
        <w:rPr>
          <w:rtl/>
        </w:rPr>
        <w:t xml:space="preserve"> </w:t>
      </w:r>
      <w:r w:rsidRPr="00262240">
        <w:rPr>
          <w:rFonts w:hint="eastAsia"/>
          <w:rtl/>
        </w:rPr>
        <w:t>רקע</w:t>
      </w:r>
      <w:r w:rsidRPr="00262240">
        <w:rPr>
          <w:rtl/>
        </w:rPr>
        <w:t xml:space="preserve"> </w:t>
      </w:r>
      <w:r w:rsidRPr="00262240">
        <w:rPr>
          <w:rFonts w:hint="eastAsia"/>
          <w:rtl/>
        </w:rPr>
        <w:t>זיקתם</w:t>
      </w:r>
      <w:r w:rsidRPr="00262240">
        <w:rPr>
          <w:rtl/>
        </w:rPr>
        <w:t xml:space="preserve"> </w:t>
      </w:r>
      <w:r w:rsidRPr="00262240">
        <w:rPr>
          <w:rFonts w:hint="eastAsia"/>
          <w:rtl/>
        </w:rPr>
        <w:t>ליהדות</w:t>
      </w:r>
      <w:r w:rsidRPr="00262240">
        <w:rPr>
          <w:rtl/>
        </w:rPr>
        <w:t xml:space="preserve"> </w:t>
      </w:r>
      <w:r w:rsidRPr="00262240">
        <w:rPr>
          <w:rFonts w:hint="eastAsia"/>
          <w:rtl/>
        </w:rPr>
        <w:t>הנובעת</w:t>
      </w:r>
      <w:r w:rsidRPr="00262240">
        <w:rPr>
          <w:rtl/>
        </w:rPr>
        <w:t xml:space="preserve"> </w:t>
      </w:r>
      <w:r w:rsidRPr="00262240">
        <w:rPr>
          <w:rFonts w:hint="eastAsia"/>
          <w:rtl/>
        </w:rPr>
        <w:t>מעצם</w:t>
      </w:r>
      <w:r w:rsidRPr="00262240">
        <w:rPr>
          <w:rtl/>
        </w:rPr>
        <w:t xml:space="preserve"> </w:t>
      </w:r>
      <w:r>
        <w:rPr>
          <w:rFonts w:hint="cs"/>
          <w:rtl/>
        </w:rPr>
        <w:t>העובדה ש</w:t>
      </w:r>
      <w:r w:rsidRPr="00262240">
        <w:rPr>
          <w:rFonts w:hint="eastAsia"/>
          <w:rtl/>
        </w:rPr>
        <w:t>בני</w:t>
      </w:r>
      <w:r w:rsidRPr="00262240">
        <w:rPr>
          <w:rtl/>
        </w:rPr>
        <w:t xml:space="preserve"> </w:t>
      </w:r>
      <w:r w:rsidRPr="00262240">
        <w:rPr>
          <w:rFonts w:hint="eastAsia"/>
          <w:rtl/>
        </w:rPr>
        <w:t>משפחתם</w:t>
      </w:r>
      <w:r w:rsidRPr="00262240">
        <w:rPr>
          <w:rtl/>
        </w:rPr>
        <w:t xml:space="preserve"> </w:t>
      </w:r>
      <w:r>
        <w:rPr>
          <w:rFonts w:hint="cs"/>
          <w:rtl/>
        </w:rPr>
        <w:t xml:space="preserve">הם </w:t>
      </w:r>
      <w:r w:rsidRPr="00262240">
        <w:rPr>
          <w:rFonts w:hint="eastAsia"/>
          <w:rtl/>
        </w:rPr>
        <w:t>יהודים</w:t>
      </w:r>
      <w:r w:rsidRPr="00262240">
        <w:rPr>
          <w:rtl/>
        </w:rPr>
        <w:t xml:space="preserve">, </w:t>
      </w:r>
      <w:r w:rsidRPr="00262240">
        <w:rPr>
          <w:rFonts w:hint="eastAsia"/>
          <w:rtl/>
        </w:rPr>
        <w:t>אף</w:t>
      </w:r>
      <w:r w:rsidRPr="00262240">
        <w:rPr>
          <w:rtl/>
        </w:rPr>
        <w:t xml:space="preserve"> </w:t>
      </w:r>
      <w:r w:rsidRPr="00262240">
        <w:rPr>
          <w:rFonts w:hint="eastAsia"/>
          <w:rtl/>
        </w:rPr>
        <w:t>אם</w:t>
      </w:r>
      <w:r w:rsidRPr="00262240">
        <w:rPr>
          <w:rtl/>
        </w:rPr>
        <w:t xml:space="preserve"> </w:t>
      </w:r>
      <w:r w:rsidRPr="00262240">
        <w:rPr>
          <w:rFonts w:hint="eastAsia"/>
          <w:rtl/>
        </w:rPr>
        <w:t>הם</w:t>
      </w:r>
      <w:r w:rsidRPr="00262240">
        <w:rPr>
          <w:rtl/>
        </w:rPr>
        <w:t xml:space="preserve"> </w:t>
      </w:r>
      <w:r w:rsidRPr="00262240">
        <w:rPr>
          <w:rFonts w:hint="eastAsia"/>
          <w:rtl/>
        </w:rPr>
        <w:t>עצמם</w:t>
      </w:r>
      <w:r w:rsidRPr="00262240">
        <w:rPr>
          <w:rtl/>
        </w:rPr>
        <w:t xml:space="preserve"> </w:t>
      </w:r>
      <w:r>
        <w:rPr>
          <w:rFonts w:hint="cs"/>
          <w:rtl/>
        </w:rPr>
        <w:t>אינם יהודים על פי ההגדרה ההלכתית</w:t>
      </w:r>
      <w:r w:rsidRPr="00262240">
        <w:rPr>
          <w:rtl/>
        </w:rPr>
        <w:t xml:space="preserve">. </w:t>
      </w:r>
      <w:r w:rsidRPr="00262240">
        <w:rPr>
          <w:rFonts w:hint="eastAsia"/>
          <w:rtl/>
        </w:rPr>
        <w:t>וכדבריו</w:t>
      </w:r>
      <w:r w:rsidRPr="00262240">
        <w:rPr>
          <w:rtl/>
        </w:rPr>
        <w:t xml:space="preserve"> </w:t>
      </w:r>
      <w:r w:rsidRPr="00262240">
        <w:rPr>
          <w:rFonts w:hint="eastAsia"/>
          <w:rtl/>
        </w:rPr>
        <w:t>של</w:t>
      </w:r>
      <w:r w:rsidRPr="00262240">
        <w:rPr>
          <w:rtl/>
        </w:rPr>
        <w:t xml:space="preserve"> </w:t>
      </w:r>
      <w:r w:rsidRPr="00262240">
        <w:rPr>
          <w:rFonts w:hint="eastAsia"/>
          <w:rtl/>
        </w:rPr>
        <w:t>יו</w:t>
      </w:r>
      <w:r w:rsidRPr="00262240">
        <w:rPr>
          <w:rtl/>
        </w:rPr>
        <w:t>"</w:t>
      </w:r>
      <w:r w:rsidRPr="00262240">
        <w:rPr>
          <w:rFonts w:hint="eastAsia"/>
          <w:rtl/>
        </w:rPr>
        <w:t>ר</w:t>
      </w:r>
      <w:r w:rsidRPr="00262240">
        <w:rPr>
          <w:rtl/>
        </w:rPr>
        <w:t xml:space="preserve"> </w:t>
      </w:r>
      <w:r w:rsidRPr="00262240">
        <w:rPr>
          <w:rFonts w:hint="eastAsia"/>
          <w:rtl/>
        </w:rPr>
        <w:t>ועדת</w:t>
      </w:r>
      <w:r w:rsidRPr="00262240">
        <w:rPr>
          <w:rtl/>
        </w:rPr>
        <w:t xml:space="preserve"> </w:t>
      </w:r>
      <w:r w:rsidRPr="00262240">
        <w:rPr>
          <w:rFonts w:hint="eastAsia"/>
          <w:rtl/>
        </w:rPr>
        <w:t>חוקה</w:t>
      </w:r>
      <w:r w:rsidRPr="00262240">
        <w:rPr>
          <w:rtl/>
        </w:rPr>
        <w:t xml:space="preserve">, </w:t>
      </w:r>
      <w:r w:rsidRPr="00262240">
        <w:rPr>
          <w:rFonts w:hint="eastAsia"/>
          <w:rtl/>
        </w:rPr>
        <w:t>חוק</w:t>
      </w:r>
      <w:r w:rsidRPr="00262240">
        <w:rPr>
          <w:rtl/>
        </w:rPr>
        <w:t xml:space="preserve"> </w:t>
      </w:r>
      <w:r w:rsidRPr="00262240">
        <w:rPr>
          <w:rFonts w:hint="eastAsia"/>
          <w:rtl/>
        </w:rPr>
        <w:t>ומשפט</w:t>
      </w:r>
      <w:r w:rsidRPr="00262240">
        <w:rPr>
          <w:rtl/>
        </w:rPr>
        <w:t xml:space="preserve"> </w:t>
      </w:r>
      <w:r w:rsidRPr="00262240">
        <w:rPr>
          <w:rFonts w:hint="eastAsia"/>
          <w:rtl/>
        </w:rPr>
        <w:t>במסגרת</w:t>
      </w:r>
      <w:r w:rsidRPr="00262240">
        <w:rPr>
          <w:rtl/>
        </w:rPr>
        <w:t xml:space="preserve"> </w:t>
      </w:r>
      <w:r w:rsidRPr="00262240">
        <w:rPr>
          <w:rFonts w:hint="eastAsia"/>
          <w:rtl/>
        </w:rPr>
        <w:t>הדיון</w:t>
      </w:r>
      <w:r w:rsidRPr="00262240">
        <w:rPr>
          <w:rtl/>
        </w:rPr>
        <w:t xml:space="preserve"> </w:t>
      </w:r>
      <w:r w:rsidRPr="00262240">
        <w:rPr>
          <w:rFonts w:hint="eastAsia"/>
          <w:rtl/>
        </w:rPr>
        <w:t>בקריאה</w:t>
      </w:r>
      <w:r w:rsidRPr="00262240">
        <w:rPr>
          <w:rtl/>
        </w:rPr>
        <w:t xml:space="preserve"> </w:t>
      </w:r>
      <w:r w:rsidRPr="00262240">
        <w:rPr>
          <w:rFonts w:hint="eastAsia"/>
          <w:rtl/>
        </w:rPr>
        <w:t>השנייה</w:t>
      </w:r>
      <w:r w:rsidRPr="00262240">
        <w:rPr>
          <w:rtl/>
        </w:rPr>
        <w:t xml:space="preserve"> </w:t>
      </w:r>
      <w:r w:rsidRPr="00262240">
        <w:rPr>
          <w:rFonts w:hint="eastAsia"/>
          <w:rtl/>
        </w:rPr>
        <w:t>והשלישית</w:t>
      </w:r>
      <w:r w:rsidRPr="00262240">
        <w:rPr>
          <w:rtl/>
        </w:rPr>
        <w:t>:</w:t>
      </w:r>
    </w:p>
    <w:p w:rsidR="00BA03D0" w:rsidRDefault="00BA03D0" w:rsidP="00BA03D0">
      <w:pPr>
        <w:pStyle w:val="Ruller41"/>
        <w:rPr>
          <w:rtl/>
        </w:rPr>
      </w:pPr>
    </w:p>
    <w:p w:rsidR="00BA03D0" w:rsidRDefault="00BA03D0" w:rsidP="00BA03D0">
      <w:pPr>
        <w:pStyle w:val="Ruller5"/>
        <w:rPr>
          <w:rtl/>
        </w:rPr>
      </w:pPr>
      <w:r>
        <w:rPr>
          <w:rFonts w:hint="cs"/>
          <w:rtl/>
        </w:rPr>
        <w:lastRenderedPageBreak/>
        <w:t xml:space="preserve">"הבעיה השלישית שהחוק בא לפתור היא בעיה של מתן זכויות, מבחינה סלקטיבית, לאלה שאינם יהודים אבל יש להם קשר עם העם היהודי, על-ידי כך שבן-זוג, הורה, סבא או סבתא היו יהודים; ומתוך תקווה שעל-ידי כך תקויים המצווה של 'ושבו בנים לגבולם', ואלה שנותקו, הוצאו מתוך העם היהודי </w:t>
      </w:r>
      <w:r>
        <w:rPr>
          <w:rtl/>
        </w:rPr>
        <w:t>–</w:t>
      </w:r>
      <w:r>
        <w:rPr>
          <w:rFonts w:hint="cs"/>
          <w:rtl/>
        </w:rPr>
        <w:t xml:space="preserve"> על-ידי בואם לישראל ימצאו את הדרך לחזור לחיק אבותיהם, יצטרפו לעם היהודי לפי ההגדרה, יתגיירו, ייהפכו לחלק ממנו ויגדילו גם את כוחנו בארץ" (</w:t>
      </w:r>
      <w:r w:rsidRPr="00C0012B">
        <w:rPr>
          <w:rFonts w:hint="eastAsia"/>
          <w:rtl/>
        </w:rPr>
        <w:t>דברי</w:t>
      </w:r>
      <w:r w:rsidRPr="00C0012B">
        <w:rPr>
          <w:rtl/>
        </w:rPr>
        <w:t xml:space="preserve"> </w:t>
      </w:r>
      <w:r w:rsidRPr="00C0012B">
        <w:rPr>
          <w:rFonts w:hint="eastAsia"/>
          <w:rtl/>
        </w:rPr>
        <w:t>הכנסת</w:t>
      </w:r>
      <w:r w:rsidRPr="00C0012B">
        <w:rPr>
          <w:rtl/>
        </w:rPr>
        <w:t xml:space="preserve">, </w:t>
      </w:r>
      <w:r w:rsidRPr="00C0012B">
        <w:rPr>
          <w:rFonts w:hint="eastAsia"/>
          <w:rtl/>
        </w:rPr>
        <w:t>חוק</w:t>
      </w:r>
      <w:r w:rsidRPr="00C0012B">
        <w:rPr>
          <w:rtl/>
        </w:rPr>
        <w:t xml:space="preserve"> </w:t>
      </w:r>
      <w:r w:rsidRPr="00C0012B">
        <w:rPr>
          <w:rFonts w:hint="eastAsia"/>
          <w:rtl/>
        </w:rPr>
        <w:t>השבות</w:t>
      </w:r>
      <w:r w:rsidRPr="00C0012B">
        <w:rPr>
          <w:rtl/>
        </w:rPr>
        <w:t xml:space="preserve"> (</w:t>
      </w:r>
      <w:r w:rsidRPr="00C0012B">
        <w:rPr>
          <w:rFonts w:hint="eastAsia"/>
          <w:rtl/>
        </w:rPr>
        <w:t>תיקון</w:t>
      </w:r>
      <w:r w:rsidRPr="00C0012B">
        <w:rPr>
          <w:rtl/>
        </w:rPr>
        <w:t xml:space="preserve"> </w:t>
      </w:r>
      <w:r w:rsidRPr="00C0012B">
        <w:rPr>
          <w:rFonts w:hint="eastAsia"/>
          <w:rtl/>
        </w:rPr>
        <w:t>מס</w:t>
      </w:r>
      <w:r w:rsidRPr="00C0012B">
        <w:rPr>
          <w:rtl/>
        </w:rPr>
        <w:t xml:space="preserve">' 2) </w:t>
      </w:r>
      <w:r w:rsidRPr="00C0012B">
        <w:rPr>
          <w:rFonts w:hint="eastAsia"/>
          <w:rtl/>
        </w:rPr>
        <w:t>חוברת</w:t>
      </w:r>
      <w:r w:rsidRPr="00C0012B">
        <w:rPr>
          <w:rtl/>
        </w:rPr>
        <w:t xml:space="preserve"> </w:t>
      </w:r>
      <w:r w:rsidRPr="00C0012B">
        <w:rPr>
          <w:rFonts w:hint="eastAsia"/>
          <w:rtl/>
        </w:rPr>
        <w:t>י</w:t>
      </w:r>
      <w:r w:rsidRPr="00C0012B">
        <w:rPr>
          <w:rtl/>
        </w:rPr>
        <w:t>"</w:t>
      </w:r>
      <w:r w:rsidRPr="00C0012B">
        <w:rPr>
          <w:rFonts w:hint="eastAsia"/>
          <w:rtl/>
        </w:rPr>
        <w:t>ז</w:t>
      </w:r>
      <w:r w:rsidRPr="00C0012B">
        <w:rPr>
          <w:rtl/>
        </w:rPr>
        <w:t xml:space="preserve">, </w:t>
      </w:r>
      <w:r w:rsidRPr="00C0012B">
        <w:rPr>
          <w:rFonts w:hint="eastAsia"/>
          <w:rtl/>
        </w:rPr>
        <w:t>ישיבה</w:t>
      </w:r>
      <w:r w:rsidRPr="00C0012B">
        <w:rPr>
          <w:rtl/>
        </w:rPr>
        <w:t xml:space="preserve"> </w:t>
      </w:r>
      <w:r w:rsidRPr="00C0012B">
        <w:rPr>
          <w:rFonts w:hint="eastAsia"/>
          <w:rtl/>
        </w:rPr>
        <w:t>נ</w:t>
      </w:r>
      <w:r w:rsidRPr="00C0012B">
        <w:rPr>
          <w:rtl/>
        </w:rPr>
        <w:t xml:space="preserve">' </w:t>
      </w:r>
      <w:r>
        <w:rPr>
          <w:rFonts w:hint="cs"/>
          <w:rtl/>
        </w:rPr>
        <w:t>1118</w:t>
      </w:r>
      <w:r w:rsidRPr="00C0012B">
        <w:rPr>
          <w:rtl/>
        </w:rPr>
        <w:t xml:space="preserve"> (</w:t>
      </w:r>
      <w:r>
        <w:rPr>
          <w:rFonts w:hint="cs"/>
          <w:rtl/>
        </w:rPr>
        <w:t>10.3.1970</w:t>
      </w:r>
      <w:r>
        <w:rPr>
          <w:rtl/>
        </w:rPr>
        <w:t>)</w:t>
      </w:r>
      <w:r>
        <w:rPr>
          <w:rFonts w:hint="cs"/>
          <w:rtl/>
        </w:rPr>
        <w:t>).</w:t>
      </w:r>
    </w:p>
    <w:p w:rsidR="00BA03D0" w:rsidRPr="00D36B89" w:rsidRDefault="00BA03D0" w:rsidP="00BA03D0">
      <w:pPr>
        <w:pStyle w:val="Ruller41"/>
        <w:rPr>
          <w:rtl/>
        </w:rPr>
      </w:pPr>
    </w:p>
    <w:p w:rsidR="00BA03D0" w:rsidRDefault="00BA03D0" w:rsidP="00BA03D0">
      <w:pPr>
        <w:pStyle w:val="Ruller4"/>
        <w:numPr>
          <w:ilvl w:val="0"/>
          <w:numId w:val="0"/>
        </w:numPr>
        <w:rPr>
          <w:rtl/>
        </w:rPr>
      </w:pPr>
      <w:r>
        <w:rPr>
          <w:rtl/>
        </w:rPr>
        <w:tab/>
      </w:r>
      <w:r>
        <w:rPr>
          <w:rFonts w:hint="cs"/>
          <w:rtl/>
        </w:rPr>
        <w:t xml:space="preserve">ובעניין </w:t>
      </w:r>
      <w:r w:rsidRPr="00C75B39">
        <w:rPr>
          <w:rFonts w:ascii="Century" w:hAnsi="Century" w:cs="Miriam" w:hint="cs"/>
          <w:b/>
          <w:spacing w:val="0"/>
          <w:sz w:val="22"/>
          <w:szCs w:val="24"/>
          <w:rtl/>
        </w:rPr>
        <w:t>גורודצקי</w:t>
      </w:r>
      <w:r w:rsidRPr="00C75B39">
        <w:rPr>
          <w:rFonts w:hint="cs"/>
          <w:rtl/>
        </w:rPr>
        <w:t xml:space="preserve"> </w:t>
      </w:r>
      <w:r>
        <w:rPr>
          <w:rFonts w:hint="cs"/>
          <w:rtl/>
        </w:rPr>
        <w:t xml:space="preserve">סיכמה השופטת </w:t>
      </w:r>
      <w:r w:rsidRPr="00245A40">
        <w:rPr>
          <w:rFonts w:ascii="Century" w:hAnsi="Century" w:cs="Miriam" w:hint="cs"/>
          <w:b/>
          <w:spacing w:val="0"/>
          <w:sz w:val="22"/>
          <w:szCs w:val="24"/>
          <w:rtl/>
        </w:rPr>
        <w:t>ארבל</w:t>
      </w:r>
      <w:r w:rsidRPr="00245A40">
        <w:rPr>
          <w:rFonts w:hint="cs"/>
          <w:rtl/>
        </w:rPr>
        <w:t xml:space="preserve"> </w:t>
      </w:r>
      <w:r>
        <w:rPr>
          <w:rFonts w:hint="cs"/>
          <w:rtl/>
        </w:rPr>
        <w:t>את שני פניה של תכלית קיבוץ הגלויות והשבת העם היהודי לארצו כך:</w:t>
      </w:r>
    </w:p>
    <w:p w:rsidR="00BA03D0" w:rsidRDefault="00BA03D0" w:rsidP="00BA03D0">
      <w:pPr>
        <w:pStyle w:val="Ruller41"/>
        <w:rPr>
          <w:rtl/>
        </w:rPr>
      </w:pPr>
    </w:p>
    <w:p w:rsidR="00BA03D0" w:rsidRDefault="00BA03D0" w:rsidP="00BA03D0">
      <w:pPr>
        <w:pStyle w:val="Ruller5"/>
        <w:rPr>
          <w:rtl/>
        </w:rPr>
      </w:pPr>
      <w:r>
        <w:rPr>
          <w:rFonts w:hint="cs"/>
          <w:rtl/>
        </w:rPr>
        <w:t>"</w:t>
      </w:r>
      <w:r>
        <w:rPr>
          <w:rFonts w:hint="eastAsia"/>
          <w:rtl/>
        </w:rPr>
        <w:t>תכלית</w:t>
      </w:r>
      <w:r>
        <w:rPr>
          <w:rtl/>
        </w:rPr>
        <w:t xml:space="preserve"> </w:t>
      </w:r>
      <w:r>
        <w:rPr>
          <w:rFonts w:hint="eastAsia"/>
          <w:rtl/>
        </w:rPr>
        <w:t>זו</w:t>
      </w:r>
      <w:r>
        <w:rPr>
          <w:rtl/>
        </w:rPr>
        <w:t xml:space="preserve"> </w:t>
      </w:r>
      <w:r>
        <w:rPr>
          <w:rFonts w:hint="eastAsia"/>
          <w:rtl/>
        </w:rPr>
        <w:t>מושגת</w:t>
      </w:r>
      <w:r>
        <w:rPr>
          <w:rtl/>
        </w:rPr>
        <w:t xml:space="preserve"> </w:t>
      </w:r>
      <w:r>
        <w:rPr>
          <w:rFonts w:hint="eastAsia"/>
          <w:rtl/>
        </w:rPr>
        <w:t>הן</w:t>
      </w:r>
      <w:r>
        <w:rPr>
          <w:rtl/>
        </w:rPr>
        <w:t xml:space="preserve"> </w:t>
      </w:r>
      <w:r>
        <w:rPr>
          <w:rFonts w:hint="eastAsia"/>
          <w:rtl/>
        </w:rPr>
        <w:t>בעידוד</w:t>
      </w:r>
      <w:r>
        <w:rPr>
          <w:rtl/>
        </w:rPr>
        <w:t xml:space="preserve"> </w:t>
      </w:r>
      <w:r>
        <w:rPr>
          <w:rFonts w:hint="eastAsia"/>
          <w:rtl/>
        </w:rPr>
        <w:t>יהודים</w:t>
      </w:r>
      <w:r>
        <w:rPr>
          <w:rtl/>
        </w:rPr>
        <w:t xml:space="preserve"> </w:t>
      </w:r>
      <w:r>
        <w:rPr>
          <w:rFonts w:hint="eastAsia"/>
          <w:rtl/>
        </w:rPr>
        <w:t>לעלות</w:t>
      </w:r>
      <w:r>
        <w:rPr>
          <w:rtl/>
        </w:rPr>
        <w:t xml:space="preserve"> </w:t>
      </w:r>
      <w:r>
        <w:rPr>
          <w:rFonts w:hint="eastAsia"/>
          <w:rtl/>
        </w:rPr>
        <w:t>לישראל</w:t>
      </w:r>
      <w:r>
        <w:rPr>
          <w:rtl/>
        </w:rPr>
        <w:t xml:space="preserve">, </w:t>
      </w:r>
      <w:r>
        <w:rPr>
          <w:rFonts w:hint="eastAsia"/>
          <w:rtl/>
        </w:rPr>
        <w:t>שכן</w:t>
      </w:r>
      <w:r>
        <w:rPr>
          <w:rtl/>
        </w:rPr>
        <w:t xml:space="preserve"> </w:t>
      </w:r>
      <w:r>
        <w:rPr>
          <w:rFonts w:hint="eastAsia"/>
          <w:rtl/>
        </w:rPr>
        <w:t>החוק</w:t>
      </w:r>
      <w:r>
        <w:rPr>
          <w:rtl/>
        </w:rPr>
        <w:t xml:space="preserve"> </w:t>
      </w:r>
      <w:r>
        <w:rPr>
          <w:rFonts w:hint="eastAsia"/>
          <w:rtl/>
        </w:rPr>
        <w:t>מאפשר</w:t>
      </w:r>
      <w:r>
        <w:rPr>
          <w:rtl/>
        </w:rPr>
        <w:t xml:space="preserve"> </w:t>
      </w:r>
      <w:r>
        <w:rPr>
          <w:rFonts w:hint="eastAsia"/>
          <w:rtl/>
        </w:rPr>
        <w:t>להם</w:t>
      </w:r>
      <w:r>
        <w:rPr>
          <w:rtl/>
        </w:rPr>
        <w:t xml:space="preserve"> </w:t>
      </w:r>
      <w:r>
        <w:rPr>
          <w:rFonts w:hint="eastAsia"/>
          <w:rtl/>
        </w:rPr>
        <w:t>להביא</w:t>
      </w:r>
      <w:r>
        <w:rPr>
          <w:rtl/>
        </w:rPr>
        <w:t xml:space="preserve"> </w:t>
      </w:r>
      <w:r>
        <w:rPr>
          <w:rFonts w:hint="eastAsia"/>
          <w:rtl/>
        </w:rPr>
        <w:t>עימם</w:t>
      </w:r>
      <w:r>
        <w:rPr>
          <w:rtl/>
        </w:rPr>
        <w:t xml:space="preserve"> </w:t>
      </w:r>
      <w:r>
        <w:rPr>
          <w:rFonts w:hint="eastAsia"/>
          <w:rtl/>
        </w:rPr>
        <w:t>את</w:t>
      </w:r>
      <w:r>
        <w:rPr>
          <w:rtl/>
        </w:rPr>
        <w:t xml:space="preserve"> </w:t>
      </w:r>
      <w:r>
        <w:rPr>
          <w:rFonts w:hint="eastAsia"/>
          <w:rtl/>
        </w:rPr>
        <w:t>משפחתם</w:t>
      </w:r>
      <w:r>
        <w:rPr>
          <w:rtl/>
        </w:rPr>
        <w:t xml:space="preserve">, </w:t>
      </w:r>
      <w:r>
        <w:rPr>
          <w:rFonts w:hint="eastAsia"/>
          <w:rtl/>
        </w:rPr>
        <w:t>גם</w:t>
      </w:r>
      <w:r>
        <w:rPr>
          <w:rtl/>
        </w:rPr>
        <w:t xml:space="preserve"> </w:t>
      </w:r>
      <w:r>
        <w:rPr>
          <w:rFonts w:hint="eastAsia"/>
          <w:rtl/>
        </w:rPr>
        <w:t>אם</w:t>
      </w:r>
      <w:r>
        <w:rPr>
          <w:rtl/>
        </w:rPr>
        <w:t xml:space="preserve"> </w:t>
      </w:r>
      <w:r>
        <w:rPr>
          <w:rFonts w:hint="eastAsia"/>
          <w:rtl/>
        </w:rPr>
        <w:t>חלקה</w:t>
      </w:r>
      <w:r>
        <w:rPr>
          <w:rtl/>
        </w:rPr>
        <w:t xml:space="preserve"> </w:t>
      </w:r>
      <w:r>
        <w:rPr>
          <w:rFonts w:hint="eastAsia"/>
          <w:rtl/>
        </w:rPr>
        <w:t>אינו</w:t>
      </w:r>
      <w:r>
        <w:rPr>
          <w:rtl/>
        </w:rPr>
        <w:t xml:space="preserve"> </w:t>
      </w:r>
      <w:r>
        <w:rPr>
          <w:rFonts w:hint="eastAsia"/>
          <w:rtl/>
        </w:rPr>
        <w:t>יהודי</w:t>
      </w:r>
      <w:r>
        <w:rPr>
          <w:rtl/>
        </w:rPr>
        <w:t xml:space="preserve">, </w:t>
      </w:r>
      <w:r>
        <w:rPr>
          <w:rFonts w:hint="eastAsia"/>
          <w:rtl/>
        </w:rPr>
        <w:t>ולזכותה</w:t>
      </w:r>
      <w:r>
        <w:rPr>
          <w:rtl/>
        </w:rPr>
        <w:t xml:space="preserve"> </w:t>
      </w:r>
      <w:r>
        <w:rPr>
          <w:rFonts w:hint="eastAsia"/>
          <w:rtl/>
        </w:rPr>
        <w:t>בכל</w:t>
      </w:r>
      <w:r>
        <w:rPr>
          <w:rtl/>
        </w:rPr>
        <w:t xml:space="preserve"> </w:t>
      </w:r>
      <w:r>
        <w:rPr>
          <w:rFonts w:hint="eastAsia"/>
          <w:rtl/>
        </w:rPr>
        <w:t>זכויותיו</w:t>
      </w:r>
      <w:r>
        <w:rPr>
          <w:rtl/>
        </w:rPr>
        <w:t xml:space="preserve"> </w:t>
      </w:r>
      <w:r>
        <w:rPr>
          <w:rFonts w:hint="eastAsia"/>
          <w:rtl/>
        </w:rPr>
        <w:t>של</w:t>
      </w:r>
      <w:r>
        <w:rPr>
          <w:rtl/>
        </w:rPr>
        <w:t xml:space="preserve"> </w:t>
      </w:r>
      <w:r>
        <w:rPr>
          <w:rFonts w:hint="eastAsia"/>
          <w:rtl/>
        </w:rPr>
        <w:t>היהודי</w:t>
      </w:r>
      <w:r>
        <w:rPr>
          <w:rtl/>
        </w:rPr>
        <w:t xml:space="preserve"> </w:t>
      </w:r>
      <w:r>
        <w:rPr>
          <w:rFonts w:hint="eastAsia"/>
          <w:rtl/>
        </w:rPr>
        <w:t>העולה</w:t>
      </w:r>
      <w:r>
        <w:rPr>
          <w:rtl/>
        </w:rPr>
        <w:t xml:space="preserve"> </w:t>
      </w:r>
      <w:r>
        <w:rPr>
          <w:rFonts w:hint="eastAsia"/>
          <w:rtl/>
        </w:rPr>
        <w:t>ארצה</w:t>
      </w:r>
      <w:r>
        <w:rPr>
          <w:rFonts w:hint="cs"/>
          <w:rtl/>
        </w:rPr>
        <w:t xml:space="preserve"> [..</w:t>
      </w:r>
      <w:r>
        <w:rPr>
          <w:rtl/>
        </w:rPr>
        <w:t>.</w:t>
      </w:r>
      <w:r>
        <w:rPr>
          <w:rFonts w:hint="cs"/>
          <w:rtl/>
        </w:rPr>
        <w:t>].</w:t>
      </w:r>
      <w:r>
        <w:rPr>
          <w:rtl/>
        </w:rPr>
        <w:t xml:space="preserve"> </w:t>
      </w:r>
      <w:r>
        <w:rPr>
          <w:rFonts w:hint="eastAsia"/>
          <w:rtl/>
        </w:rPr>
        <w:t>תכלית</w:t>
      </w:r>
      <w:r>
        <w:rPr>
          <w:rtl/>
        </w:rPr>
        <w:t xml:space="preserve"> </w:t>
      </w:r>
      <w:r>
        <w:rPr>
          <w:rFonts w:hint="eastAsia"/>
          <w:rtl/>
        </w:rPr>
        <w:t>זו</w:t>
      </w:r>
      <w:r>
        <w:rPr>
          <w:rtl/>
        </w:rPr>
        <w:t xml:space="preserve"> </w:t>
      </w:r>
      <w:r>
        <w:rPr>
          <w:rFonts w:hint="eastAsia"/>
          <w:rtl/>
        </w:rPr>
        <w:t>מושגת</w:t>
      </w:r>
      <w:r>
        <w:rPr>
          <w:rtl/>
        </w:rPr>
        <w:t xml:space="preserve"> </w:t>
      </w:r>
      <w:r>
        <w:rPr>
          <w:rFonts w:hint="eastAsia"/>
          <w:rtl/>
        </w:rPr>
        <w:t>אף</w:t>
      </w:r>
      <w:r>
        <w:rPr>
          <w:rtl/>
        </w:rPr>
        <w:t xml:space="preserve"> </w:t>
      </w:r>
      <w:r>
        <w:rPr>
          <w:rFonts w:hint="eastAsia"/>
          <w:rtl/>
        </w:rPr>
        <w:t>בעידוד</w:t>
      </w:r>
      <w:r>
        <w:rPr>
          <w:rtl/>
        </w:rPr>
        <w:t xml:space="preserve"> </w:t>
      </w:r>
      <w:r>
        <w:rPr>
          <w:rFonts w:hint="eastAsia"/>
          <w:rtl/>
        </w:rPr>
        <w:t>יוצאי</w:t>
      </w:r>
      <w:r>
        <w:rPr>
          <w:rtl/>
        </w:rPr>
        <w:t xml:space="preserve"> </w:t>
      </w:r>
      <w:r>
        <w:rPr>
          <w:rFonts w:hint="eastAsia"/>
          <w:rtl/>
        </w:rPr>
        <w:t>משפחות</w:t>
      </w:r>
      <w:r>
        <w:rPr>
          <w:rtl/>
        </w:rPr>
        <w:t xml:space="preserve"> </w:t>
      </w:r>
      <w:r>
        <w:rPr>
          <w:rFonts w:hint="eastAsia"/>
          <w:rtl/>
        </w:rPr>
        <w:t>תערובת</w:t>
      </w:r>
      <w:r>
        <w:rPr>
          <w:rtl/>
        </w:rPr>
        <w:t xml:space="preserve"> </w:t>
      </w:r>
      <w:r>
        <w:rPr>
          <w:rFonts w:hint="eastAsia"/>
          <w:rtl/>
        </w:rPr>
        <w:t>להגיע</w:t>
      </w:r>
      <w:r>
        <w:rPr>
          <w:rtl/>
        </w:rPr>
        <w:t xml:space="preserve"> </w:t>
      </w:r>
      <w:r>
        <w:rPr>
          <w:rFonts w:hint="eastAsia"/>
          <w:rtl/>
        </w:rPr>
        <w:t>לישראל</w:t>
      </w:r>
      <w:r>
        <w:rPr>
          <w:rtl/>
        </w:rPr>
        <w:t xml:space="preserve"> </w:t>
      </w:r>
      <w:r>
        <w:rPr>
          <w:rFonts w:hint="eastAsia"/>
          <w:rtl/>
        </w:rPr>
        <w:t>ולהתקבל</w:t>
      </w:r>
      <w:r>
        <w:rPr>
          <w:rtl/>
        </w:rPr>
        <w:t xml:space="preserve"> </w:t>
      </w:r>
      <w:r>
        <w:rPr>
          <w:rFonts w:hint="eastAsia"/>
          <w:rtl/>
        </w:rPr>
        <w:t>בה</w:t>
      </w:r>
      <w:r>
        <w:rPr>
          <w:rtl/>
        </w:rPr>
        <w:t xml:space="preserve"> </w:t>
      </w:r>
      <w:r>
        <w:rPr>
          <w:rFonts w:hint="eastAsia"/>
          <w:rtl/>
        </w:rPr>
        <w:t>בזרועות</w:t>
      </w:r>
      <w:r>
        <w:rPr>
          <w:rtl/>
        </w:rPr>
        <w:t xml:space="preserve"> </w:t>
      </w:r>
      <w:r>
        <w:rPr>
          <w:rFonts w:hint="eastAsia"/>
          <w:rtl/>
        </w:rPr>
        <w:t>פתוחות</w:t>
      </w:r>
      <w:r>
        <w:rPr>
          <w:rtl/>
        </w:rPr>
        <w:t xml:space="preserve"> </w:t>
      </w:r>
      <w:r>
        <w:rPr>
          <w:rFonts w:hint="eastAsia"/>
          <w:rtl/>
        </w:rPr>
        <w:t>אף</w:t>
      </w:r>
      <w:r>
        <w:rPr>
          <w:rtl/>
        </w:rPr>
        <w:t xml:space="preserve"> </w:t>
      </w:r>
      <w:r>
        <w:rPr>
          <w:rFonts w:hint="eastAsia"/>
          <w:rtl/>
        </w:rPr>
        <w:t>אם</w:t>
      </w:r>
      <w:r>
        <w:rPr>
          <w:rtl/>
        </w:rPr>
        <w:t xml:space="preserve"> </w:t>
      </w:r>
      <w:r>
        <w:rPr>
          <w:rFonts w:hint="eastAsia"/>
          <w:rtl/>
        </w:rPr>
        <w:t>אינם</w:t>
      </w:r>
      <w:r>
        <w:rPr>
          <w:rtl/>
        </w:rPr>
        <w:t xml:space="preserve"> </w:t>
      </w:r>
      <w:r>
        <w:rPr>
          <w:rFonts w:hint="eastAsia"/>
          <w:rtl/>
        </w:rPr>
        <w:t>נחשבים</w:t>
      </w:r>
      <w:r>
        <w:rPr>
          <w:rtl/>
        </w:rPr>
        <w:t xml:space="preserve"> </w:t>
      </w:r>
      <w:r>
        <w:rPr>
          <w:rFonts w:hint="eastAsia"/>
          <w:rtl/>
        </w:rPr>
        <w:t>יהודים</w:t>
      </w:r>
      <w:r>
        <w:rPr>
          <w:rtl/>
        </w:rPr>
        <w:t xml:space="preserve"> </w:t>
      </w:r>
      <w:r>
        <w:rPr>
          <w:rFonts w:hint="eastAsia"/>
          <w:rtl/>
        </w:rPr>
        <w:t>על</w:t>
      </w:r>
      <w:r>
        <w:rPr>
          <w:rtl/>
        </w:rPr>
        <w:t>-</w:t>
      </w:r>
      <w:r>
        <w:rPr>
          <w:rFonts w:hint="eastAsia"/>
          <w:rtl/>
        </w:rPr>
        <w:t>פי</w:t>
      </w:r>
      <w:r>
        <w:rPr>
          <w:rtl/>
        </w:rPr>
        <w:t xml:space="preserve"> </w:t>
      </w:r>
      <w:r>
        <w:rPr>
          <w:rFonts w:hint="eastAsia"/>
          <w:rtl/>
        </w:rPr>
        <w:t>הגדרתו</w:t>
      </w:r>
      <w:r>
        <w:rPr>
          <w:rtl/>
        </w:rPr>
        <w:t xml:space="preserve"> </w:t>
      </w:r>
      <w:r>
        <w:rPr>
          <w:rFonts w:hint="eastAsia"/>
          <w:rtl/>
        </w:rPr>
        <w:t>של</w:t>
      </w:r>
      <w:r>
        <w:rPr>
          <w:rtl/>
        </w:rPr>
        <w:t xml:space="preserve"> </w:t>
      </w:r>
      <w:r>
        <w:rPr>
          <w:rFonts w:hint="eastAsia"/>
          <w:rtl/>
        </w:rPr>
        <w:t>סעיף</w:t>
      </w:r>
      <w:r>
        <w:rPr>
          <w:rtl/>
        </w:rPr>
        <w:t xml:space="preserve"> 4</w:t>
      </w:r>
      <w:r>
        <w:rPr>
          <w:rFonts w:hint="eastAsia"/>
          <w:rtl/>
        </w:rPr>
        <w:t>ב</w:t>
      </w:r>
      <w:r>
        <w:rPr>
          <w:rtl/>
        </w:rPr>
        <w:t xml:space="preserve"> </w:t>
      </w:r>
      <w:r>
        <w:rPr>
          <w:rFonts w:hint="eastAsia"/>
          <w:rtl/>
        </w:rPr>
        <w:t>לחוק</w:t>
      </w:r>
      <w:r>
        <w:rPr>
          <w:rtl/>
        </w:rPr>
        <w:t xml:space="preserve"> </w:t>
      </w:r>
      <w:r>
        <w:rPr>
          <w:rFonts w:hint="eastAsia"/>
          <w:rtl/>
        </w:rPr>
        <w:t>השבות</w:t>
      </w:r>
      <w:r>
        <w:rPr>
          <w:rtl/>
        </w:rPr>
        <w:t>.</w:t>
      </w:r>
      <w:r>
        <w:rPr>
          <w:rFonts w:hint="cs"/>
          <w:rtl/>
        </w:rPr>
        <w:t xml:space="preserve"> </w:t>
      </w:r>
      <w:r>
        <w:rPr>
          <w:rFonts w:hint="eastAsia"/>
          <w:rtl/>
        </w:rPr>
        <w:t>זאת</w:t>
      </w:r>
      <w:r>
        <w:rPr>
          <w:rtl/>
        </w:rPr>
        <w:t xml:space="preserve">, </w:t>
      </w:r>
      <w:r>
        <w:rPr>
          <w:rFonts w:hint="eastAsia"/>
          <w:rtl/>
        </w:rPr>
        <w:t>בתקווה</w:t>
      </w:r>
      <w:r>
        <w:rPr>
          <w:rtl/>
        </w:rPr>
        <w:t xml:space="preserve"> </w:t>
      </w:r>
      <w:r>
        <w:rPr>
          <w:rFonts w:hint="eastAsia"/>
          <w:rtl/>
        </w:rPr>
        <w:t>שיהפכו</w:t>
      </w:r>
      <w:r>
        <w:rPr>
          <w:rtl/>
        </w:rPr>
        <w:t xml:space="preserve"> </w:t>
      </w:r>
      <w:r>
        <w:rPr>
          <w:rFonts w:hint="eastAsia"/>
          <w:rtl/>
        </w:rPr>
        <w:t>להיות</w:t>
      </w:r>
      <w:r>
        <w:rPr>
          <w:rtl/>
        </w:rPr>
        <w:t xml:space="preserve"> </w:t>
      </w:r>
      <w:r>
        <w:rPr>
          <w:rFonts w:hint="eastAsia"/>
          <w:rtl/>
        </w:rPr>
        <w:t>חלק</w:t>
      </w:r>
      <w:r>
        <w:rPr>
          <w:rtl/>
        </w:rPr>
        <w:t xml:space="preserve"> </w:t>
      </w:r>
      <w:r>
        <w:rPr>
          <w:rFonts w:hint="eastAsia"/>
          <w:rtl/>
        </w:rPr>
        <w:t>מהעם</w:t>
      </w:r>
      <w:r>
        <w:rPr>
          <w:rtl/>
        </w:rPr>
        <w:t xml:space="preserve"> </w:t>
      </w:r>
      <w:r>
        <w:rPr>
          <w:rFonts w:hint="eastAsia"/>
          <w:rtl/>
        </w:rPr>
        <w:t>החי</w:t>
      </w:r>
      <w:r>
        <w:rPr>
          <w:rtl/>
        </w:rPr>
        <w:t xml:space="preserve"> </w:t>
      </w:r>
      <w:r>
        <w:rPr>
          <w:rFonts w:hint="eastAsia"/>
          <w:rtl/>
        </w:rPr>
        <w:t>בישראל</w:t>
      </w:r>
      <w:r>
        <w:rPr>
          <w:rtl/>
        </w:rPr>
        <w:t xml:space="preserve"> </w:t>
      </w:r>
      <w:r>
        <w:rPr>
          <w:rFonts w:hint="eastAsia"/>
          <w:rtl/>
        </w:rPr>
        <w:t>אליו</w:t>
      </w:r>
      <w:r>
        <w:rPr>
          <w:rtl/>
        </w:rPr>
        <w:t xml:space="preserve"> </w:t>
      </w:r>
      <w:r>
        <w:rPr>
          <w:rFonts w:hint="eastAsia"/>
          <w:rtl/>
        </w:rPr>
        <w:t>יש</w:t>
      </w:r>
      <w:r>
        <w:rPr>
          <w:rtl/>
        </w:rPr>
        <w:t xml:space="preserve"> </w:t>
      </w:r>
      <w:r>
        <w:rPr>
          <w:rFonts w:hint="eastAsia"/>
          <w:rtl/>
        </w:rPr>
        <w:t>להם</w:t>
      </w:r>
      <w:r>
        <w:rPr>
          <w:rtl/>
        </w:rPr>
        <w:t xml:space="preserve"> </w:t>
      </w:r>
      <w:r>
        <w:rPr>
          <w:rFonts w:hint="eastAsia"/>
          <w:rtl/>
        </w:rPr>
        <w:t>זיקה</w:t>
      </w:r>
      <w:r>
        <w:rPr>
          <w:rtl/>
        </w:rPr>
        <w:t xml:space="preserve"> </w:t>
      </w:r>
      <w:r>
        <w:rPr>
          <w:rFonts w:hint="eastAsia"/>
          <w:rtl/>
        </w:rPr>
        <w:t>רבה</w:t>
      </w:r>
      <w:r>
        <w:rPr>
          <w:rtl/>
        </w:rPr>
        <w:t xml:space="preserve">, </w:t>
      </w:r>
      <w:r>
        <w:rPr>
          <w:rFonts w:hint="eastAsia"/>
          <w:rtl/>
        </w:rPr>
        <w:t>בין</w:t>
      </w:r>
      <w:r>
        <w:rPr>
          <w:rtl/>
        </w:rPr>
        <w:t xml:space="preserve"> </w:t>
      </w:r>
      <w:r>
        <w:rPr>
          <w:rFonts w:hint="eastAsia"/>
          <w:rtl/>
        </w:rPr>
        <w:t>בשל</w:t>
      </w:r>
      <w:r>
        <w:rPr>
          <w:rtl/>
        </w:rPr>
        <w:t xml:space="preserve"> </w:t>
      </w:r>
      <w:r>
        <w:rPr>
          <w:rFonts w:hint="eastAsia"/>
          <w:rtl/>
        </w:rPr>
        <w:t>היותם</w:t>
      </w:r>
      <w:r>
        <w:rPr>
          <w:rtl/>
        </w:rPr>
        <w:t xml:space="preserve"> </w:t>
      </w:r>
      <w:r>
        <w:rPr>
          <w:rFonts w:hint="eastAsia"/>
          <w:rtl/>
        </w:rPr>
        <w:t>נשואים</w:t>
      </w:r>
      <w:r>
        <w:rPr>
          <w:rtl/>
        </w:rPr>
        <w:t xml:space="preserve"> </w:t>
      </w:r>
      <w:r>
        <w:rPr>
          <w:rFonts w:hint="eastAsia"/>
          <w:rtl/>
        </w:rPr>
        <w:t>ליהודי</w:t>
      </w:r>
      <w:r>
        <w:rPr>
          <w:rtl/>
        </w:rPr>
        <w:t xml:space="preserve"> </w:t>
      </w:r>
      <w:r>
        <w:rPr>
          <w:rFonts w:hint="eastAsia"/>
          <w:rtl/>
        </w:rPr>
        <w:t>או</w:t>
      </w:r>
      <w:r>
        <w:rPr>
          <w:rtl/>
        </w:rPr>
        <w:t xml:space="preserve"> </w:t>
      </w:r>
      <w:r>
        <w:rPr>
          <w:rFonts w:hint="eastAsia"/>
          <w:rtl/>
        </w:rPr>
        <w:t>יהודיה</w:t>
      </w:r>
      <w:r>
        <w:rPr>
          <w:rtl/>
        </w:rPr>
        <w:t xml:space="preserve">, </w:t>
      </w:r>
      <w:r>
        <w:rPr>
          <w:rFonts w:hint="eastAsia"/>
          <w:rtl/>
        </w:rPr>
        <w:t>בין</w:t>
      </w:r>
      <w:r>
        <w:rPr>
          <w:rtl/>
        </w:rPr>
        <w:t xml:space="preserve"> </w:t>
      </w:r>
      <w:r>
        <w:rPr>
          <w:rFonts w:hint="eastAsia"/>
          <w:rtl/>
        </w:rPr>
        <w:t>בשל</w:t>
      </w:r>
      <w:r>
        <w:rPr>
          <w:rtl/>
        </w:rPr>
        <w:t xml:space="preserve"> </w:t>
      </w:r>
      <w:r>
        <w:rPr>
          <w:rFonts w:hint="eastAsia"/>
          <w:rtl/>
        </w:rPr>
        <w:t>היותם</w:t>
      </w:r>
      <w:r>
        <w:rPr>
          <w:rtl/>
        </w:rPr>
        <w:t xml:space="preserve"> </w:t>
      </w:r>
      <w:r>
        <w:rPr>
          <w:rFonts w:hint="eastAsia"/>
          <w:rtl/>
        </w:rPr>
        <w:t>מצאצאיו</w:t>
      </w:r>
      <w:r>
        <w:rPr>
          <w:rtl/>
        </w:rPr>
        <w:t xml:space="preserve"> </w:t>
      </w:r>
      <w:r>
        <w:rPr>
          <w:rFonts w:hint="eastAsia"/>
          <w:rtl/>
        </w:rPr>
        <w:t>של</w:t>
      </w:r>
      <w:r>
        <w:rPr>
          <w:rtl/>
        </w:rPr>
        <w:t xml:space="preserve"> </w:t>
      </w:r>
      <w:r>
        <w:rPr>
          <w:rFonts w:hint="eastAsia"/>
          <w:rtl/>
        </w:rPr>
        <w:t>יהודי</w:t>
      </w:r>
      <w:r>
        <w:rPr>
          <w:rtl/>
        </w:rPr>
        <w:t xml:space="preserve"> </w:t>
      </w:r>
      <w:r>
        <w:rPr>
          <w:rFonts w:hint="eastAsia"/>
          <w:rtl/>
        </w:rPr>
        <w:t>או</w:t>
      </w:r>
      <w:r>
        <w:rPr>
          <w:rtl/>
        </w:rPr>
        <w:t xml:space="preserve"> </w:t>
      </w:r>
      <w:r>
        <w:rPr>
          <w:rFonts w:hint="eastAsia"/>
          <w:rtl/>
        </w:rPr>
        <w:t>יהודיה</w:t>
      </w:r>
      <w:r>
        <w:rPr>
          <w:rtl/>
        </w:rPr>
        <w:t xml:space="preserve">. </w:t>
      </w:r>
      <w:r>
        <w:rPr>
          <w:rFonts w:hint="eastAsia"/>
          <w:rtl/>
        </w:rPr>
        <w:t>לפיכך</w:t>
      </w:r>
      <w:r>
        <w:rPr>
          <w:rtl/>
        </w:rPr>
        <w:t xml:space="preserve"> </w:t>
      </w:r>
      <w:r>
        <w:rPr>
          <w:rFonts w:hint="eastAsia"/>
          <w:rtl/>
        </w:rPr>
        <w:t>נאמר</w:t>
      </w:r>
      <w:r>
        <w:rPr>
          <w:rtl/>
        </w:rPr>
        <w:t xml:space="preserve"> </w:t>
      </w:r>
      <w:r>
        <w:rPr>
          <w:rFonts w:hint="eastAsia"/>
          <w:rtl/>
        </w:rPr>
        <w:t>על</w:t>
      </w:r>
      <w:r>
        <w:rPr>
          <w:rtl/>
        </w:rPr>
        <w:t xml:space="preserve"> </w:t>
      </w:r>
      <w:r>
        <w:rPr>
          <w:rFonts w:hint="eastAsia"/>
          <w:rtl/>
        </w:rPr>
        <w:t>אותם</w:t>
      </w:r>
      <w:r>
        <w:rPr>
          <w:rtl/>
        </w:rPr>
        <w:t xml:space="preserve"> </w:t>
      </w:r>
      <w:r>
        <w:rPr>
          <w:rFonts w:hint="eastAsia"/>
          <w:rtl/>
        </w:rPr>
        <w:t>בני</w:t>
      </w:r>
      <w:r>
        <w:rPr>
          <w:rtl/>
        </w:rPr>
        <w:t xml:space="preserve"> </w:t>
      </w:r>
      <w:r>
        <w:rPr>
          <w:rFonts w:hint="eastAsia"/>
          <w:rtl/>
        </w:rPr>
        <w:t>משפחה</w:t>
      </w:r>
      <w:r>
        <w:rPr>
          <w:rtl/>
        </w:rPr>
        <w:t xml:space="preserve"> </w:t>
      </w:r>
      <w:r>
        <w:rPr>
          <w:rFonts w:hint="eastAsia"/>
          <w:rtl/>
        </w:rPr>
        <w:t>כי</w:t>
      </w:r>
      <w:r>
        <w:rPr>
          <w:rtl/>
        </w:rPr>
        <w:t xml:space="preserve"> </w:t>
      </w:r>
      <w:r>
        <w:rPr>
          <w:rFonts w:hint="cs"/>
          <w:rtl/>
        </w:rPr>
        <w:t>'</w:t>
      </w:r>
      <w:r>
        <w:rPr>
          <w:rFonts w:hint="eastAsia"/>
          <w:rtl/>
        </w:rPr>
        <w:t>רואים</w:t>
      </w:r>
      <w:r>
        <w:rPr>
          <w:rtl/>
        </w:rPr>
        <w:t xml:space="preserve"> </w:t>
      </w:r>
      <w:r>
        <w:rPr>
          <w:rFonts w:hint="eastAsia"/>
          <w:rtl/>
        </w:rPr>
        <w:t>אותם</w:t>
      </w:r>
      <w:r>
        <w:rPr>
          <w:rtl/>
        </w:rPr>
        <w:t xml:space="preserve">, </w:t>
      </w:r>
      <w:r>
        <w:rPr>
          <w:rFonts w:hint="eastAsia"/>
          <w:rtl/>
        </w:rPr>
        <w:t>במובנים</w:t>
      </w:r>
      <w:r>
        <w:rPr>
          <w:rtl/>
        </w:rPr>
        <w:t xml:space="preserve"> </w:t>
      </w:r>
      <w:r>
        <w:rPr>
          <w:rFonts w:hint="eastAsia"/>
          <w:rtl/>
        </w:rPr>
        <w:t>מסויימים</w:t>
      </w:r>
      <w:r>
        <w:rPr>
          <w:rtl/>
        </w:rPr>
        <w:t xml:space="preserve">, </w:t>
      </w:r>
      <w:r>
        <w:rPr>
          <w:rFonts w:hint="eastAsia"/>
          <w:rtl/>
        </w:rPr>
        <w:t>כמי</w:t>
      </w:r>
      <w:r>
        <w:rPr>
          <w:rtl/>
        </w:rPr>
        <w:t xml:space="preserve"> </w:t>
      </w:r>
      <w:r>
        <w:rPr>
          <w:rFonts w:hint="eastAsia"/>
          <w:rtl/>
        </w:rPr>
        <w:t>שסיפחו</w:t>
      </w:r>
      <w:r>
        <w:rPr>
          <w:rtl/>
        </w:rPr>
        <w:t xml:space="preserve"> </w:t>
      </w:r>
      <w:r>
        <w:rPr>
          <w:rFonts w:hint="eastAsia"/>
          <w:rtl/>
        </w:rPr>
        <w:t>עצמם</w:t>
      </w:r>
      <w:r>
        <w:rPr>
          <w:rtl/>
        </w:rPr>
        <w:t xml:space="preserve"> </w:t>
      </w:r>
      <w:r>
        <w:rPr>
          <w:rFonts w:hint="eastAsia"/>
          <w:rtl/>
        </w:rPr>
        <w:t>לעם</w:t>
      </w:r>
      <w:r>
        <w:rPr>
          <w:rtl/>
        </w:rPr>
        <w:t xml:space="preserve"> </w:t>
      </w:r>
      <w:r>
        <w:rPr>
          <w:rFonts w:hint="eastAsia"/>
          <w:rtl/>
        </w:rPr>
        <w:t>היהודי</w:t>
      </w:r>
      <w:r>
        <w:rPr>
          <w:rtl/>
        </w:rPr>
        <w:t xml:space="preserve">, </w:t>
      </w:r>
      <w:r>
        <w:rPr>
          <w:rFonts w:hint="eastAsia"/>
          <w:rtl/>
        </w:rPr>
        <w:t>ועל</w:t>
      </w:r>
      <w:r>
        <w:rPr>
          <w:rtl/>
        </w:rPr>
        <w:t>-</w:t>
      </w:r>
      <w:r>
        <w:rPr>
          <w:rFonts w:hint="eastAsia"/>
          <w:rtl/>
        </w:rPr>
        <w:t>כן</w:t>
      </w:r>
      <w:r>
        <w:rPr>
          <w:rtl/>
        </w:rPr>
        <w:t xml:space="preserve"> </w:t>
      </w:r>
      <w:r>
        <w:rPr>
          <w:rFonts w:hint="eastAsia"/>
          <w:rtl/>
        </w:rPr>
        <w:t>מקנה</w:t>
      </w:r>
      <w:r>
        <w:rPr>
          <w:rtl/>
        </w:rPr>
        <w:t xml:space="preserve"> </w:t>
      </w:r>
      <w:r>
        <w:rPr>
          <w:rFonts w:hint="eastAsia"/>
          <w:rtl/>
        </w:rPr>
        <w:t>להם</w:t>
      </w:r>
      <w:r>
        <w:rPr>
          <w:rtl/>
        </w:rPr>
        <w:t xml:space="preserve"> </w:t>
      </w:r>
      <w:r>
        <w:rPr>
          <w:rFonts w:hint="eastAsia"/>
          <w:rtl/>
        </w:rPr>
        <w:t>החוק</w:t>
      </w:r>
      <w:r>
        <w:rPr>
          <w:rtl/>
        </w:rPr>
        <w:t xml:space="preserve"> </w:t>
      </w:r>
      <w:r>
        <w:rPr>
          <w:rFonts w:hint="eastAsia"/>
          <w:rtl/>
        </w:rPr>
        <w:t>זכויות</w:t>
      </w:r>
      <w:r>
        <w:rPr>
          <w:rtl/>
        </w:rPr>
        <w:t xml:space="preserve"> </w:t>
      </w:r>
      <w:r>
        <w:rPr>
          <w:rFonts w:hint="eastAsia"/>
          <w:rtl/>
        </w:rPr>
        <w:t>עצמאיות</w:t>
      </w:r>
      <w:r>
        <w:rPr>
          <w:rtl/>
        </w:rPr>
        <w:t xml:space="preserve"> </w:t>
      </w:r>
      <w:r>
        <w:rPr>
          <w:rFonts w:hint="eastAsia"/>
          <w:rtl/>
        </w:rPr>
        <w:t>משלהם</w:t>
      </w:r>
      <w:r>
        <w:rPr>
          <w:rtl/>
        </w:rPr>
        <w:t xml:space="preserve">; </w:t>
      </w:r>
      <w:r>
        <w:rPr>
          <w:rFonts w:hint="eastAsia"/>
          <w:rtl/>
        </w:rPr>
        <w:t>זכאים</w:t>
      </w:r>
      <w:r>
        <w:rPr>
          <w:rtl/>
        </w:rPr>
        <w:t xml:space="preserve"> </w:t>
      </w:r>
      <w:r>
        <w:rPr>
          <w:rFonts w:hint="eastAsia"/>
          <w:rtl/>
        </w:rPr>
        <w:t>הם</w:t>
      </w:r>
      <w:r>
        <w:rPr>
          <w:rtl/>
        </w:rPr>
        <w:t xml:space="preserve"> </w:t>
      </w:r>
      <w:r>
        <w:rPr>
          <w:rFonts w:hint="eastAsia"/>
          <w:rtl/>
        </w:rPr>
        <w:t>לזכויות</w:t>
      </w:r>
      <w:r>
        <w:rPr>
          <w:rtl/>
        </w:rPr>
        <w:t xml:space="preserve"> </w:t>
      </w:r>
      <w:r>
        <w:rPr>
          <w:rFonts w:hint="eastAsia"/>
          <w:rtl/>
        </w:rPr>
        <w:t>עולה</w:t>
      </w:r>
      <w:r>
        <w:rPr>
          <w:rtl/>
        </w:rPr>
        <w:t xml:space="preserve"> </w:t>
      </w:r>
      <w:r>
        <w:rPr>
          <w:rFonts w:hint="eastAsia"/>
          <w:rtl/>
        </w:rPr>
        <w:t>גם</w:t>
      </w:r>
      <w:r>
        <w:rPr>
          <w:rtl/>
        </w:rPr>
        <w:t xml:space="preserve"> </w:t>
      </w:r>
      <w:r>
        <w:rPr>
          <w:rFonts w:hint="eastAsia"/>
          <w:rtl/>
        </w:rPr>
        <w:t>אם</w:t>
      </w:r>
      <w:r>
        <w:rPr>
          <w:rtl/>
        </w:rPr>
        <w:t xml:space="preserve"> </w:t>
      </w:r>
      <w:r>
        <w:rPr>
          <w:rFonts w:hint="eastAsia"/>
          <w:rtl/>
        </w:rPr>
        <w:t>עולים</w:t>
      </w:r>
      <w:r>
        <w:rPr>
          <w:rtl/>
        </w:rPr>
        <w:t xml:space="preserve"> </w:t>
      </w:r>
      <w:r>
        <w:rPr>
          <w:rFonts w:hint="eastAsia"/>
          <w:rtl/>
        </w:rPr>
        <w:t>הם</w:t>
      </w:r>
      <w:r>
        <w:rPr>
          <w:rtl/>
        </w:rPr>
        <w:t xml:space="preserve"> </w:t>
      </w:r>
      <w:r>
        <w:rPr>
          <w:rFonts w:hint="eastAsia"/>
          <w:rtl/>
        </w:rPr>
        <w:t>ארצה</w:t>
      </w:r>
      <w:r>
        <w:rPr>
          <w:rtl/>
        </w:rPr>
        <w:t xml:space="preserve">, </w:t>
      </w:r>
      <w:r>
        <w:rPr>
          <w:rFonts w:hint="eastAsia"/>
          <w:rtl/>
        </w:rPr>
        <w:t>בלא</w:t>
      </w:r>
      <w:r>
        <w:rPr>
          <w:rtl/>
        </w:rPr>
        <w:t xml:space="preserve"> </w:t>
      </w:r>
      <w:r>
        <w:rPr>
          <w:rFonts w:hint="eastAsia"/>
          <w:rtl/>
        </w:rPr>
        <w:t>היהודי</w:t>
      </w:r>
      <w:r>
        <w:rPr>
          <w:rtl/>
        </w:rPr>
        <w:t xml:space="preserve"> (</w:t>
      </w:r>
      <w:r>
        <w:rPr>
          <w:rFonts w:hint="eastAsia"/>
          <w:rtl/>
        </w:rPr>
        <w:t>מקור</w:t>
      </w:r>
      <w:r>
        <w:rPr>
          <w:rtl/>
        </w:rPr>
        <w:t xml:space="preserve"> </w:t>
      </w:r>
      <w:r>
        <w:rPr>
          <w:rFonts w:hint="eastAsia"/>
          <w:rtl/>
        </w:rPr>
        <w:t>הזכויות</w:t>
      </w:r>
      <w:r>
        <w:rPr>
          <w:rtl/>
        </w:rPr>
        <w:t xml:space="preserve">) – </w:t>
      </w:r>
      <w:r>
        <w:rPr>
          <w:rFonts w:hint="eastAsia"/>
          <w:rtl/>
        </w:rPr>
        <w:t>בין</w:t>
      </w:r>
      <w:r>
        <w:rPr>
          <w:rtl/>
        </w:rPr>
        <w:t xml:space="preserve"> </w:t>
      </w:r>
      <w:r>
        <w:rPr>
          <w:rFonts w:hint="eastAsia"/>
          <w:rtl/>
        </w:rPr>
        <w:t>שאותו</w:t>
      </w:r>
      <w:r>
        <w:rPr>
          <w:rtl/>
        </w:rPr>
        <w:t xml:space="preserve"> </w:t>
      </w:r>
      <w:r>
        <w:rPr>
          <w:rFonts w:hint="eastAsia"/>
          <w:rtl/>
        </w:rPr>
        <w:t>יהודי</w:t>
      </w:r>
      <w:r>
        <w:rPr>
          <w:rtl/>
        </w:rPr>
        <w:t xml:space="preserve"> </w:t>
      </w:r>
      <w:r>
        <w:rPr>
          <w:rFonts w:hint="eastAsia"/>
          <w:rtl/>
        </w:rPr>
        <w:t>עלה</w:t>
      </w:r>
      <w:r>
        <w:rPr>
          <w:rtl/>
        </w:rPr>
        <w:t xml:space="preserve"> </w:t>
      </w:r>
      <w:r>
        <w:rPr>
          <w:rFonts w:hint="eastAsia"/>
          <w:rtl/>
        </w:rPr>
        <w:t>ארצה</w:t>
      </w:r>
      <w:r>
        <w:rPr>
          <w:rtl/>
        </w:rPr>
        <w:t xml:space="preserve"> </w:t>
      </w:r>
      <w:r>
        <w:rPr>
          <w:rFonts w:hint="eastAsia"/>
          <w:rtl/>
        </w:rPr>
        <w:t>בין</w:t>
      </w:r>
      <w:r>
        <w:rPr>
          <w:rtl/>
        </w:rPr>
        <w:t xml:space="preserve"> </w:t>
      </w:r>
      <w:r>
        <w:rPr>
          <w:rFonts w:hint="eastAsia"/>
          <w:rtl/>
        </w:rPr>
        <w:t>אם</w:t>
      </w:r>
      <w:r>
        <w:rPr>
          <w:rtl/>
        </w:rPr>
        <w:t xml:space="preserve"> </w:t>
      </w:r>
      <w:r>
        <w:rPr>
          <w:rFonts w:hint="eastAsia"/>
          <w:rtl/>
        </w:rPr>
        <w:t>לאו</w:t>
      </w:r>
      <w:r>
        <w:rPr>
          <w:rtl/>
        </w:rPr>
        <w:t xml:space="preserve"> – </w:t>
      </w:r>
      <w:r>
        <w:rPr>
          <w:rFonts w:hint="eastAsia"/>
          <w:rtl/>
        </w:rPr>
        <w:t>וגם</w:t>
      </w:r>
      <w:r>
        <w:rPr>
          <w:rtl/>
        </w:rPr>
        <w:t xml:space="preserve"> </w:t>
      </w:r>
      <w:r>
        <w:rPr>
          <w:rFonts w:hint="eastAsia"/>
          <w:rtl/>
        </w:rPr>
        <w:t>אם</w:t>
      </w:r>
      <w:r>
        <w:rPr>
          <w:rtl/>
        </w:rPr>
        <w:t xml:space="preserve"> </w:t>
      </w:r>
      <w:r>
        <w:rPr>
          <w:rFonts w:hint="eastAsia"/>
          <w:rtl/>
        </w:rPr>
        <w:t>אותו</w:t>
      </w:r>
      <w:r>
        <w:rPr>
          <w:rFonts w:hint="cs"/>
          <w:rtl/>
        </w:rPr>
        <w:t xml:space="preserve"> </w:t>
      </w:r>
      <w:r>
        <w:rPr>
          <w:rFonts w:hint="eastAsia"/>
          <w:rtl/>
        </w:rPr>
        <w:t>יהודי</w:t>
      </w:r>
      <w:r>
        <w:rPr>
          <w:rtl/>
        </w:rPr>
        <w:t xml:space="preserve"> </w:t>
      </w:r>
      <w:r>
        <w:rPr>
          <w:rFonts w:hint="eastAsia"/>
          <w:rtl/>
        </w:rPr>
        <w:t>אינו</w:t>
      </w:r>
      <w:r>
        <w:rPr>
          <w:rtl/>
        </w:rPr>
        <w:t xml:space="preserve"> </w:t>
      </w:r>
      <w:r>
        <w:rPr>
          <w:rFonts w:hint="eastAsia"/>
          <w:rtl/>
        </w:rPr>
        <w:t>עוד</w:t>
      </w:r>
      <w:r>
        <w:rPr>
          <w:rtl/>
        </w:rPr>
        <w:t xml:space="preserve"> </w:t>
      </w:r>
      <w:r>
        <w:rPr>
          <w:rFonts w:hint="eastAsia"/>
          <w:rtl/>
        </w:rPr>
        <w:t>בין</w:t>
      </w:r>
      <w:r>
        <w:rPr>
          <w:rtl/>
        </w:rPr>
        <w:t xml:space="preserve"> </w:t>
      </w:r>
      <w:r>
        <w:rPr>
          <w:rFonts w:hint="eastAsia"/>
          <w:rtl/>
        </w:rPr>
        <w:t>החיים</w:t>
      </w:r>
      <w:r>
        <w:rPr>
          <w:rFonts w:hint="cs"/>
          <w:rtl/>
        </w:rPr>
        <w:t>'" (שם, פסקה 29).</w:t>
      </w:r>
      <w:r>
        <w:rPr>
          <w:rtl/>
        </w:rPr>
        <w:t xml:space="preserve"> </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אין לכחד, לצד התכלית האמורה, הרחבת מעגל הזכאים מקדמת גם תכליות נוספות, כגון </w:t>
      </w:r>
      <w:r>
        <w:rPr>
          <w:rFonts w:hint="eastAsia"/>
          <w:rtl/>
        </w:rPr>
        <w:t>השוואת</w:t>
      </w:r>
      <w:r>
        <w:rPr>
          <w:rtl/>
        </w:rPr>
        <w:t xml:space="preserve"> </w:t>
      </w:r>
      <w:r>
        <w:rPr>
          <w:rFonts w:hint="eastAsia"/>
          <w:rtl/>
        </w:rPr>
        <w:t>הסטטוס</w:t>
      </w:r>
      <w:r>
        <w:rPr>
          <w:rtl/>
        </w:rPr>
        <w:t xml:space="preserve"> </w:t>
      </w:r>
      <w:r>
        <w:rPr>
          <w:rFonts w:hint="eastAsia"/>
          <w:rtl/>
        </w:rPr>
        <w:t>של</w:t>
      </w:r>
      <w:r>
        <w:rPr>
          <w:rtl/>
        </w:rPr>
        <w:t xml:space="preserve"> </w:t>
      </w:r>
      <w:r>
        <w:rPr>
          <w:rFonts w:hint="eastAsia"/>
          <w:rtl/>
        </w:rPr>
        <w:t>בני</w:t>
      </w:r>
      <w:r>
        <w:rPr>
          <w:rtl/>
        </w:rPr>
        <w:t xml:space="preserve"> </w:t>
      </w:r>
      <w:r>
        <w:rPr>
          <w:rFonts w:hint="eastAsia"/>
          <w:rtl/>
        </w:rPr>
        <w:t>משפחה</w:t>
      </w:r>
      <w:r>
        <w:rPr>
          <w:rtl/>
        </w:rPr>
        <w:t xml:space="preserve"> </w:t>
      </w:r>
      <w:r>
        <w:rPr>
          <w:rFonts w:hint="eastAsia"/>
          <w:rtl/>
        </w:rPr>
        <w:t>מעורבת</w:t>
      </w:r>
      <w:r>
        <w:rPr>
          <w:rtl/>
        </w:rPr>
        <w:t xml:space="preserve"> </w:t>
      </w:r>
      <w:r>
        <w:rPr>
          <w:rFonts w:hint="eastAsia"/>
          <w:rtl/>
        </w:rPr>
        <w:t>שעולים</w:t>
      </w:r>
      <w:r>
        <w:rPr>
          <w:rtl/>
        </w:rPr>
        <w:t xml:space="preserve"> </w:t>
      </w:r>
      <w:r>
        <w:rPr>
          <w:rFonts w:hint="eastAsia"/>
          <w:rtl/>
        </w:rPr>
        <w:t>לישראל</w:t>
      </w:r>
      <w:r>
        <w:rPr>
          <w:rtl/>
        </w:rPr>
        <w:t xml:space="preserve"> </w:t>
      </w:r>
      <w:r>
        <w:rPr>
          <w:rFonts w:hint="cs"/>
          <w:rtl/>
        </w:rPr>
        <w:t>מ</w:t>
      </w:r>
      <w:r>
        <w:rPr>
          <w:rFonts w:hint="eastAsia"/>
          <w:rtl/>
        </w:rPr>
        <w:t>בלי</w:t>
      </w:r>
      <w:r>
        <w:rPr>
          <w:rtl/>
        </w:rPr>
        <w:t xml:space="preserve"> </w:t>
      </w:r>
      <w:r>
        <w:rPr>
          <w:rFonts w:hint="eastAsia"/>
          <w:rtl/>
        </w:rPr>
        <w:t>שחלק</w:t>
      </w:r>
      <w:r>
        <w:rPr>
          <w:rtl/>
        </w:rPr>
        <w:t xml:space="preserve"> </w:t>
      </w:r>
      <w:r>
        <w:rPr>
          <w:rFonts w:hint="eastAsia"/>
          <w:rtl/>
        </w:rPr>
        <w:t>מבני</w:t>
      </w:r>
      <w:r>
        <w:rPr>
          <w:rtl/>
        </w:rPr>
        <w:t xml:space="preserve"> </w:t>
      </w:r>
      <w:r>
        <w:rPr>
          <w:rFonts w:hint="eastAsia"/>
          <w:rtl/>
        </w:rPr>
        <w:t>המשפחה</w:t>
      </w:r>
      <w:r>
        <w:rPr>
          <w:rtl/>
        </w:rPr>
        <w:t xml:space="preserve"> </w:t>
      </w:r>
      <w:r>
        <w:rPr>
          <w:rFonts w:hint="eastAsia"/>
          <w:rtl/>
        </w:rPr>
        <w:t>ידרשו</w:t>
      </w:r>
      <w:r>
        <w:rPr>
          <w:rtl/>
        </w:rPr>
        <w:t xml:space="preserve"> </w:t>
      </w:r>
      <w:r>
        <w:rPr>
          <w:rFonts w:hint="eastAsia"/>
          <w:rtl/>
        </w:rPr>
        <w:t>לעמוד</w:t>
      </w:r>
      <w:r>
        <w:rPr>
          <w:rtl/>
        </w:rPr>
        <w:t xml:space="preserve"> </w:t>
      </w:r>
      <w:r>
        <w:rPr>
          <w:rFonts w:hint="eastAsia"/>
          <w:rtl/>
        </w:rPr>
        <w:t>במבחני</w:t>
      </w:r>
      <w:r>
        <w:rPr>
          <w:rtl/>
        </w:rPr>
        <w:t xml:space="preserve"> </w:t>
      </w:r>
      <w:r>
        <w:rPr>
          <w:rFonts w:hint="eastAsia"/>
          <w:rtl/>
        </w:rPr>
        <w:t>חוק</w:t>
      </w:r>
      <w:r>
        <w:rPr>
          <w:rtl/>
        </w:rPr>
        <w:t xml:space="preserve"> </w:t>
      </w:r>
      <w:r>
        <w:rPr>
          <w:rFonts w:hint="eastAsia"/>
          <w:rtl/>
        </w:rPr>
        <w:t>האזרחות</w:t>
      </w:r>
      <w:r>
        <w:rPr>
          <w:rtl/>
        </w:rPr>
        <w:t xml:space="preserve"> </w:t>
      </w:r>
      <w:r>
        <w:rPr>
          <w:rFonts w:hint="eastAsia"/>
          <w:rtl/>
        </w:rPr>
        <w:t>בעוד</w:t>
      </w:r>
      <w:r>
        <w:rPr>
          <w:rtl/>
        </w:rPr>
        <w:t xml:space="preserve"> </w:t>
      </w:r>
      <w:r>
        <w:rPr>
          <w:rFonts w:hint="eastAsia"/>
          <w:rtl/>
        </w:rPr>
        <w:t>האחרים</w:t>
      </w:r>
      <w:r>
        <w:rPr>
          <w:rtl/>
        </w:rPr>
        <w:t xml:space="preserve"> </w:t>
      </w:r>
      <w:r>
        <w:rPr>
          <w:rFonts w:hint="eastAsia"/>
          <w:rtl/>
        </w:rPr>
        <w:t>יקבלו</w:t>
      </w:r>
      <w:r>
        <w:rPr>
          <w:rtl/>
        </w:rPr>
        <w:t xml:space="preserve"> </w:t>
      </w:r>
      <w:r>
        <w:rPr>
          <w:rFonts w:hint="eastAsia"/>
          <w:rtl/>
        </w:rPr>
        <w:t>מעמד</w:t>
      </w:r>
      <w:r>
        <w:rPr>
          <w:rtl/>
        </w:rPr>
        <w:t xml:space="preserve"> </w:t>
      </w:r>
      <w:r>
        <w:rPr>
          <w:rFonts w:hint="eastAsia"/>
          <w:rtl/>
        </w:rPr>
        <w:t>אוטומטי</w:t>
      </w:r>
      <w:r>
        <w:rPr>
          <w:rFonts w:hint="cs"/>
          <w:rtl/>
        </w:rPr>
        <w:t>,</w:t>
      </w:r>
      <w:r>
        <w:rPr>
          <w:rtl/>
        </w:rPr>
        <w:t xml:space="preserve"> </w:t>
      </w:r>
      <w:r>
        <w:rPr>
          <w:rFonts w:hint="eastAsia"/>
          <w:rtl/>
        </w:rPr>
        <w:t>איחוד</w:t>
      </w:r>
      <w:r>
        <w:rPr>
          <w:rtl/>
        </w:rPr>
        <w:t xml:space="preserve"> </w:t>
      </w:r>
      <w:r>
        <w:rPr>
          <w:rFonts w:hint="eastAsia"/>
          <w:rtl/>
        </w:rPr>
        <w:t>משפחות</w:t>
      </w:r>
      <w:r>
        <w:rPr>
          <w:rtl/>
        </w:rPr>
        <w:t xml:space="preserve"> </w:t>
      </w:r>
      <w:r>
        <w:rPr>
          <w:rFonts w:hint="eastAsia"/>
          <w:rtl/>
        </w:rPr>
        <w:t>והגשמת</w:t>
      </w:r>
      <w:r>
        <w:rPr>
          <w:rtl/>
        </w:rPr>
        <w:t xml:space="preserve"> </w:t>
      </w:r>
      <w:r>
        <w:rPr>
          <w:rFonts w:hint="eastAsia"/>
          <w:rtl/>
        </w:rPr>
        <w:t>הזכות</w:t>
      </w:r>
      <w:r>
        <w:rPr>
          <w:rtl/>
        </w:rPr>
        <w:t xml:space="preserve"> </w:t>
      </w:r>
      <w:r>
        <w:rPr>
          <w:rFonts w:hint="eastAsia"/>
          <w:rtl/>
        </w:rPr>
        <w:t>לחיי</w:t>
      </w:r>
      <w:r>
        <w:rPr>
          <w:rtl/>
        </w:rPr>
        <w:t xml:space="preserve"> </w:t>
      </w:r>
      <w:r>
        <w:rPr>
          <w:rFonts w:hint="eastAsia"/>
          <w:rtl/>
        </w:rPr>
        <w:t>משפחה</w:t>
      </w:r>
      <w:r>
        <w:rPr>
          <w:rtl/>
        </w:rPr>
        <w:t xml:space="preserve"> </w:t>
      </w:r>
      <w:r>
        <w:rPr>
          <w:rFonts w:hint="eastAsia"/>
          <w:rtl/>
        </w:rPr>
        <w:t>משותפים</w:t>
      </w:r>
      <w:r>
        <w:rPr>
          <w:rFonts w:hint="cs"/>
          <w:rtl/>
        </w:rPr>
        <w:t xml:space="preserve"> (עניין </w:t>
      </w:r>
      <w:r w:rsidRPr="00B36415">
        <w:rPr>
          <w:rFonts w:ascii="Century" w:hAnsi="Century" w:cs="Miriam" w:hint="cs"/>
          <w:b/>
          <w:spacing w:val="0"/>
          <w:sz w:val="22"/>
          <w:szCs w:val="24"/>
          <w:rtl/>
        </w:rPr>
        <w:t>גורודצקי</w:t>
      </w:r>
      <w:r>
        <w:rPr>
          <w:rFonts w:hint="cs"/>
          <w:rtl/>
        </w:rPr>
        <w:t xml:space="preserve">, פסקה 33; ראו גם עניין </w:t>
      </w:r>
      <w:r w:rsidRPr="00DC2331">
        <w:rPr>
          <w:rFonts w:ascii="Century" w:hAnsi="Century" w:cs="Miriam" w:hint="eastAsia"/>
          <w:b/>
          <w:spacing w:val="0"/>
          <w:szCs w:val="24"/>
          <w:rtl/>
        </w:rPr>
        <w:t>פוזרסקי</w:t>
      </w:r>
      <w:r>
        <w:rPr>
          <w:rFonts w:hint="cs"/>
          <w:rtl/>
        </w:rPr>
        <w:t xml:space="preserve">, פסקה 25). עם זאת, כפי הובהר והודגש לא פעם בפסיקתנו </w:t>
      </w:r>
      <w:r>
        <w:rPr>
          <w:rtl/>
        </w:rPr>
        <w:t>–</w:t>
      </w:r>
      <w:r>
        <w:rPr>
          <w:rFonts w:hint="cs"/>
          <w:rtl/>
        </w:rPr>
        <w:t xml:space="preserve"> ועל כך עמדו גם חבריי השופטים </w:t>
      </w:r>
      <w:r w:rsidRPr="00DC2331">
        <w:rPr>
          <w:rFonts w:ascii="Century" w:hAnsi="Century" w:cs="Miriam" w:hint="cs"/>
          <w:b/>
          <w:spacing w:val="0"/>
          <w:sz w:val="22"/>
          <w:szCs w:val="24"/>
          <w:rtl/>
        </w:rPr>
        <w:t>סולברג</w:t>
      </w:r>
      <w:r w:rsidRPr="00593596">
        <w:rPr>
          <w:rFonts w:hint="cs"/>
          <w:rtl/>
        </w:rPr>
        <w:t xml:space="preserve"> </w:t>
      </w:r>
      <w:r>
        <w:rPr>
          <w:rFonts w:hint="cs"/>
          <w:rtl/>
        </w:rPr>
        <w:t>ו</w:t>
      </w:r>
      <w:r w:rsidRPr="00DC2331">
        <w:rPr>
          <w:rFonts w:ascii="Century" w:hAnsi="Century" w:hint="cs"/>
          <w:sz w:val="22"/>
          <w:rtl/>
        </w:rPr>
        <w:t>-</w:t>
      </w:r>
      <w:r>
        <w:rPr>
          <w:rFonts w:ascii="Century" w:hAnsi="Century" w:cs="Miriam" w:hint="cs"/>
          <w:b/>
          <w:spacing w:val="0"/>
          <w:sz w:val="22"/>
          <w:szCs w:val="24"/>
          <w:rtl/>
        </w:rPr>
        <w:t xml:space="preserve">י' </w:t>
      </w:r>
      <w:r w:rsidRPr="00DC2331">
        <w:rPr>
          <w:rFonts w:ascii="Century" w:hAnsi="Century" w:cs="Miriam" w:hint="cs"/>
          <w:b/>
          <w:spacing w:val="0"/>
          <w:sz w:val="22"/>
          <w:szCs w:val="24"/>
          <w:rtl/>
        </w:rPr>
        <w:t>וילנר</w:t>
      </w:r>
      <w:r>
        <w:rPr>
          <w:rFonts w:hint="cs"/>
          <w:rtl/>
        </w:rPr>
        <w:t xml:space="preserve"> בחוות דעתם </w:t>
      </w:r>
      <w:r>
        <w:rPr>
          <w:rtl/>
        </w:rPr>
        <w:t>–</w:t>
      </w:r>
      <w:r>
        <w:rPr>
          <w:rFonts w:hint="cs"/>
          <w:rtl/>
        </w:rPr>
        <w:t xml:space="preserve"> התכלית העיקרית של הסעיף היא עידוד עליית העם היהודי לארצו, ולאורה יש לפרשו. וכדבריו של השופט </w:t>
      </w:r>
      <w:r w:rsidRPr="00DC2331">
        <w:rPr>
          <w:rFonts w:ascii="Century" w:hAnsi="Century" w:cs="Miriam" w:hint="cs"/>
          <w:b/>
          <w:spacing w:val="0"/>
          <w:szCs w:val="24"/>
          <w:rtl/>
        </w:rPr>
        <w:t>מ' חשין</w:t>
      </w:r>
      <w:r w:rsidRPr="00FF0813">
        <w:rPr>
          <w:rFonts w:hint="cs"/>
          <w:rtl/>
        </w:rPr>
        <w:t xml:space="preserve"> </w:t>
      </w:r>
      <w:r>
        <w:rPr>
          <w:rFonts w:hint="cs"/>
          <w:rtl/>
        </w:rPr>
        <w:t xml:space="preserve">בעניין </w:t>
      </w:r>
      <w:r w:rsidRPr="00DC2331">
        <w:rPr>
          <w:rFonts w:ascii="Century" w:hAnsi="Century" w:cs="Miriam" w:hint="cs"/>
          <w:b/>
          <w:spacing w:val="0"/>
          <w:szCs w:val="24"/>
          <w:rtl/>
        </w:rPr>
        <w:t>סטמקה</w:t>
      </w:r>
      <w:r>
        <w:rPr>
          <w:rFonts w:hint="cs"/>
          <w:rtl/>
        </w:rPr>
        <w:t xml:space="preserve">, אותם הביא גם חברי השופט </w:t>
      </w:r>
      <w:r w:rsidRPr="00C02BCC">
        <w:rPr>
          <w:rFonts w:ascii="Century" w:hAnsi="Century" w:cs="Miriam" w:hint="cs"/>
          <w:b/>
          <w:spacing w:val="0"/>
          <w:sz w:val="22"/>
          <w:szCs w:val="24"/>
          <w:rtl/>
        </w:rPr>
        <w:t>סולברג</w:t>
      </w:r>
      <w:r>
        <w:rPr>
          <w:rFonts w:ascii="Century" w:hAnsi="Century" w:hint="cs"/>
          <w:sz w:val="22"/>
          <w:rtl/>
        </w:rPr>
        <w:t xml:space="preserve"> ומפאת חשיבותם יובאו בשנית</w:t>
      </w:r>
      <w:r>
        <w:rPr>
          <w:rFonts w:hint="cs"/>
          <w:rtl/>
        </w:rPr>
        <w:t>:</w:t>
      </w:r>
    </w:p>
    <w:p w:rsidR="00BA03D0" w:rsidRDefault="00BA03D0" w:rsidP="00BA03D0">
      <w:pPr>
        <w:pStyle w:val="Ruller41"/>
        <w:rPr>
          <w:rtl/>
        </w:rPr>
      </w:pPr>
    </w:p>
    <w:p w:rsidR="00BA03D0" w:rsidRDefault="00BA03D0" w:rsidP="00BA03D0">
      <w:pPr>
        <w:pStyle w:val="Ruller5"/>
        <w:rPr>
          <w:rtl/>
        </w:rPr>
      </w:pPr>
      <w:r>
        <w:rPr>
          <w:rFonts w:hint="cs"/>
          <w:rtl/>
        </w:rPr>
        <w:t>"</w:t>
      </w:r>
      <w:r>
        <w:rPr>
          <w:rFonts w:hint="eastAsia"/>
          <w:rtl/>
        </w:rPr>
        <w:t>בתַקנו</w:t>
      </w:r>
      <w:r>
        <w:rPr>
          <w:rtl/>
        </w:rPr>
        <w:t xml:space="preserve"> </w:t>
      </w:r>
      <w:r>
        <w:rPr>
          <w:rFonts w:hint="eastAsia"/>
          <w:rtl/>
        </w:rPr>
        <w:t>את</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נדמָה</w:t>
      </w:r>
      <w:r>
        <w:rPr>
          <w:rtl/>
        </w:rPr>
        <w:t xml:space="preserve"> </w:t>
      </w:r>
      <w:r>
        <w:rPr>
          <w:rFonts w:hint="eastAsia"/>
          <w:rtl/>
        </w:rPr>
        <w:t>המחוקק</w:t>
      </w:r>
      <w:r>
        <w:rPr>
          <w:rtl/>
        </w:rPr>
        <w:t xml:space="preserve"> </w:t>
      </w:r>
      <w:r>
        <w:rPr>
          <w:rFonts w:hint="eastAsia"/>
          <w:rtl/>
        </w:rPr>
        <w:t>בעינינו</w:t>
      </w:r>
      <w:r>
        <w:rPr>
          <w:rtl/>
        </w:rPr>
        <w:t xml:space="preserve"> </w:t>
      </w:r>
      <w:r>
        <w:rPr>
          <w:rFonts w:hint="eastAsia"/>
          <w:rtl/>
        </w:rPr>
        <w:t>כמי</w:t>
      </w:r>
      <w:r>
        <w:rPr>
          <w:rtl/>
        </w:rPr>
        <w:t xml:space="preserve"> </w:t>
      </w:r>
      <w:r>
        <w:rPr>
          <w:rFonts w:hint="eastAsia"/>
          <w:rtl/>
        </w:rPr>
        <w:t>ששתל</w:t>
      </w:r>
      <w:r>
        <w:rPr>
          <w:rtl/>
        </w:rPr>
        <w:t xml:space="preserve"> </w:t>
      </w:r>
      <w:r>
        <w:rPr>
          <w:rFonts w:hint="eastAsia"/>
          <w:rtl/>
        </w:rPr>
        <w:t>פרחים</w:t>
      </w:r>
      <w:r>
        <w:rPr>
          <w:rtl/>
        </w:rPr>
        <w:t xml:space="preserve"> </w:t>
      </w:r>
      <w:r>
        <w:rPr>
          <w:rFonts w:hint="eastAsia"/>
          <w:rtl/>
        </w:rPr>
        <w:t>ועצי</w:t>
      </w:r>
      <w:r>
        <w:rPr>
          <w:rtl/>
        </w:rPr>
        <w:t>-</w:t>
      </w:r>
      <w:r>
        <w:rPr>
          <w:rFonts w:hint="eastAsia"/>
          <w:rtl/>
        </w:rPr>
        <w:t>פרי</w:t>
      </w:r>
      <w:r>
        <w:rPr>
          <w:rtl/>
        </w:rPr>
        <w:t xml:space="preserve"> </w:t>
      </w:r>
      <w:r>
        <w:rPr>
          <w:rFonts w:hint="eastAsia"/>
          <w:rtl/>
        </w:rPr>
        <w:t>נוספים</w:t>
      </w:r>
      <w:r>
        <w:rPr>
          <w:rtl/>
        </w:rPr>
        <w:t xml:space="preserve"> </w:t>
      </w:r>
      <w:r>
        <w:rPr>
          <w:rFonts w:hint="eastAsia"/>
          <w:rtl/>
        </w:rPr>
        <w:t>בגן</w:t>
      </w:r>
      <w:r>
        <w:rPr>
          <w:rtl/>
        </w:rPr>
        <w:t xml:space="preserve"> </w:t>
      </w:r>
      <w:r>
        <w:rPr>
          <w:rFonts w:hint="eastAsia"/>
          <w:rtl/>
        </w:rPr>
        <w:t>שנבנה</w:t>
      </w:r>
      <w:r>
        <w:rPr>
          <w:rtl/>
        </w:rPr>
        <w:t xml:space="preserve"> </w:t>
      </w:r>
      <w:r>
        <w:rPr>
          <w:rFonts w:hint="eastAsia"/>
          <w:rtl/>
        </w:rPr>
        <w:t>מזמן</w:t>
      </w:r>
      <w:r>
        <w:rPr>
          <w:rtl/>
        </w:rPr>
        <w:t xml:space="preserve"> </w:t>
      </w:r>
      <w:r>
        <w:rPr>
          <w:rFonts w:hint="eastAsia"/>
          <w:rtl/>
        </w:rPr>
        <w:t>והוא</w:t>
      </w:r>
      <w:r>
        <w:rPr>
          <w:rtl/>
        </w:rPr>
        <w:t xml:space="preserve"> </w:t>
      </w:r>
      <w:r>
        <w:rPr>
          <w:rFonts w:hint="eastAsia"/>
          <w:rtl/>
        </w:rPr>
        <w:t>פורח</w:t>
      </w:r>
      <w:r>
        <w:rPr>
          <w:rtl/>
        </w:rPr>
        <w:t xml:space="preserve"> </w:t>
      </w:r>
      <w:r>
        <w:rPr>
          <w:rFonts w:hint="eastAsia"/>
          <w:rtl/>
        </w:rPr>
        <w:t>ומעלה</w:t>
      </w:r>
      <w:r>
        <w:rPr>
          <w:rtl/>
        </w:rPr>
        <w:t xml:space="preserve"> </w:t>
      </w:r>
      <w:r>
        <w:rPr>
          <w:rFonts w:hint="eastAsia"/>
          <w:rtl/>
        </w:rPr>
        <w:t>פרי</w:t>
      </w:r>
      <w:r>
        <w:rPr>
          <w:rtl/>
        </w:rPr>
        <w:t xml:space="preserve">. </w:t>
      </w:r>
      <w:r>
        <w:rPr>
          <w:rFonts w:hint="eastAsia"/>
          <w:rtl/>
        </w:rPr>
        <w:t>הוראת</w:t>
      </w:r>
      <w:r>
        <w:rPr>
          <w:rtl/>
        </w:rPr>
        <w:t xml:space="preserve"> </w:t>
      </w:r>
      <w:r>
        <w:rPr>
          <w:rFonts w:hint="eastAsia"/>
          <w:rtl/>
        </w:rPr>
        <w:t>סעיף</w:t>
      </w:r>
      <w:r>
        <w:rPr>
          <w:rtl/>
        </w:rPr>
        <w:t xml:space="preserve"> 4</w:t>
      </w:r>
      <w:r>
        <w:rPr>
          <w:rFonts w:hint="eastAsia"/>
          <w:rtl/>
        </w:rPr>
        <w:t>א</w:t>
      </w:r>
      <w:r>
        <w:rPr>
          <w:rtl/>
        </w:rPr>
        <w:t xml:space="preserve"> </w:t>
      </w:r>
      <w:r>
        <w:rPr>
          <w:rFonts w:hint="eastAsia"/>
          <w:rtl/>
        </w:rPr>
        <w:t>לחוק</w:t>
      </w:r>
      <w:r>
        <w:rPr>
          <w:rtl/>
        </w:rPr>
        <w:t xml:space="preserve"> </w:t>
      </w:r>
      <w:r>
        <w:rPr>
          <w:rFonts w:hint="eastAsia"/>
          <w:rtl/>
        </w:rPr>
        <w:t>השבות</w:t>
      </w:r>
      <w:r>
        <w:rPr>
          <w:rtl/>
        </w:rPr>
        <w:t xml:space="preserve"> </w:t>
      </w:r>
      <w:r>
        <w:rPr>
          <w:rFonts w:hint="eastAsia"/>
          <w:rtl/>
        </w:rPr>
        <w:t>הפכה</w:t>
      </w:r>
      <w:r>
        <w:rPr>
          <w:rtl/>
        </w:rPr>
        <w:t xml:space="preserve"> </w:t>
      </w:r>
      <w:r>
        <w:rPr>
          <w:rFonts w:hint="eastAsia"/>
          <w:rtl/>
        </w:rPr>
        <w:lastRenderedPageBreak/>
        <w:t>להיותה</w:t>
      </w:r>
      <w:r>
        <w:rPr>
          <w:rtl/>
        </w:rPr>
        <w:t xml:space="preserve"> </w:t>
      </w:r>
      <w:r>
        <w:rPr>
          <w:rFonts w:hint="eastAsia"/>
          <w:rtl/>
        </w:rPr>
        <w:t>חלק</w:t>
      </w:r>
      <w:r>
        <w:rPr>
          <w:rtl/>
        </w:rPr>
        <w:t xml:space="preserve"> </w:t>
      </w:r>
      <w:r>
        <w:rPr>
          <w:rFonts w:hint="eastAsia"/>
          <w:rtl/>
        </w:rPr>
        <w:t>בלתי</w:t>
      </w:r>
      <w:r>
        <w:rPr>
          <w:rtl/>
        </w:rPr>
        <w:t xml:space="preserve"> </w:t>
      </w:r>
      <w:r>
        <w:rPr>
          <w:rFonts w:hint="eastAsia"/>
          <w:rtl/>
        </w:rPr>
        <w:t>נפרד</w:t>
      </w:r>
      <w:r>
        <w:rPr>
          <w:rtl/>
        </w:rPr>
        <w:t xml:space="preserve"> </w:t>
      </w:r>
      <w:r>
        <w:rPr>
          <w:rFonts w:hint="eastAsia"/>
          <w:rtl/>
        </w:rPr>
        <w:t>ב</w:t>
      </w:r>
      <w:r>
        <w:rPr>
          <w:rFonts w:hint="cs"/>
          <w:rtl/>
        </w:rPr>
        <w:t>'</w:t>
      </w:r>
      <w:r>
        <w:rPr>
          <w:rFonts w:hint="eastAsia"/>
          <w:rtl/>
        </w:rPr>
        <w:t>תכלית</w:t>
      </w:r>
      <w:r>
        <w:rPr>
          <w:rtl/>
        </w:rPr>
        <w:t xml:space="preserve"> </w:t>
      </w:r>
      <w:r>
        <w:rPr>
          <w:rFonts w:hint="eastAsia"/>
          <w:rtl/>
        </w:rPr>
        <w:t>הגדולה</w:t>
      </w:r>
      <w:r>
        <w:rPr>
          <w:rFonts w:hint="cs"/>
          <w:rtl/>
        </w:rPr>
        <w:t>'</w:t>
      </w:r>
      <w:r>
        <w:rPr>
          <w:rtl/>
        </w:rPr>
        <w:t xml:space="preserve"> </w:t>
      </w:r>
      <w:r>
        <w:rPr>
          <w:rFonts w:hint="eastAsia"/>
          <w:rtl/>
        </w:rPr>
        <w:t>של</w:t>
      </w:r>
      <w:r>
        <w:rPr>
          <w:rtl/>
        </w:rPr>
        <w:t xml:space="preserve"> </w:t>
      </w:r>
      <w:r>
        <w:rPr>
          <w:rFonts w:hint="eastAsia"/>
          <w:rtl/>
        </w:rPr>
        <w:t>חוק</w:t>
      </w:r>
      <w:r>
        <w:rPr>
          <w:rtl/>
        </w:rPr>
        <w:t xml:space="preserve"> </w:t>
      </w:r>
      <w:r>
        <w:rPr>
          <w:rFonts w:hint="eastAsia"/>
          <w:rtl/>
        </w:rPr>
        <w:t>השבות</w:t>
      </w:r>
      <w:r>
        <w:rPr>
          <w:rtl/>
        </w:rPr>
        <w:t xml:space="preserve">: </w:t>
      </w:r>
      <w:r>
        <w:rPr>
          <w:rFonts w:hint="eastAsia"/>
          <w:rtl/>
        </w:rPr>
        <w:t>קיבוץ</w:t>
      </w:r>
      <w:r>
        <w:rPr>
          <w:rtl/>
        </w:rPr>
        <w:t xml:space="preserve"> </w:t>
      </w:r>
      <w:r>
        <w:rPr>
          <w:rFonts w:hint="eastAsia"/>
          <w:rtl/>
        </w:rPr>
        <w:t>גלויות</w:t>
      </w:r>
      <w:r>
        <w:rPr>
          <w:rtl/>
        </w:rPr>
        <w:t xml:space="preserve"> </w:t>
      </w:r>
      <w:r>
        <w:rPr>
          <w:rFonts w:hint="eastAsia"/>
          <w:rtl/>
        </w:rPr>
        <w:t>העם</w:t>
      </w:r>
      <w:r>
        <w:rPr>
          <w:rtl/>
        </w:rPr>
        <w:t xml:space="preserve"> </w:t>
      </w:r>
      <w:r>
        <w:rPr>
          <w:rFonts w:hint="eastAsia"/>
          <w:rtl/>
        </w:rPr>
        <w:t>היהודי</w:t>
      </w:r>
      <w:r>
        <w:rPr>
          <w:rtl/>
        </w:rPr>
        <w:t xml:space="preserve"> </w:t>
      </w:r>
      <w:r>
        <w:rPr>
          <w:rFonts w:hint="eastAsia"/>
          <w:rtl/>
        </w:rPr>
        <w:t>אל</w:t>
      </w:r>
      <w:r>
        <w:rPr>
          <w:rtl/>
        </w:rPr>
        <w:t xml:space="preserve"> </w:t>
      </w:r>
      <w:r>
        <w:rPr>
          <w:rFonts w:hint="eastAsia"/>
          <w:rtl/>
        </w:rPr>
        <w:t>מדינת</w:t>
      </w:r>
      <w:r>
        <w:rPr>
          <w:rtl/>
        </w:rPr>
        <w:t xml:space="preserve"> </w:t>
      </w:r>
      <w:r>
        <w:rPr>
          <w:rFonts w:hint="eastAsia"/>
          <w:rtl/>
        </w:rPr>
        <w:t>היהודים</w:t>
      </w:r>
      <w:r>
        <w:rPr>
          <w:rtl/>
        </w:rPr>
        <w:t xml:space="preserve">, </w:t>
      </w:r>
      <w:r>
        <w:rPr>
          <w:rFonts w:hint="eastAsia"/>
          <w:rtl/>
        </w:rPr>
        <w:t>שיבת</w:t>
      </w:r>
      <w:r>
        <w:rPr>
          <w:rtl/>
        </w:rPr>
        <w:t xml:space="preserve"> </w:t>
      </w:r>
      <w:r>
        <w:rPr>
          <w:rFonts w:hint="eastAsia"/>
          <w:rtl/>
        </w:rPr>
        <w:t>הבנים</w:t>
      </w:r>
      <w:r>
        <w:rPr>
          <w:rtl/>
        </w:rPr>
        <w:t xml:space="preserve"> </w:t>
      </w:r>
      <w:r>
        <w:rPr>
          <w:rFonts w:hint="eastAsia"/>
          <w:rtl/>
        </w:rPr>
        <w:t>אל</w:t>
      </w:r>
      <w:r>
        <w:rPr>
          <w:rtl/>
        </w:rPr>
        <w:t xml:space="preserve"> </w:t>
      </w:r>
      <w:r w:rsidRPr="00E73DC5">
        <w:rPr>
          <w:rFonts w:hint="eastAsia"/>
          <w:rtl/>
        </w:rPr>
        <w:t>ביתם</w:t>
      </w:r>
      <w:r w:rsidRPr="00E73DC5">
        <w:rPr>
          <w:rFonts w:hint="cs"/>
          <w:rtl/>
        </w:rPr>
        <w:t>...</w:t>
      </w:r>
      <w:r>
        <w:rPr>
          <w:rtl/>
        </w:rPr>
        <w:t xml:space="preserve"> </w:t>
      </w:r>
      <w:r w:rsidRPr="0097052E">
        <w:rPr>
          <w:rFonts w:ascii="Century" w:hAnsi="Century" w:cs="Miriam" w:hint="eastAsia"/>
          <w:b/>
          <w:spacing w:val="0"/>
          <w:szCs w:val="24"/>
          <w:rtl/>
        </w:rPr>
        <w:t>וגם</w:t>
      </w:r>
      <w:r w:rsidRPr="0097052E">
        <w:rPr>
          <w:rFonts w:ascii="Century" w:hAnsi="Century" w:cs="Miriam"/>
          <w:b/>
          <w:spacing w:val="0"/>
          <w:szCs w:val="24"/>
          <w:rtl/>
        </w:rPr>
        <w:t xml:space="preserve"> </w:t>
      </w:r>
      <w:r w:rsidRPr="0097052E">
        <w:rPr>
          <w:rFonts w:ascii="Century" w:hAnsi="Century" w:cs="Miriam" w:hint="eastAsia"/>
          <w:b/>
          <w:spacing w:val="0"/>
          <w:szCs w:val="24"/>
          <w:rtl/>
        </w:rPr>
        <w:t>אם</w:t>
      </w:r>
      <w:r w:rsidRPr="0097052E">
        <w:rPr>
          <w:rFonts w:ascii="Century" w:hAnsi="Century" w:cs="Miriam"/>
          <w:b/>
          <w:spacing w:val="0"/>
          <w:szCs w:val="24"/>
          <w:rtl/>
        </w:rPr>
        <w:t xml:space="preserve"> </w:t>
      </w:r>
      <w:r w:rsidRPr="0097052E">
        <w:rPr>
          <w:rFonts w:ascii="Century" w:hAnsi="Century" w:cs="Miriam" w:hint="eastAsia"/>
          <w:b/>
          <w:spacing w:val="0"/>
          <w:szCs w:val="24"/>
          <w:rtl/>
        </w:rPr>
        <w:t>נעלה</w:t>
      </w:r>
      <w:r w:rsidRPr="0097052E">
        <w:rPr>
          <w:rFonts w:ascii="Century" w:hAnsi="Century" w:cs="Miriam"/>
          <w:b/>
          <w:spacing w:val="0"/>
          <w:szCs w:val="24"/>
          <w:rtl/>
        </w:rPr>
        <w:t xml:space="preserve"> </w:t>
      </w:r>
      <w:r w:rsidRPr="0097052E">
        <w:rPr>
          <w:rFonts w:ascii="Century" w:hAnsi="Century" w:cs="Miriam" w:hint="eastAsia"/>
          <w:b/>
          <w:spacing w:val="0"/>
          <w:szCs w:val="24"/>
          <w:rtl/>
        </w:rPr>
        <w:t>כי</w:t>
      </w:r>
      <w:r w:rsidRPr="0097052E">
        <w:rPr>
          <w:rFonts w:ascii="Century" w:hAnsi="Century" w:cs="Miriam"/>
          <w:b/>
          <w:spacing w:val="0"/>
          <w:szCs w:val="24"/>
          <w:rtl/>
        </w:rPr>
        <w:t xml:space="preserve"> </w:t>
      </w:r>
      <w:r w:rsidRPr="0097052E">
        <w:rPr>
          <w:rFonts w:ascii="Century" w:hAnsi="Century" w:cs="Miriam" w:hint="eastAsia"/>
          <w:b/>
          <w:spacing w:val="0"/>
          <w:szCs w:val="24"/>
          <w:rtl/>
        </w:rPr>
        <w:t>מעט</w:t>
      </w:r>
      <w:r w:rsidRPr="0097052E">
        <w:rPr>
          <w:rFonts w:ascii="Century" w:hAnsi="Century" w:cs="Miriam"/>
          <w:b/>
          <w:spacing w:val="0"/>
          <w:szCs w:val="24"/>
          <w:rtl/>
        </w:rPr>
        <w:t>-</w:t>
      </w:r>
      <w:r w:rsidRPr="0097052E">
        <w:rPr>
          <w:rFonts w:ascii="Century" w:hAnsi="Century" w:cs="Miriam" w:hint="eastAsia"/>
          <w:b/>
          <w:spacing w:val="0"/>
          <w:szCs w:val="24"/>
          <w:rtl/>
        </w:rPr>
        <w:t>שם</w:t>
      </w:r>
      <w:r w:rsidRPr="0097052E">
        <w:rPr>
          <w:rFonts w:ascii="Century" w:hAnsi="Century" w:cs="Miriam"/>
          <w:b/>
          <w:spacing w:val="0"/>
          <w:szCs w:val="24"/>
          <w:rtl/>
        </w:rPr>
        <w:t xml:space="preserve"> </w:t>
      </w:r>
      <w:r w:rsidRPr="0097052E">
        <w:rPr>
          <w:rFonts w:ascii="Century" w:hAnsi="Century" w:cs="Miriam" w:hint="eastAsia"/>
          <w:b/>
          <w:spacing w:val="0"/>
          <w:szCs w:val="24"/>
          <w:rtl/>
        </w:rPr>
        <w:t>מעט</w:t>
      </w:r>
      <w:r w:rsidRPr="0097052E">
        <w:rPr>
          <w:rFonts w:ascii="Century" w:hAnsi="Century" w:cs="Miriam"/>
          <w:b/>
          <w:spacing w:val="0"/>
          <w:szCs w:val="24"/>
          <w:rtl/>
        </w:rPr>
        <w:t>-</w:t>
      </w:r>
      <w:r w:rsidRPr="0097052E">
        <w:rPr>
          <w:rFonts w:ascii="Century" w:hAnsi="Century" w:cs="Miriam" w:hint="eastAsia"/>
          <w:b/>
          <w:spacing w:val="0"/>
          <w:szCs w:val="24"/>
          <w:rtl/>
        </w:rPr>
        <w:t>שם</w:t>
      </w:r>
      <w:r w:rsidRPr="0097052E">
        <w:rPr>
          <w:rFonts w:ascii="Century" w:hAnsi="Century" w:cs="Miriam"/>
          <w:b/>
          <w:spacing w:val="0"/>
          <w:szCs w:val="24"/>
          <w:rtl/>
        </w:rPr>
        <w:t xml:space="preserve"> </w:t>
      </w:r>
      <w:r w:rsidRPr="0097052E">
        <w:rPr>
          <w:rFonts w:ascii="Century" w:hAnsi="Century" w:cs="Miriam" w:hint="eastAsia"/>
          <w:b/>
          <w:spacing w:val="0"/>
          <w:szCs w:val="24"/>
          <w:rtl/>
        </w:rPr>
        <w:t>תימצא</w:t>
      </w:r>
      <w:r w:rsidRPr="0097052E">
        <w:rPr>
          <w:rFonts w:ascii="Century" w:hAnsi="Century" w:cs="Miriam"/>
          <w:b/>
          <w:spacing w:val="0"/>
          <w:szCs w:val="24"/>
          <w:rtl/>
        </w:rPr>
        <w:t xml:space="preserve"> </w:t>
      </w:r>
      <w:r w:rsidRPr="0097052E">
        <w:rPr>
          <w:rFonts w:ascii="Century" w:hAnsi="Century" w:cs="Miriam" w:hint="eastAsia"/>
          <w:b/>
          <w:spacing w:val="0"/>
          <w:szCs w:val="24"/>
          <w:rtl/>
        </w:rPr>
        <w:t>לנו</w:t>
      </w:r>
      <w:r w:rsidRPr="0097052E">
        <w:rPr>
          <w:rFonts w:ascii="Century" w:hAnsi="Century" w:cs="Miriam"/>
          <w:b/>
          <w:spacing w:val="0"/>
          <w:szCs w:val="24"/>
          <w:rtl/>
        </w:rPr>
        <w:t xml:space="preserve"> </w:t>
      </w:r>
      <w:r w:rsidRPr="0097052E">
        <w:rPr>
          <w:rFonts w:ascii="Century" w:hAnsi="Century" w:cs="Miriam" w:hint="eastAsia"/>
          <w:b/>
          <w:spacing w:val="0"/>
          <w:szCs w:val="24"/>
          <w:rtl/>
        </w:rPr>
        <w:t>תכלית</w:t>
      </w:r>
      <w:r w:rsidRPr="0097052E">
        <w:rPr>
          <w:rFonts w:ascii="Century" w:hAnsi="Century" w:cs="Miriam"/>
          <w:b/>
          <w:spacing w:val="0"/>
          <w:szCs w:val="24"/>
          <w:rtl/>
        </w:rPr>
        <w:t>-</w:t>
      </w:r>
      <w:r w:rsidRPr="0097052E">
        <w:rPr>
          <w:rFonts w:ascii="Century" w:hAnsi="Century" w:cs="Miriam" w:hint="eastAsia"/>
          <w:b/>
          <w:spacing w:val="0"/>
          <w:szCs w:val="24"/>
          <w:rtl/>
        </w:rPr>
        <w:t>משנה</w:t>
      </w:r>
      <w:r w:rsidRPr="0097052E">
        <w:rPr>
          <w:rFonts w:ascii="Century" w:hAnsi="Century" w:cs="Miriam"/>
          <w:b/>
          <w:spacing w:val="0"/>
          <w:szCs w:val="24"/>
          <w:rtl/>
        </w:rPr>
        <w:t xml:space="preserve"> </w:t>
      </w:r>
      <w:r w:rsidRPr="0097052E">
        <w:rPr>
          <w:rFonts w:ascii="Century" w:hAnsi="Century" w:cs="Miriam" w:hint="eastAsia"/>
          <w:b/>
          <w:spacing w:val="0"/>
          <w:szCs w:val="24"/>
          <w:rtl/>
        </w:rPr>
        <w:t>זו</w:t>
      </w:r>
      <w:r w:rsidRPr="0097052E">
        <w:rPr>
          <w:rFonts w:ascii="Century" w:hAnsi="Century" w:cs="Miriam"/>
          <w:b/>
          <w:spacing w:val="0"/>
          <w:szCs w:val="24"/>
          <w:rtl/>
        </w:rPr>
        <w:t xml:space="preserve"> </w:t>
      </w:r>
      <w:r w:rsidRPr="0097052E">
        <w:rPr>
          <w:rFonts w:ascii="Century" w:hAnsi="Century" w:cs="Miriam" w:hint="eastAsia"/>
          <w:b/>
          <w:spacing w:val="0"/>
          <w:szCs w:val="24"/>
          <w:rtl/>
        </w:rPr>
        <w:t>או</w:t>
      </w:r>
      <w:r w:rsidRPr="0097052E">
        <w:rPr>
          <w:rFonts w:ascii="Century" w:hAnsi="Century" w:cs="Miriam"/>
          <w:b/>
          <w:spacing w:val="0"/>
          <w:szCs w:val="24"/>
          <w:rtl/>
        </w:rPr>
        <w:t xml:space="preserve"> </w:t>
      </w:r>
      <w:r w:rsidRPr="0097052E">
        <w:rPr>
          <w:rFonts w:ascii="Century" w:hAnsi="Century" w:cs="Miriam" w:hint="eastAsia"/>
          <w:b/>
          <w:spacing w:val="0"/>
          <w:szCs w:val="24"/>
          <w:rtl/>
        </w:rPr>
        <w:t>אחרת</w:t>
      </w:r>
      <w:r w:rsidRPr="0097052E">
        <w:rPr>
          <w:rFonts w:ascii="Century" w:hAnsi="Century" w:cs="Miriam"/>
          <w:b/>
          <w:spacing w:val="0"/>
          <w:szCs w:val="24"/>
          <w:rtl/>
        </w:rPr>
        <w:t xml:space="preserve">, </w:t>
      </w:r>
      <w:r w:rsidRPr="0097052E">
        <w:rPr>
          <w:rFonts w:ascii="Century" w:hAnsi="Century" w:cs="Miriam" w:hint="eastAsia"/>
          <w:b/>
          <w:spacing w:val="0"/>
          <w:szCs w:val="24"/>
          <w:rtl/>
        </w:rPr>
        <w:t>הנה</w:t>
      </w:r>
      <w:r w:rsidRPr="0097052E">
        <w:rPr>
          <w:rFonts w:ascii="Century" w:hAnsi="Century" w:cs="Miriam"/>
          <w:b/>
          <w:spacing w:val="0"/>
          <w:szCs w:val="24"/>
          <w:rtl/>
        </w:rPr>
        <w:t xml:space="preserve"> </w:t>
      </w:r>
      <w:r w:rsidRPr="0097052E">
        <w:rPr>
          <w:rFonts w:ascii="Century" w:hAnsi="Century" w:cs="Miriam" w:hint="eastAsia"/>
          <w:b/>
          <w:spacing w:val="0"/>
          <w:szCs w:val="24"/>
          <w:rtl/>
        </w:rPr>
        <w:t>העיקר</w:t>
      </w:r>
      <w:r w:rsidRPr="0097052E">
        <w:rPr>
          <w:rFonts w:ascii="Century" w:hAnsi="Century" w:cs="Miriam"/>
          <w:b/>
          <w:spacing w:val="0"/>
          <w:szCs w:val="24"/>
          <w:rtl/>
        </w:rPr>
        <w:t xml:space="preserve"> </w:t>
      </w:r>
      <w:r w:rsidRPr="0097052E">
        <w:rPr>
          <w:rFonts w:ascii="Century" w:hAnsi="Century" w:cs="Miriam" w:hint="eastAsia"/>
          <w:b/>
          <w:spacing w:val="0"/>
          <w:szCs w:val="24"/>
          <w:rtl/>
        </w:rPr>
        <w:t>הוא</w:t>
      </w:r>
      <w:r w:rsidRPr="0097052E">
        <w:rPr>
          <w:rFonts w:ascii="Century" w:hAnsi="Century" w:cs="Miriam"/>
          <w:b/>
          <w:spacing w:val="0"/>
          <w:szCs w:val="24"/>
          <w:rtl/>
        </w:rPr>
        <w:t xml:space="preserve"> </w:t>
      </w:r>
      <w:r w:rsidRPr="0097052E">
        <w:rPr>
          <w:rFonts w:ascii="Century" w:hAnsi="Century" w:cs="Miriam" w:hint="eastAsia"/>
          <w:b/>
          <w:spacing w:val="0"/>
          <w:szCs w:val="24"/>
          <w:rtl/>
        </w:rPr>
        <w:t>אותו</w:t>
      </w:r>
      <w:r w:rsidRPr="0097052E">
        <w:rPr>
          <w:rFonts w:ascii="Century" w:hAnsi="Century" w:cs="Miriam"/>
          <w:b/>
          <w:spacing w:val="0"/>
          <w:szCs w:val="24"/>
          <w:rtl/>
        </w:rPr>
        <w:t xml:space="preserve"> </w:t>
      </w:r>
      <w:r w:rsidRPr="0097052E">
        <w:rPr>
          <w:rFonts w:ascii="Century" w:hAnsi="Century" w:cs="Miriam" w:hint="eastAsia"/>
          <w:b/>
          <w:spacing w:val="0"/>
          <w:szCs w:val="24"/>
          <w:rtl/>
        </w:rPr>
        <w:t>עיקר</w:t>
      </w:r>
      <w:r w:rsidRPr="0097052E">
        <w:rPr>
          <w:rFonts w:ascii="Century" w:hAnsi="Century" w:cs="Miriam"/>
          <w:b/>
          <w:spacing w:val="0"/>
          <w:szCs w:val="24"/>
          <w:rtl/>
        </w:rPr>
        <w:t xml:space="preserve"> </w:t>
      </w:r>
      <w:r w:rsidRPr="0097052E">
        <w:rPr>
          <w:rFonts w:ascii="Century" w:hAnsi="Century" w:cs="Miriam" w:hint="eastAsia"/>
          <w:b/>
          <w:spacing w:val="0"/>
          <w:szCs w:val="24"/>
          <w:rtl/>
        </w:rPr>
        <w:t>והוראת</w:t>
      </w:r>
      <w:r w:rsidRPr="0097052E">
        <w:rPr>
          <w:rFonts w:ascii="Century" w:hAnsi="Century" w:cs="Miriam"/>
          <w:b/>
          <w:spacing w:val="0"/>
          <w:szCs w:val="24"/>
          <w:rtl/>
        </w:rPr>
        <w:t xml:space="preserve"> </w:t>
      </w:r>
      <w:r w:rsidRPr="0097052E">
        <w:rPr>
          <w:rFonts w:ascii="Century" w:hAnsi="Century" w:cs="Miriam" w:hint="eastAsia"/>
          <w:b/>
          <w:spacing w:val="0"/>
          <w:szCs w:val="24"/>
          <w:rtl/>
        </w:rPr>
        <w:t>סעיף</w:t>
      </w:r>
      <w:r w:rsidRPr="0097052E">
        <w:rPr>
          <w:rFonts w:ascii="Century" w:hAnsi="Century" w:cs="Miriam"/>
          <w:b/>
          <w:spacing w:val="0"/>
          <w:szCs w:val="24"/>
          <w:rtl/>
        </w:rPr>
        <w:t xml:space="preserve"> 4</w:t>
      </w:r>
      <w:r w:rsidRPr="0097052E">
        <w:rPr>
          <w:rFonts w:ascii="Century" w:hAnsi="Century" w:cs="Miriam" w:hint="eastAsia"/>
          <w:b/>
          <w:spacing w:val="0"/>
          <w:szCs w:val="24"/>
          <w:rtl/>
        </w:rPr>
        <w:t>א</w:t>
      </w:r>
      <w:r w:rsidRPr="0097052E">
        <w:rPr>
          <w:rFonts w:ascii="Century" w:hAnsi="Century" w:cs="Miriam"/>
          <w:b/>
          <w:spacing w:val="0"/>
          <w:szCs w:val="24"/>
          <w:rtl/>
        </w:rPr>
        <w:t xml:space="preserve"> </w:t>
      </w:r>
      <w:r w:rsidRPr="0097052E">
        <w:rPr>
          <w:rFonts w:ascii="Century" w:hAnsi="Century" w:cs="Miriam" w:hint="eastAsia"/>
          <w:b/>
          <w:spacing w:val="0"/>
          <w:szCs w:val="24"/>
          <w:rtl/>
        </w:rPr>
        <w:t>תפורש</w:t>
      </w:r>
      <w:r w:rsidRPr="0097052E">
        <w:rPr>
          <w:rFonts w:ascii="Century" w:hAnsi="Century" w:cs="Miriam"/>
          <w:b/>
          <w:spacing w:val="0"/>
          <w:szCs w:val="24"/>
          <w:rtl/>
        </w:rPr>
        <w:t xml:space="preserve"> </w:t>
      </w:r>
      <w:r w:rsidRPr="0097052E">
        <w:rPr>
          <w:rFonts w:ascii="Century" w:hAnsi="Century" w:cs="Miriam" w:hint="eastAsia"/>
          <w:b/>
          <w:spacing w:val="0"/>
          <w:szCs w:val="24"/>
          <w:rtl/>
        </w:rPr>
        <w:t>על</w:t>
      </w:r>
      <w:r w:rsidRPr="0097052E">
        <w:rPr>
          <w:rFonts w:ascii="Century" w:hAnsi="Century" w:cs="Miriam"/>
          <w:b/>
          <w:spacing w:val="0"/>
          <w:szCs w:val="24"/>
          <w:rtl/>
        </w:rPr>
        <w:t>-</w:t>
      </w:r>
      <w:r w:rsidRPr="0097052E">
        <w:rPr>
          <w:rFonts w:ascii="Century" w:hAnsi="Century" w:cs="Miriam" w:hint="eastAsia"/>
          <w:b/>
          <w:spacing w:val="0"/>
          <w:szCs w:val="24"/>
          <w:rtl/>
        </w:rPr>
        <w:t>פי</w:t>
      </w:r>
      <w:r w:rsidRPr="0097052E">
        <w:rPr>
          <w:rFonts w:ascii="Century" w:hAnsi="Century" w:cs="Miriam"/>
          <w:b/>
          <w:spacing w:val="0"/>
          <w:szCs w:val="24"/>
          <w:rtl/>
        </w:rPr>
        <w:t xml:space="preserve"> </w:t>
      </w:r>
      <w:r w:rsidRPr="0097052E">
        <w:rPr>
          <w:rFonts w:ascii="Century" w:hAnsi="Century" w:cs="Miriam" w:hint="eastAsia"/>
          <w:b/>
          <w:spacing w:val="0"/>
          <w:szCs w:val="24"/>
          <w:rtl/>
        </w:rPr>
        <w:t>אותו</w:t>
      </w:r>
      <w:r w:rsidRPr="0097052E">
        <w:rPr>
          <w:rFonts w:ascii="Century" w:hAnsi="Century" w:cs="Miriam"/>
          <w:b/>
          <w:spacing w:val="0"/>
          <w:szCs w:val="24"/>
          <w:rtl/>
        </w:rPr>
        <w:t xml:space="preserve"> </w:t>
      </w:r>
      <w:r w:rsidRPr="0097052E">
        <w:rPr>
          <w:rFonts w:ascii="Century" w:hAnsi="Century" w:cs="Miriam" w:hint="eastAsia"/>
          <w:b/>
          <w:spacing w:val="0"/>
          <w:szCs w:val="24"/>
          <w:rtl/>
        </w:rPr>
        <w:t>עיקר</w:t>
      </w:r>
      <w:r>
        <w:rPr>
          <w:rFonts w:hint="cs"/>
          <w:rtl/>
        </w:rPr>
        <w:t xml:space="preserve">" </w:t>
      </w:r>
      <w:r w:rsidRPr="00957122">
        <w:rPr>
          <w:rFonts w:hint="cs"/>
          <w:rtl/>
        </w:rPr>
        <w:t xml:space="preserve">(שם, עמ' 758; ההדגשה הוספה; ראו גם: </w:t>
      </w:r>
      <w:r w:rsidRPr="00957122">
        <w:rPr>
          <w:rtl/>
        </w:rPr>
        <w:t xml:space="preserve">בג"ץ 8030/03 </w:t>
      </w:r>
      <w:r w:rsidRPr="00957122">
        <w:rPr>
          <w:rFonts w:ascii="Century" w:hAnsi="Century" w:cs="Miriam"/>
          <w:b/>
          <w:spacing w:val="0"/>
          <w:szCs w:val="24"/>
          <w:rtl/>
        </w:rPr>
        <w:t>סמוילוב נ' משרד הפנים</w:t>
      </w:r>
      <w:r w:rsidRPr="00957122">
        <w:rPr>
          <w:rFonts w:ascii="Century" w:hAnsi="Century" w:hint="cs"/>
          <w:rtl/>
        </w:rPr>
        <w:t>, פ"ד נח(6) 115, 121-120</w:t>
      </w:r>
      <w:r w:rsidRPr="00957122">
        <w:rPr>
          <w:rFonts w:hint="cs"/>
          <w:rtl/>
        </w:rPr>
        <w:t xml:space="preserve"> </w:t>
      </w:r>
      <w:r w:rsidRPr="00957122">
        <w:rPr>
          <w:rtl/>
        </w:rPr>
        <w:t>(2004)</w:t>
      </w:r>
      <w:r w:rsidRPr="00957122">
        <w:rPr>
          <w:rFonts w:hint="cs"/>
          <w:rtl/>
        </w:rPr>
        <w:t xml:space="preserve"> (להלן</w:t>
      </w:r>
      <w:r>
        <w:rPr>
          <w:rFonts w:hint="cs"/>
          <w:rtl/>
        </w:rPr>
        <w:t xml:space="preserve">: עניין </w:t>
      </w:r>
      <w:r w:rsidRPr="003D75DF">
        <w:rPr>
          <w:rFonts w:ascii="Century" w:hAnsi="Century" w:cs="Miriam" w:hint="cs"/>
          <w:b/>
          <w:spacing w:val="0"/>
          <w:szCs w:val="24"/>
          <w:rtl/>
        </w:rPr>
        <w:t>סמוילוב</w:t>
      </w:r>
      <w:r>
        <w:rPr>
          <w:rFonts w:hint="cs"/>
          <w:rtl/>
        </w:rPr>
        <w:t xml:space="preserve">); עניין </w:t>
      </w:r>
      <w:r w:rsidRPr="00D474C5">
        <w:rPr>
          <w:rFonts w:ascii="Century" w:hAnsi="Century" w:cs="Miriam" w:hint="cs"/>
          <w:b/>
          <w:spacing w:val="0"/>
          <w:szCs w:val="24"/>
          <w:rtl/>
        </w:rPr>
        <w:t>גורודצקי</w:t>
      </w:r>
      <w:r>
        <w:rPr>
          <w:rFonts w:hint="cs"/>
          <w:rtl/>
        </w:rPr>
        <w:t xml:space="preserve">, פסקה 35; </w:t>
      </w:r>
      <w:r w:rsidRPr="002026E2">
        <w:rPr>
          <w:rFonts w:hint="cs"/>
          <w:rtl/>
        </w:rPr>
        <w:t xml:space="preserve">עניין </w:t>
      </w:r>
      <w:r w:rsidRPr="002026E2">
        <w:rPr>
          <w:rFonts w:ascii="Century" w:hAnsi="Century" w:cs="Miriam" w:hint="cs"/>
          <w:b/>
          <w:spacing w:val="0"/>
          <w:szCs w:val="24"/>
          <w:rtl/>
        </w:rPr>
        <w:t>פוזרסקי</w:t>
      </w:r>
      <w:r w:rsidRPr="002026E2">
        <w:rPr>
          <w:rFonts w:hint="cs"/>
          <w:rtl/>
        </w:rPr>
        <w:t>, פסקה 25</w:t>
      </w:r>
      <w:r>
        <w:rPr>
          <w:rFonts w:hint="cs"/>
          <w:rtl/>
        </w:rPr>
        <w:t xml:space="preserve">). </w:t>
      </w:r>
    </w:p>
    <w:p w:rsidR="00BA03D0" w:rsidRPr="0028457A" w:rsidRDefault="00BA03D0" w:rsidP="00BA03D0">
      <w:pPr>
        <w:pStyle w:val="Ruller41"/>
      </w:pPr>
    </w:p>
    <w:p w:rsidR="00BA03D0" w:rsidRPr="000C4F9C" w:rsidRDefault="00BA03D0" w:rsidP="00BA03D0">
      <w:pPr>
        <w:pStyle w:val="Ruller4"/>
        <w:textAlignment w:val="baseline"/>
        <w:rPr>
          <w:rtl/>
        </w:rPr>
      </w:pPr>
      <w:r>
        <w:rPr>
          <w:rFonts w:hint="cs"/>
          <w:rtl/>
        </w:rPr>
        <w:t xml:space="preserve">על רקע האמור, אני מוצא קושי </w:t>
      </w:r>
      <w:r w:rsidRPr="00922230">
        <w:rPr>
          <w:rFonts w:hint="cs"/>
          <w:rtl/>
        </w:rPr>
        <w:t xml:space="preserve">של ממש </w:t>
      </w:r>
      <w:r w:rsidRPr="00922230">
        <w:rPr>
          <w:rFonts w:hint="eastAsia"/>
          <w:rtl/>
        </w:rPr>
        <w:t>בעריכת</w:t>
      </w:r>
      <w:r w:rsidRPr="00922230">
        <w:rPr>
          <w:rFonts w:hint="cs"/>
          <w:rtl/>
        </w:rPr>
        <w:t xml:space="preserve"> פרשנות שאינה</w:t>
      </w:r>
      <w:r>
        <w:rPr>
          <w:rFonts w:hint="cs"/>
          <w:rtl/>
        </w:rPr>
        <w:t xml:space="preserve"> יוצרת הבחנה בין התכליות השונות של סעיף 4א לחוק</w:t>
      </w:r>
      <w:r w:rsidRPr="005B31B2">
        <w:rPr>
          <w:rFonts w:ascii="Century" w:hAnsi="Century" w:hint="cs"/>
          <w:sz w:val="22"/>
          <w:rtl/>
        </w:rPr>
        <w:t xml:space="preserve"> ואינה מתחשבת בסדר העדיפויות שביניהן.</w:t>
      </w:r>
      <w:r>
        <w:rPr>
          <w:rFonts w:hint="cs"/>
          <w:rtl/>
        </w:rPr>
        <w:t xml:space="preserve"> קושי זה מתחדד בענייננו כאשר אף לגישת חברי ממלא מקום הנשיא, </w:t>
      </w:r>
      <w:r w:rsidRPr="005B31B2">
        <w:rPr>
          <w:rFonts w:ascii="Century" w:hAnsi="Century" w:hint="cs"/>
          <w:sz w:val="22"/>
          <w:rtl/>
        </w:rPr>
        <w:t xml:space="preserve">במצב הדברים הטיפוסי שבו אלמנת בנו או נכדו של יהודי מבקשת לעלות לישראל </w:t>
      </w:r>
      <w:r>
        <w:rPr>
          <w:rFonts w:ascii="Century" w:hAnsi="Century" w:hint="cs"/>
          <w:sz w:val="22"/>
          <w:rtl/>
        </w:rPr>
        <w:t>אין עוד רלוונטיות ל</w:t>
      </w:r>
      <w:r w:rsidRPr="005B31B2">
        <w:rPr>
          <w:rFonts w:ascii="Century" w:hAnsi="Century" w:hint="cs"/>
          <w:sz w:val="22"/>
          <w:rtl/>
        </w:rPr>
        <w:t xml:space="preserve">תכלית </w:t>
      </w:r>
      <w:r>
        <w:rPr>
          <w:rFonts w:ascii="Century" w:hAnsi="Century" w:hint="cs"/>
          <w:sz w:val="22"/>
          <w:rtl/>
        </w:rPr>
        <w:t xml:space="preserve">שעניינה </w:t>
      </w:r>
      <w:r w:rsidRPr="005B31B2">
        <w:rPr>
          <w:rFonts w:ascii="Century" w:hAnsi="Century" w:hint="cs"/>
          <w:sz w:val="22"/>
          <w:rtl/>
        </w:rPr>
        <w:t>עידוד עלייתם של יהודים לישראל (פסקה 49</w:t>
      </w:r>
      <w:r>
        <w:rPr>
          <w:rFonts w:ascii="Century" w:hAnsi="Century" w:hint="cs"/>
          <w:sz w:val="22"/>
          <w:rtl/>
        </w:rPr>
        <w:t xml:space="preserve"> לחוות דעתו</w:t>
      </w:r>
      <w:r w:rsidRPr="005B31B2">
        <w:rPr>
          <w:rFonts w:ascii="Century" w:hAnsi="Century" w:hint="cs"/>
          <w:sz w:val="22"/>
          <w:rtl/>
        </w:rPr>
        <w:t xml:space="preserve">). </w:t>
      </w:r>
      <w:r w:rsidDel="001F22E4">
        <w:rPr>
          <w:rFonts w:hint="cs"/>
          <w:rtl/>
        </w:rPr>
        <w:t xml:space="preserve">התחקות אחר הפרשנות הראויה בנסיבות העניין מחייבת אפוא כי נשים לנגד עינינו את תכליתו העיקרית של החוק והסעיף </w:t>
      </w:r>
      <w:r w:rsidDel="001F22E4">
        <w:rPr>
          <w:rtl/>
        </w:rPr>
        <w:t>–</w:t>
      </w:r>
      <w:r w:rsidDel="001F22E4">
        <w:rPr>
          <w:rFonts w:hint="cs"/>
          <w:rtl/>
        </w:rPr>
        <w:t xml:space="preserve"> עידוד עלייתם של יהודי</w:t>
      </w:r>
      <w:r>
        <w:rPr>
          <w:rFonts w:hint="cs"/>
          <w:rtl/>
        </w:rPr>
        <w:t>ם</w:t>
      </w:r>
      <w:r w:rsidDel="001F22E4">
        <w:rPr>
          <w:rFonts w:hint="cs"/>
          <w:rtl/>
        </w:rPr>
        <w:t xml:space="preserve"> ובני העם היהודי ארצה. הצבת תכלית זו בראש סדר העדיפויות מקשה עד מאוד על המסקנה כי אלמנתו של זכאי שבות זכאית לעלות ארצה מכוח החוק. </w:t>
      </w:r>
      <w:r>
        <w:rPr>
          <w:rFonts w:hint="cs"/>
          <w:rtl/>
        </w:rPr>
        <w:t xml:space="preserve">ראשית, בשונה מבנו ונכדו של יהודי אשר קשורים אליו בקשר דם </w:t>
      </w:r>
      <w:r>
        <w:rPr>
          <w:rtl/>
        </w:rPr>
        <w:t>–</w:t>
      </w:r>
      <w:r>
        <w:rPr>
          <w:rFonts w:hint="cs"/>
          <w:rtl/>
        </w:rPr>
        <w:t xml:space="preserve"> קשר שכיניתי אותו בפסק הדין מושא הדיון הנוסף כחוט משולש שלא במהרה יינתק; קשרם של בני זוגם של זכאי השבות אל היהודי מבוסס על קשרי זוגיות </w:t>
      </w:r>
      <w:r>
        <w:rPr>
          <w:rtl/>
        </w:rPr>
        <w:t>–</w:t>
      </w:r>
      <w:r>
        <w:rPr>
          <w:rFonts w:hint="cs"/>
          <w:rtl/>
        </w:rPr>
        <w:t xml:space="preserve"> קשרים שמטבעם ניתנים לפרימה, לפירוד, לגירושין ולניתוק על רקע פטירה. על </w:t>
      </w:r>
      <w:r w:rsidRPr="000C4F9C">
        <w:rPr>
          <w:rFonts w:hint="cs"/>
          <w:rtl/>
        </w:rPr>
        <w:t>הבחנה זו</w:t>
      </w:r>
      <w:r>
        <w:rPr>
          <w:rFonts w:hint="cs"/>
          <w:rtl/>
        </w:rPr>
        <w:t xml:space="preserve"> בין קשרי דם לקשרי זוגיות בהקשר של זכאות לשבות</w:t>
      </w:r>
      <w:r w:rsidRPr="000C4F9C">
        <w:rPr>
          <w:rFonts w:hint="cs"/>
          <w:rtl/>
        </w:rPr>
        <w:t xml:space="preserve"> עמדה השופטת </w:t>
      </w:r>
      <w:r w:rsidRPr="000C4F9C">
        <w:rPr>
          <w:rFonts w:ascii="Century" w:hAnsi="Century" w:cs="Miriam" w:hint="cs"/>
          <w:b/>
          <w:spacing w:val="0"/>
          <w:sz w:val="22"/>
          <w:szCs w:val="24"/>
          <w:rtl/>
        </w:rPr>
        <w:t>ארבל</w:t>
      </w:r>
      <w:r w:rsidRPr="000C4F9C">
        <w:rPr>
          <w:rFonts w:hint="cs"/>
          <w:rtl/>
        </w:rPr>
        <w:t xml:space="preserve"> בעניין </w:t>
      </w:r>
      <w:r w:rsidRPr="000C4F9C">
        <w:rPr>
          <w:rFonts w:ascii="Century" w:hAnsi="Century" w:cs="Miriam" w:hint="cs"/>
          <w:b/>
          <w:spacing w:val="0"/>
          <w:sz w:val="22"/>
          <w:szCs w:val="24"/>
          <w:rtl/>
        </w:rPr>
        <w:t>גורודצקי</w:t>
      </w:r>
      <w:r w:rsidRPr="000C4F9C">
        <w:rPr>
          <w:rFonts w:hint="cs"/>
          <w:rtl/>
        </w:rPr>
        <w:t>:</w:t>
      </w:r>
    </w:p>
    <w:p w:rsidR="00BA03D0" w:rsidRPr="000C4F9C" w:rsidRDefault="00BA03D0" w:rsidP="00BA03D0">
      <w:pPr>
        <w:pStyle w:val="Ruller41"/>
        <w:rPr>
          <w:rtl/>
        </w:rPr>
      </w:pPr>
    </w:p>
    <w:p w:rsidR="00BA03D0" w:rsidRDefault="00BA03D0" w:rsidP="00BA03D0">
      <w:pPr>
        <w:pStyle w:val="Ruller5"/>
        <w:rPr>
          <w:rtl/>
        </w:rPr>
      </w:pPr>
      <w:r w:rsidRPr="000C4F9C">
        <w:rPr>
          <w:rFonts w:hint="cs"/>
          <w:rtl/>
        </w:rPr>
        <w:t>"</w:t>
      </w:r>
      <w:r w:rsidRPr="000C4F9C">
        <w:rPr>
          <w:rFonts w:hint="eastAsia"/>
          <w:rtl/>
        </w:rPr>
        <w:t>גם</w:t>
      </w:r>
      <w:r w:rsidRPr="000C4F9C">
        <w:rPr>
          <w:rtl/>
        </w:rPr>
        <w:t xml:space="preserve"> </w:t>
      </w:r>
      <w:r w:rsidRPr="000C4F9C">
        <w:rPr>
          <w:rFonts w:hint="eastAsia"/>
          <w:rtl/>
        </w:rPr>
        <w:t>על</w:t>
      </w:r>
      <w:r w:rsidRPr="000C4F9C">
        <w:rPr>
          <w:rtl/>
        </w:rPr>
        <w:t>-</w:t>
      </w:r>
      <w:r w:rsidRPr="000C4F9C">
        <w:rPr>
          <w:rFonts w:hint="eastAsia"/>
          <w:rtl/>
        </w:rPr>
        <w:t>פי</w:t>
      </w:r>
      <w:r w:rsidRPr="000C4F9C">
        <w:rPr>
          <w:rtl/>
        </w:rPr>
        <w:t xml:space="preserve"> </w:t>
      </w:r>
      <w:r w:rsidRPr="000C4F9C">
        <w:rPr>
          <w:rFonts w:hint="eastAsia"/>
          <w:rtl/>
        </w:rPr>
        <w:t>תפישה</w:t>
      </w:r>
      <w:r w:rsidRPr="000C4F9C">
        <w:rPr>
          <w:rtl/>
        </w:rPr>
        <w:t xml:space="preserve"> </w:t>
      </w:r>
      <w:r w:rsidRPr="000C4F9C">
        <w:rPr>
          <w:rFonts w:hint="eastAsia"/>
          <w:rtl/>
        </w:rPr>
        <w:t>חילונית</w:t>
      </w:r>
      <w:r w:rsidRPr="000C4F9C">
        <w:rPr>
          <w:rtl/>
        </w:rPr>
        <w:t>-</w:t>
      </w:r>
      <w:r w:rsidRPr="000C4F9C">
        <w:rPr>
          <w:rFonts w:hint="eastAsia"/>
          <w:rtl/>
        </w:rPr>
        <w:t>לאומית</w:t>
      </w:r>
      <w:r w:rsidRPr="000C4F9C">
        <w:rPr>
          <w:rtl/>
        </w:rPr>
        <w:t xml:space="preserve"> </w:t>
      </w:r>
      <w:r w:rsidRPr="000C4F9C">
        <w:rPr>
          <w:rFonts w:hint="eastAsia"/>
          <w:rtl/>
        </w:rPr>
        <w:t>הרואה</w:t>
      </w:r>
      <w:r w:rsidRPr="000C4F9C">
        <w:rPr>
          <w:rtl/>
        </w:rPr>
        <w:t xml:space="preserve"> </w:t>
      </w:r>
      <w:r w:rsidRPr="000C4F9C">
        <w:rPr>
          <w:rFonts w:hint="eastAsia"/>
          <w:rtl/>
        </w:rPr>
        <w:t>את</w:t>
      </w:r>
      <w:r w:rsidRPr="000C4F9C">
        <w:rPr>
          <w:rtl/>
        </w:rPr>
        <w:t xml:space="preserve"> </w:t>
      </w:r>
      <w:r w:rsidRPr="000C4F9C">
        <w:rPr>
          <w:rFonts w:hint="eastAsia"/>
          <w:rtl/>
        </w:rPr>
        <w:t>הגדרת</w:t>
      </w:r>
      <w:r w:rsidRPr="000C4F9C">
        <w:rPr>
          <w:rtl/>
        </w:rPr>
        <w:t xml:space="preserve"> </w:t>
      </w:r>
      <w:r w:rsidRPr="000C4F9C">
        <w:rPr>
          <w:rFonts w:hint="eastAsia"/>
          <w:rtl/>
        </w:rPr>
        <w:t>היהודי</w:t>
      </w:r>
      <w:r w:rsidRPr="000C4F9C">
        <w:rPr>
          <w:rtl/>
        </w:rPr>
        <w:t xml:space="preserve"> </w:t>
      </w:r>
      <w:r w:rsidRPr="000C4F9C">
        <w:rPr>
          <w:rFonts w:hint="eastAsia"/>
          <w:rtl/>
        </w:rPr>
        <w:t>באופן</w:t>
      </w:r>
      <w:r w:rsidRPr="000C4F9C">
        <w:rPr>
          <w:rtl/>
        </w:rPr>
        <w:t xml:space="preserve"> </w:t>
      </w:r>
      <w:r w:rsidRPr="000C4F9C">
        <w:rPr>
          <w:rFonts w:hint="eastAsia"/>
          <w:rtl/>
        </w:rPr>
        <w:t>רחב</w:t>
      </w:r>
      <w:r w:rsidRPr="000C4F9C">
        <w:rPr>
          <w:rtl/>
        </w:rPr>
        <w:t xml:space="preserve"> </w:t>
      </w:r>
      <w:r w:rsidRPr="000C4F9C">
        <w:rPr>
          <w:rFonts w:hint="eastAsia"/>
          <w:rtl/>
        </w:rPr>
        <w:t>יותר</w:t>
      </w:r>
      <w:r w:rsidRPr="000C4F9C">
        <w:rPr>
          <w:rtl/>
        </w:rPr>
        <w:t xml:space="preserve"> </w:t>
      </w:r>
      <w:r w:rsidRPr="000C4F9C">
        <w:rPr>
          <w:rFonts w:hint="eastAsia"/>
          <w:rtl/>
        </w:rPr>
        <w:t>מהתפיסה</w:t>
      </w:r>
      <w:r w:rsidRPr="000C4F9C">
        <w:rPr>
          <w:rtl/>
        </w:rPr>
        <w:t xml:space="preserve"> </w:t>
      </w:r>
      <w:r w:rsidRPr="000C4F9C">
        <w:rPr>
          <w:rFonts w:hint="eastAsia"/>
          <w:rtl/>
        </w:rPr>
        <w:t>המסורתית</w:t>
      </w:r>
      <w:r w:rsidRPr="000C4F9C">
        <w:rPr>
          <w:rtl/>
        </w:rPr>
        <w:t>-</w:t>
      </w:r>
      <w:r w:rsidRPr="000C4F9C">
        <w:rPr>
          <w:rFonts w:hint="eastAsia"/>
          <w:rtl/>
        </w:rPr>
        <w:t>דתית</w:t>
      </w:r>
      <w:r w:rsidRPr="000C4F9C">
        <w:rPr>
          <w:rtl/>
        </w:rPr>
        <w:t xml:space="preserve">, </w:t>
      </w:r>
      <w:r w:rsidRPr="000C4F9C">
        <w:rPr>
          <w:rFonts w:hint="eastAsia"/>
          <w:rtl/>
        </w:rPr>
        <w:t>הרי</w:t>
      </w:r>
      <w:r w:rsidRPr="000C4F9C">
        <w:rPr>
          <w:rtl/>
        </w:rPr>
        <w:t xml:space="preserve"> </w:t>
      </w:r>
      <w:r w:rsidRPr="000C4F9C">
        <w:rPr>
          <w:rFonts w:hint="eastAsia"/>
          <w:rtl/>
        </w:rPr>
        <w:t>שבן</w:t>
      </w:r>
      <w:r w:rsidRPr="000C4F9C">
        <w:rPr>
          <w:rtl/>
        </w:rPr>
        <w:t xml:space="preserve"> </w:t>
      </w:r>
      <w:r w:rsidRPr="000C4F9C">
        <w:rPr>
          <w:rFonts w:hint="eastAsia"/>
          <w:rtl/>
        </w:rPr>
        <w:t>הזוג</w:t>
      </w:r>
      <w:r w:rsidRPr="000C4F9C">
        <w:rPr>
          <w:rtl/>
        </w:rPr>
        <w:t xml:space="preserve"> </w:t>
      </w:r>
      <w:r w:rsidRPr="000C4F9C">
        <w:rPr>
          <w:rFonts w:hint="eastAsia"/>
          <w:rtl/>
        </w:rPr>
        <w:t>הלא</w:t>
      </w:r>
      <w:r w:rsidRPr="000C4F9C">
        <w:rPr>
          <w:rtl/>
        </w:rPr>
        <w:t xml:space="preserve"> </w:t>
      </w:r>
      <w:r w:rsidRPr="000C4F9C">
        <w:rPr>
          <w:rFonts w:hint="eastAsia"/>
          <w:rtl/>
        </w:rPr>
        <w:t>יהודי</w:t>
      </w:r>
      <w:r w:rsidRPr="000C4F9C">
        <w:rPr>
          <w:rtl/>
        </w:rPr>
        <w:t xml:space="preserve"> </w:t>
      </w:r>
      <w:r w:rsidRPr="000C4F9C">
        <w:rPr>
          <w:rFonts w:hint="eastAsia"/>
          <w:rtl/>
        </w:rPr>
        <w:t>אינו</w:t>
      </w:r>
      <w:r w:rsidRPr="000C4F9C">
        <w:rPr>
          <w:rtl/>
        </w:rPr>
        <w:t xml:space="preserve"> </w:t>
      </w:r>
      <w:r w:rsidRPr="000C4F9C">
        <w:rPr>
          <w:rFonts w:hint="eastAsia"/>
          <w:rtl/>
        </w:rPr>
        <w:t>עומד</w:t>
      </w:r>
      <w:r w:rsidRPr="000C4F9C">
        <w:rPr>
          <w:rtl/>
        </w:rPr>
        <w:t xml:space="preserve"> </w:t>
      </w:r>
      <w:r w:rsidRPr="000C4F9C">
        <w:rPr>
          <w:rFonts w:hint="eastAsia"/>
          <w:rtl/>
        </w:rPr>
        <w:t>במרכזו</w:t>
      </w:r>
      <w:r w:rsidRPr="000C4F9C">
        <w:rPr>
          <w:rtl/>
        </w:rPr>
        <w:t xml:space="preserve"> </w:t>
      </w:r>
      <w:r w:rsidRPr="000C4F9C">
        <w:rPr>
          <w:rFonts w:hint="eastAsia"/>
          <w:rtl/>
        </w:rPr>
        <w:t>של</w:t>
      </w:r>
      <w:r w:rsidRPr="000C4F9C">
        <w:rPr>
          <w:rtl/>
        </w:rPr>
        <w:t xml:space="preserve"> </w:t>
      </w:r>
      <w:r w:rsidRPr="000C4F9C">
        <w:rPr>
          <w:rFonts w:hint="eastAsia"/>
          <w:rtl/>
        </w:rPr>
        <w:t>חוק</w:t>
      </w:r>
      <w:r w:rsidRPr="000C4F9C">
        <w:rPr>
          <w:rtl/>
        </w:rPr>
        <w:t xml:space="preserve"> </w:t>
      </w:r>
      <w:r w:rsidRPr="000C4F9C">
        <w:rPr>
          <w:rFonts w:hint="eastAsia"/>
          <w:rtl/>
        </w:rPr>
        <w:t>השבות</w:t>
      </w:r>
      <w:r w:rsidRPr="000C4F9C">
        <w:rPr>
          <w:rtl/>
        </w:rPr>
        <w:t xml:space="preserve"> </w:t>
      </w:r>
      <w:r w:rsidRPr="000C4F9C">
        <w:rPr>
          <w:rFonts w:hint="eastAsia"/>
          <w:rtl/>
        </w:rPr>
        <w:t>ותכליתו</w:t>
      </w:r>
      <w:r w:rsidRPr="000C4F9C">
        <w:rPr>
          <w:rtl/>
        </w:rPr>
        <w:t xml:space="preserve"> </w:t>
      </w:r>
      <w:r w:rsidRPr="000C4F9C">
        <w:rPr>
          <w:rFonts w:hint="eastAsia"/>
          <w:rtl/>
        </w:rPr>
        <w:t>אינה</w:t>
      </w:r>
      <w:r w:rsidRPr="000C4F9C">
        <w:rPr>
          <w:rtl/>
        </w:rPr>
        <w:t xml:space="preserve"> </w:t>
      </w:r>
      <w:r w:rsidRPr="000C4F9C">
        <w:rPr>
          <w:rFonts w:hint="eastAsia"/>
          <w:rtl/>
        </w:rPr>
        <w:t>מכוונת</w:t>
      </w:r>
      <w:r w:rsidRPr="000C4F9C">
        <w:rPr>
          <w:rtl/>
        </w:rPr>
        <w:t xml:space="preserve"> </w:t>
      </w:r>
      <w:r w:rsidRPr="000C4F9C">
        <w:rPr>
          <w:rFonts w:hint="eastAsia"/>
          <w:rtl/>
        </w:rPr>
        <w:t>אליו</w:t>
      </w:r>
      <w:r w:rsidRPr="000C4F9C">
        <w:rPr>
          <w:rFonts w:hint="cs"/>
          <w:rtl/>
        </w:rPr>
        <w:t>...</w:t>
      </w:r>
      <w:r w:rsidRPr="000C4F9C">
        <w:rPr>
          <w:rtl/>
        </w:rPr>
        <w:t xml:space="preserve"> </w:t>
      </w:r>
      <w:r w:rsidRPr="000C4F9C">
        <w:rPr>
          <w:rFonts w:hint="eastAsia"/>
          <w:rtl/>
        </w:rPr>
        <w:t>יש</w:t>
      </w:r>
      <w:r w:rsidRPr="000C4F9C">
        <w:rPr>
          <w:rtl/>
        </w:rPr>
        <w:t xml:space="preserve"> </w:t>
      </w:r>
      <w:r w:rsidRPr="000C4F9C">
        <w:rPr>
          <w:rFonts w:hint="eastAsia"/>
          <w:rtl/>
        </w:rPr>
        <w:t>לציין</w:t>
      </w:r>
      <w:r w:rsidRPr="000C4F9C">
        <w:rPr>
          <w:rtl/>
        </w:rPr>
        <w:t xml:space="preserve"> </w:t>
      </w:r>
      <w:r w:rsidRPr="000C4F9C">
        <w:rPr>
          <w:rFonts w:hint="eastAsia"/>
          <w:rtl/>
        </w:rPr>
        <w:t>כי</w:t>
      </w:r>
      <w:r w:rsidRPr="000C4F9C">
        <w:rPr>
          <w:rtl/>
        </w:rPr>
        <w:t xml:space="preserve"> </w:t>
      </w:r>
      <w:r w:rsidRPr="000C4F9C">
        <w:rPr>
          <w:rFonts w:hint="eastAsia"/>
          <w:rtl/>
        </w:rPr>
        <w:t>הדבר</w:t>
      </w:r>
      <w:r w:rsidRPr="000C4F9C">
        <w:rPr>
          <w:rtl/>
        </w:rPr>
        <w:t xml:space="preserve"> </w:t>
      </w:r>
      <w:r w:rsidRPr="000C4F9C">
        <w:rPr>
          <w:rFonts w:hint="eastAsia"/>
          <w:rtl/>
        </w:rPr>
        <w:t>שונה</w:t>
      </w:r>
      <w:r w:rsidRPr="000C4F9C">
        <w:rPr>
          <w:rtl/>
        </w:rPr>
        <w:t xml:space="preserve"> </w:t>
      </w:r>
      <w:r w:rsidRPr="000C4F9C">
        <w:rPr>
          <w:rFonts w:hint="eastAsia"/>
          <w:rtl/>
        </w:rPr>
        <w:t>אצל</w:t>
      </w:r>
      <w:r w:rsidRPr="000C4F9C">
        <w:rPr>
          <w:rtl/>
        </w:rPr>
        <w:t xml:space="preserve"> </w:t>
      </w:r>
      <w:r w:rsidRPr="000C4F9C">
        <w:rPr>
          <w:rFonts w:hint="eastAsia"/>
          <w:rtl/>
        </w:rPr>
        <w:t>צאצא</w:t>
      </w:r>
      <w:r w:rsidRPr="000C4F9C">
        <w:rPr>
          <w:rtl/>
        </w:rPr>
        <w:t xml:space="preserve"> </w:t>
      </w:r>
      <w:r w:rsidRPr="000C4F9C">
        <w:rPr>
          <w:rFonts w:hint="eastAsia"/>
          <w:rtl/>
        </w:rPr>
        <w:t>של</w:t>
      </w:r>
      <w:r w:rsidRPr="000C4F9C">
        <w:rPr>
          <w:rtl/>
        </w:rPr>
        <w:t xml:space="preserve"> </w:t>
      </w:r>
      <w:r w:rsidRPr="000C4F9C">
        <w:rPr>
          <w:rFonts w:hint="eastAsia"/>
          <w:rtl/>
        </w:rPr>
        <w:t>יהודי</w:t>
      </w:r>
      <w:r w:rsidRPr="000C4F9C">
        <w:rPr>
          <w:rtl/>
        </w:rPr>
        <w:t xml:space="preserve">, </w:t>
      </w:r>
      <w:r w:rsidRPr="000C4F9C">
        <w:rPr>
          <w:rFonts w:hint="eastAsia"/>
          <w:rtl/>
        </w:rPr>
        <w:t>אשר</w:t>
      </w:r>
      <w:r w:rsidRPr="000C4F9C">
        <w:rPr>
          <w:rtl/>
        </w:rPr>
        <w:t xml:space="preserve"> </w:t>
      </w:r>
      <w:r w:rsidRPr="000C4F9C">
        <w:rPr>
          <w:rFonts w:hint="eastAsia"/>
          <w:rtl/>
        </w:rPr>
        <w:t>גם</w:t>
      </w:r>
      <w:r w:rsidRPr="000C4F9C">
        <w:rPr>
          <w:rtl/>
        </w:rPr>
        <w:t xml:space="preserve"> </w:t>
      </w:r>
      <w:r w:rsidRPr="000C4F9C">
        <w:rPr>
          <w:rFonts w:hint="eastAsia"/>
          <w:rtl/>
        </w:rPr>
        <w:t>אם</w:t>
      </w:r>
      <w:r w:rsidRPr="000C4F9C">
        <w:rPr>
          <w:rtl/>
        </w:rPr>
        <w:t xml:space="preserve"> </w:t>
      </w:r>
      <w:r w:rsidRPr="000C4F9C">
        <w:rPr>
          <w:rFonts w:hint="eastAsia"/>
          <w:rtl/>
        </w:rPr>
        <w:t>אינו</w:t>
      </w:r>
      <w:r w:rsidRPr="000C4F9C">
        <w:rPr>
          <w:rtl/>
        </w:rPr>
        <w:t xml:space="preserve"> </w:t>
      </w:r>
      <w:r w:rsidRPr="000C4F9C">
        <w:rPr>
          <w:rFonts w:hint="eastAsia"/>
          <w:rtl/>
        </w:rPr>
        <w:t>יהודי</w:t>
      </w:r>
      <w:r w:rsidRPr="000C4F9C">
        <w:rPr>
          <w:rtl/>
        </w:rPr>
        <w:t xml:space="preserve"> </w:t>
      </w:r>
      <w:r w:rsidRPr="000C4F9C">
        <w:rPr>
          <w:rFonts w:hint="eastAsia"/>
          <w:rtl/>
        </w:rPr>
        <w:t>על</w:t>
      </w:r>
      <w:r w:rsidRPr="000C4F9C">
        <w:rPr>
          <w:rtl/>
        </w:rPr>
        <w:t>-</w:t>
      </w:r>
      <w:r w:rsidRPr="000C4F9C">
        <w:rPr>
          <w:rFonts w:hint="eastAsia"/>
          <w:rtl/>
        </w:rPr>
        <w:t>פי</w:t>
      </w:r>
      <w:r w:rsidRPr="000C4F9C">
        <w:rPr>
          <w:rtl/>
        </w:rPr>
        <w:t xml:space="preserve"> </w:t>
      </w:r>
      <w:r w:rsidRPr="000C4F9C">
        <w:rPr>
          <w:rFonts w:hint="eastAsia"/>
          <w:rtl/>
        </w:rPr>
        <w:t>ההלכה</w:t>
      </w:r>
      <w:r w:rsidRPr="000C4F9C">
        <w:rPr>
          <w:rtl/>
        </w:rPr>
        <w:t xml:space="preserve"> </w:t>
      </w:r>
      <w:r w:rsidRPr="000C4F9C">
        <w:rPr>
          <w:rFonts w:hint="eastAsia"/>
          <w:rtl/>
        </w:rPr>
        <w:t>זיקתו</w:t>
      </w:r>
      <w:r w:rsidRPr="000C4F9C">
        <w:rPr>
          <w:rtl/>
        </w:rPr>
        <w:t xml:space="preserve"> </w:t>
      </w:r>
      <w:r w:rsidRPr="000C4F9C">
        <w:rPr>
          <w:rFonts w:hint="eastAsia"/>
          <w:rtl/>
        </w:rPr>
        <w:t>ליהדות</w:t>
      </w:r>
      <w:r w:rsidRPr="000C4F9C">
        <w:rPr>
          <w:rtl/>
        </w:rPr>
        <w:t xml:space="preserve"> </w:t>
      </w:r>
      <w:r w:rsidRPr="000C4F9C">
        <w:rPr>
          <w:rFonts w:hint="eastAsia"/>
          <w:rtl/>
        </w:rPr>
        <w:t>נקבעת</w:t>
      </w:r>
      <w:r w:rsidRPr="000C4F9C">
        <w:rPr>
          <w:rtl/>
        </w:rPr>
        <w:t xml:space="preserve"> </w:t>
      </w:r>
      <w:r w:rsidRPr="000C4F9C">
        <w:rPr>
          <w:rFonts w:hint="eastAsia"/>
          <w:rtl/>
        </w:rPr>
        <w:t>מרגע</w:t>
      </w:r>
      <w:r w:rsidRPr="000C4F9C">
        <w:rPr>
          <w:rtl/>
        </w:rPr>
        <w:t xml:space="preserve"> </w:t>
      </w:r>
      <w:r w:rsidRPr="000C4F9C">
        <w:rPr>
          <w:rFonts w:hint="eastAsia"/>
          <w:rtl/>
        </w:rPr>
        <w:t>לידתו</w:t>
      </w:r>
      <w:r w:rsidRPr="000C4F9C">
        <w:rPr>
          <w:rtl/>
        </w:rPr>
        <w:t xml:space="preserve"> </w:t>
      </w:r>
      <w:r w:rsidRPr="000C4F9C">
        <w:rPr>
          <w:rFonts w:hint="eastAsia"/>
          <w:rtl/>
        </w:rPr>
        <w:t>לאדם</w:t>
      </w:r>
      <w:r w:rsidRPr="000C4F9C">
        <w:rPr>
          <w:rtl/>
        </w:rPr>
        <w:t xml:space="preserve"> </w:t>
      </w:r>
      <w:r w:rsidRPr="000C4F9C">
        <w:rPr>
          <w:rFonts w:hint="eastAsia"/>
          <w:rtl/>
        </w:rPr>
        <w:t>יהודי</w:t>
      </w:r>
      <w:r w:rsidRPr="000C4F9C">
        <w:rPr>
          <w:rtl/>
        </w:rPr>
        <w:t xml:space="preserve"> </w:t>
      </w:r>
      <w:r w:rsidRPr="000C4F9C">
        <w:rPr>
          <w:rFonts w:hint="eastAsia"/>
          <w:rtl/>
        </w:rPr>
        <w:t>באמצעות</w:t>
      </w:r>
      <w:r w:rsidRPr="000C4F9C">
        <w:rPr>
          <w:rtl/>
        </w:rPr>
        <w:t xml:space="preserve"> </w:t>
      </w:r>
      <w:r w:rsidRPr="000C4F9C">
        <w:rPr>
          <w:rFonts w:hint="eastAsia"/>
          <w:rtl/>
        </w:rPr>
        <w:t>קשר</w:t>
      </w:r>
      <w:r w:rsidRPr="000C4F9C">
        <w:rPr>
          <w:rtl/>
        </w:rPr>
        <w:t xml:space="preserve"> </w:t>
      </w:r>
      <w:r w:rsidRPr="000C4F9C">
        <w:rPr>
          <w:rFonts w:hint="eastAsia"/>
          <w:rtl/>
        </w:rPr>
        <w:t>הדם</w:t>
      </w:r>
      <w:r w:rsidRPr="000C4F9C">
        <w:rPr>
          <w:rtl/>
        </w:rPr>
        <w:t xml:space="preserve">. </w:t>
      </w:r>
      <w:r w:rsidRPr="000C4F9C">
        <w:rPr>
          <w:rFonts w:hint="eastAsia"/>
          <w:rtl/>
        </w:rPr>
        <w:t>על</w:t>
      </w:r>
      <w:r w:rsidRPr="000C4F9C">
        <w:rPr>
          <w:rtl/>
        </w:rPr>
        <w:t xml:space="preserve"> </w:t>
      </w:r>
      <w:r w:rsidRPr="000C4F9C">
        <w:rPr>
          <w:rFonts w:hint="eastAsia"/>
          <w:rtl/>
        </w:rPr>
        <w:t>הבחנה</w:t>
      </w:r>
      <w:r w:rsidRPr="000C4F9C">
        <w:rPr>
          <w:rtl/>
        </w:rPr>
        <w:t xml:space="preserve"> </w:t>
      </w:r>
      <w:r w:rsidRPr="000C4F9C">
        <w:rPr>
          <w:rFonts w:hint="eastAsia"/>
          <w:rtl/>
        </w:rPr>
        <w:t>זו</w:t>
      </w:r>
      <w:r w:rsidRPr="000C4F9C">
        <w:rPr>
          <w:rtl/>
        </w:rPr>
        <w:t xml:space="preserve"> </w:t>
      </w:r>
      <w:r w:rsidRPr="000C4F9C">
        <w:rPr>
          <w:rFonts w:hint="eastAsia"/>
          <w:rtl/>
        </w:rPr>
        <w:t>ניתן</w:t>
      </w:r>
      <w:r w:rsidRPr="000C4F9C">
        <w:rPr>
          <w:rtl/>
        </w:rPr>
        <w:t xml:space="preserve"> </w:t>
      </w:r>
      <w:r w:rsidRPr="000C4F9C">
        <w:rPr>
          <w:rFonts w:hint="eastAsia"/>
          <w:rtl/>
        </w:rPr>
        <w:t>ללמוד</w:t>
      </w:r>
      <w:r w:rsidRPr="000C4F9C">
        <w:rPr>
          <w:rtl/>
        </w:rPr>
        <w:t xml:space="preserve"> </w:t>
      </w:r>
      <w:r w:rsidRPr="000C4F9C">
        <w:rPr>
          <w:rFonts w:hint="eastAsia"/>
          <w:rtl/>
        </w:rPr>
        <w:t>מהוראות</w:t>
      </w:r>
      <w:r w:rsidRPr="000C4F9C">
        <w:rPr>
          <w:rtl/>
        </w:rPr>
        <w:t xml:space="preserve"> </w:t>
      </w:r>
      <w:r w:rsidRPr="000C4F9C">
        <w:rPr>
          <w:rFonts w:hint="eastAsia"/>
          <w:rtl/>
        </w:rPr>
        <w:t>חוק</w:t>
      </w:r>
      <w:r w:rsidRPr="000C4F9C">
        <w:rPr>
          <w:rtl/>
        </w:rPr>
        <w:t xml:space="preserve"> </w:t>
      </w:r>
      <w:r w:rsidRPr="000C4F9C">
        <w:rPr>
          <w:rFonts w:hint="eastAsia"/>
          <w:rtl/>
        </w:rPr>
        <w:t>השבות</w:t>
      </w:r>
      <w:r w:rsidRPr="000C4F9C">
        <w:rPr>
          <w:rtl/>
        </w:rPr>
        <w:t xml:space="preserve"> </w:t>
      </w:r>
      <w:r w:rsidRPr="000C4F9C">
        <w:rPr>
          <w:rFonts w:hint="eastAsia"/>
          <w:rtl/>
        </w:rPr>
        <w:t>עצמו</w:t>
      </w:r>
      <w:r w:rsidRPr="000C4F9C">
        <w:rPr>
          <w:rtl/>
        </w:rPr>
        <w:t xml:space="preserve">. </w:t>
      </w:r>
      <w:r w:rsidRPr="000C4F9C">
        <w:rPr>
          <w:rFonts w:hint="eastAsia"/>
          <w:rtl/>
        </w:rPr>
        <w:t>יש</w:t>
      </w:r>
      <w:r w:rsidRPr="000C4F9C">
        <w:rPr>
          <w:rtl/>
        </w:rPr>
        <w:t xml:space="preserve"> </w:t>
      </w:r>
      <w:r w:rsidRPr="000C4F9C">
        <w:rPr>
          <w:rFonts w:hint="eastAsia"/>
          <w:rtl/>
        </w:rPr>
        <w:t>לשים</w:t>
      </w:r>
      <w:r w:rsidRPr="000C4F9C">
        <w:rPr>
          <w:rtl/>
        </w:rPr>
        <w:t xml:space="preserve"> </w:t>
      </w:r>
      <w:r w:rsidRPr="000C4F9C">
        <w:rPr>
          <w:rFonts w:hint="eastAsia"/>
          <w:rtl/>
        </w:rPr>
        <w:t>לב</w:t>
      </w:r>
      <w:r w:rsidRPr="000C4F9C">
        <w:rPr>
          <w:rtl/>
        </w:rPr>
        <w:t xml:space="preserve"> </w:t>
      </w:r>
      <w:r w:rsidRPr="000C4F9C">
        <w:rPr>
          <w:rFonts w:hint="eastAsia"/>
          <w:rtl/>
        </w:rPr>
        <w:t>כי</w:t>
      </w:r>
      <w:r w:rsidRPr="000C4F9C">
        <w:rPr>
          <w:rtl/>
        </w:rPr>
        <w:t xml:space="preserve"> </w:t>
      </w:r>
      <w:r w:rsidRPr="000C4F9C">
        <w:rPr>
          <w:rFonts w:hint="eastAsia"/>
          <w:rtl/>
        </w:rPr>
        <w:t>בני</w:t>
      </w:r>
      <w:r w:rsidRPr="000C4F9C">
        <w:rPr>
          <w:rtl/>
        </w:rPr>
        <w:t xml:space="preserve"> </w:t>
      </w:r>
      <w:r w:rsidRPr="000C4F9C">
        <w:rPr>
          <w:rFonts w:hint="eastAsia"/>
          <w:rtl/>
        </w:rPr>
        <w:t>זוג</w:t>
      </w:r>
      <w:r w:rsidRPr="000C4F9C">
        <w:rPr>
          <w:rtl/>
        </w:rPr>
        <w:t xml:space="preserve"> </w:t>
      </w:r>
      <w:r w:rsidRPr="000C4F9C">
        <w:rPr>
          <w:rFonts w:hint="eastAsia"/>
          <w:rtl/>
        </w:rPr>
        <w:t>שנפרדו</w:t>
      </w:r>
      <w:r w:rsidRPr="000C4F9C">
        <w:rPr>
          <w:rtl/>
        </w:rPr>
        <w:t xml:space="preserve"> </w:t>
      </w:r>
      <w:r w:rsidRPr="000C4F9C">
        <w:rPr>
          <w:rFonts w:hint="eastAsia"/>
          <w:rtl/>
        </w:rPr>
        <w:t>כאשר</w:t>
      </w:r>
      <w:r w:rsidRPr="000C4F9C">
        <w:rPr>
          <w:rtl/>
        </w:rPr>
        <w:t xml:space="preserve"> </w:t>
      </w:r>
      <w:r w:rsidRPr="000C4F9C">
        <w:rPr>
          <w:rFonts w:hint="eastAsia"/>
          <w:rtl/>
        </w:rPr>
        <w:t>אחד</w:t>
      </w:r>
      <w:r w:rsidRPr="000C4F9C">
        <w:rPr>
          <w:rtl/>
        </w:rPr>
        <w:t xml:space="preserve"> </w:t>
      </w:r>
      <w:r w:rsidRPr="000C4F9C">
        <w:rPr>
          <w:rFonts w:hint="eastAsia"/>
          <w:rtl/>
        </w:rPr>
        <w:t>מהם</w:t>
      </w:r>
      <w:r w:rsidRPr="000C4F9C">
        <w:rPr>
          <w:rtl/>
        </w:rPr>
        <w:t xml:space="preserve"> </w:t>
      </w:r>
      <w:r w:rsidRPr="000C4F9C">
        <w:rPr>
          <w:rFonts w:hint="eastAsia"/>
          <w:rtl/>
        </w:rPr>
        <w:t>יהודי</w:t>
      </w:r>
      <w:r w:rsidRPr="000C4F9C">
        <w:rPr>
          <w:rtl/>
        </w:rPr>
        <w:t xml:space="preserve">, </w:t>
      </w:r>
      <w:r w:rsidRPr="000C4F9C">
        <w:rPr>
          <w:rFonts w:hint="eastAsia"/>
          <w:rtl/>
        </w:rPr>
        <w:t>בן</w:t>
      </w:r>
      <w:r w:rsidRPr="000C4F9C">
        <w:rPr>
          <w:rtl/>
        </w:rPr>
        <w:t xml:space="preserve"> </w:t>
      </w:r>
      <w:r w:rsidRPr="000C4F9C">
        <w:rPr>
          <w:rFonts w:hint="eastAsia"/>
          <w:rtl/>
        </w:rPr>
        <w:t>הזוג</w:t>
      </w:r>
      <w:r w:rsidRPr="000C4F9C">
        <w:rPr>
          <w:rtl/>
        </w:rPr>
        <w:t xml:space="preserve"> </w:t>
      </w:r>
      <w:r w:rsidRPr="000C4F9C">
        <w:rPr>
          <w:rFonts w:hint="eastAsia"/>
          <w:rtl/>
        </w:rPr>
        <w:t>הזר</w:t>
      </w:r>
      <w:r w:rsidRPr="000C4F9C">
        <w:rPr>
          <w:rtl/>
        </w:rPr>
        <w:t xml:space="preserve"> </w:t>
      </w:r>
      <w:r w:rsidRPr="000C4F9C">
        <w:rPr>
          <w:rFonts w:hint="eastAsia"/>
          <w:rtl/>
        </w:rPr>
        <w:t>אינו</w:t>
      </w:r>
      <w:r w:rsidRPr="000C4F9C">
        <w:rPr>
          <w:rtl/>
        </w:rPr>
        <w:t xml:space="preserve"> </w:t>
      </w:r>
      <w:r w:rsidRPr="000C4F9C">
        <w:rPr>
          <w:rFonts w:hint="eastAsia"/>
          <w:rtl/>
        </w:rPr>
        <w:t>זכאי</w:t>
      </w:r>
      <w:r w:rsidRPr="000C4F9C">
        <w:rPr>
          <w:rtl/>
        </w:rPr>
        <w:t xml:space="preserve"> </w:t>
      </w:r>
      <w:r w:rsidRPr="000C4F9C">
        <w:rPr>
          <w:rFonts w:hint="eastAsia"/>
          <w:rtl/>
        </w:rPr>
        <w:t>לשבות</w:t>
      </w:r>
      <w:r w:rsidRPr="000C4F9C">
        <w:rPr>
          <w:rtl/>
        </w:rPr>
        <w:t xml:space="preserve"> </w:t>
      </w:r>
      <w:r w:rsidRPr="000C4F9C">
        <w:rPr>
          <w:rFonts w:hint="eastAsia"/>
          <w:rtl/>
        </w:rPr>
        <w:t>מכוח</w:t>
      </w:r>
      <w:r w:rsidRPr="000C4F9C">
        <w:rPr>
          <w:rtl/>
        </w:rPr>
        <w:t xml:space="preserve"> </w:t>
      </w:r>
      <w:r w:rsidRPr="000C4F9C">
        <w:rPr>
          <w:rFonts w:hint="eastAsia"/>
          <w:rtl/>
        </w:rPr>
        <w:t>חוק</w:t>
      </w:r>
      <w:r w:rsidRPr="000C4F9C">
        <w:rPr>
          <w:rtl/>
        </w:rPr>
        <w:t xml:space="preserve"> </w:t>
      </w:r>
      <w:r w:rsidRPr="000C4F9C">
        <w:rPr>
          <w:rFonts w:hint="eastAsia"/>
          <w:rtl/>
        </w:rPr>
        <w:t>השבות</w:t>
      </w:r>
      <w:r w:rsidRPr="000C4F9C">
        <w:rPr>
          <w:rtl/>
        </w:rPr>
        <w:t xml:space="preserve"> </w:t>
      </w:r>
      <w:r w:rsidRPr="000C4F9C">
        <w:rPr>
          <w:rFonts w:hint="eastAsia"/>
          <w:rtl/>
        </w:rPr>
        <w:t>על</w:t>
      </w:r>
      <w:r w:rsidRPr="000C4F9C">
        <w:rPr>
          <w:rtl/>
        </w:rPr>
        <w:t xml:space="preserve"> </w:t>
      </w:r>
      <w:r w:rsidRPr="000C4F9C">
        <w:rPr>
          <w:rFonts w:hint="eastAsia"/>
          <w:rtl/>
        </w:rPr>
        <w:t>אף</w:t>
      </w:r>
      <w:r w:rsidRPr="000C4F9C">
        <w:rPr>
          <w:rtl/>
        </w:rPr>
        <w:t xml:space="preserve"> </w:t>
      </w:r>
      <w:r w:rsidRPr="000C4F9C">
        <w:rPr>
          <w:rFonts w:hint="eastAsia"/>
          <w:rtl/>
        </w:rPr>
        <w:t>שגם</w:t>
      </w:r>
      <w:r w:rsidRPr="000C4F9C">
        <w:rPr>
          <w:rtl/>
        </w:rPr>
        <w:t xml:space="preserve"> </w:t>
      </w:r>
      <w:r w:rsidRPr="000C4F9C">
        <w:rPr>
          <w:rFonts w:hint="eastAsia"/>
          <w:rtl/>
        </w:rPr>
        <w:t>לגביו</w:t>
      </w:r>
      <w:r w:rsidRPr="000C4F9C">
        <w:rPr>
          <w:rtl/>
        </w:rPr>
        <w:t xml:space="preserve"> </w:t>
      </w:r>
      <w:r w:rsidRPr="000C4F9C">
        <w:rPr>
          <w:rFonts w:hint="eastAsia"/>
          <w:rtl/>
        </w:rPr>
        <w:t>ניתן</w:t>
      </w:r>
      <w:r w:rsidRPr="000C4F9C">
        <w:rPr>
          <w:rtl/>
        </w:rPr>
        <w:t xml:space="preserve"> </w:t>
      </w:r>
      <w:r w:rsidRPr="000C4F9C">
        <w:rPr>
          <w:rFonts w:hint="eastAsia"/>
          <w:rtl/>
        </w:rPr>
        <w:t>לטעון</w:t>
      </w:r>
      <w:r w:rsidRPr="000C4F9C">
        <w:rPr>
          <w:rtl/>
        </w:rPr>
        <w:t xml:space="preserve"> </w:t>
      </w:r>
      <w:r w:rsidRPr="000C4F9C">
        <w:rPr>
          <w:rFonts w:hint="eastAsia"/>
          <w:rtl/>
        </w:rPr>
        <w:t>כי</w:t>
      </w:r>
      <w:r w:rsidRPr="000C4F9C">
        <w:rPr>
          <w:rtl/>
        </w:rPr>
        <w:t xml:space="preserve"> </w:t>
      </w:r>
      <w:r w:rsidRPr="000C4F9C">
        <w:rPr>
          <w:rFonts w:hint="eastAsia"/>
          <w:rtl/>
        </w:rPr>
        <w:t>מתקיימות</w:t>
      </w:r>
      <w:r w:rsidRPr="000C4F9C">
        <w:rPr>
          <w:rtl/>
        </w:rPr>
        <w:t xml:space="preserve"> </w:t>
      </w:r>
      <w:r w:rsidRPr="000C4F9C">
        <w:rPr>
          <w:rFonts w:hint="eastAsia"/>
          <w:rtl/>
        </w:rPr>
        <w:t>בחלקן</w:t>
      </w:r>
      <w:r w:rsidRPr="000C4F9C">
        <w:rPr>
          <w:rtl/>
        </w:rPr>
        <w:t xml:space="preserve"> </w:t>
      </w:r>
      <w:r w:rsidRPr="000C4F9C">
        <w:rPr>
          <w:rFonts w:hint="eastAsia"/>
          <w:rtl/>
        </w:rPr>
        <w:t>תכליות</w:t>
      </w:r>
      <w:r w:rsidRPr="000C4F9C">
        <w:rPr>
          <w:rtl/>
        </w:rPr>
        <w:t xml:space="preserve"> </w:t>
      </w:r>
      <w:r w:rsidRPr="000C4F9C">
        <w:rPr>
          <w:rFonts w:hint="eastAsia"/>
          <w:rtl/>
        </w:rPr>
        <w:t>חוק</w:t>
      </w:r>
      <w:r w:rsidRPr="000C4F9C">
        <w:rPr>
          <w:rtl/>
        </w:rPr>
        <w:t xml:space="preserve"> </w:t>
      </w:r>
      <w:r w:rsidRPr="000C4F9C">
        <w:rPr>
          <w:rFonts w:hint="eastAsia"/>
          <w:rtl/>
        </w:rPr>
        <w:t>השבות</w:t>
      </w:r>
      <w:r w:rsidRPr="000C4F9C">
        <w:rPr>
          <w:rFonts w:hint="cs"/>
          <w:rtl/>
        </w:rPr>
        <w:t>...</w:t>
      </w:r>
      <w:r w:rsidRPr="000C4F9C">
        <w:rPr>
          <w:rtl/>
        </w:rPr>
        <w:t xml:space="preserve"> </w:t>
      </w:r>
      <w:r w:rsidRPr="000C4F9C">
        <w:rPr>
          <w:rFonts w:hint="eastAsia"/>
          <w:rtl/>
        </w:rPr>
        <w:t>לעומת</w:t>
      </w:r>
      <w:r w:rsidRPr="000C4F9C">
        <w:rPr>
          <w:rtl/>
        </w:rPr>
        <w:t xml:space="preserve"> </w:t>
      </w:r>
      <w:r w:rsidRPr="000C4F9C">
        <w:rPr>
          <w:rFonts w:hint="eastAsia"/>
          <w:rtl/>
        </w:rPr>
        <w:t>זאת</w:t>
      </w:r>
      <w:r w:rsidRPr="000C4F9C">
        <w:rPr>
          <w:rtl/>
        </w:rPr>
        <w:t xml:space="preserve">, </w:t>
      </w:r>
      <w:r w:rsidRPr="000C4F9C">
        <w:rPr>
          <w:rFonts w:hint="eastAsia"/>
          <w:rtl/>
        </w:rPr>
        <w:t>צאצאו</w:t>
      </w:r>
      <w:r w:rsidRPr="000C4F9C">
        <w:rPr>
          <w:rtl/>
        </w:rPr>
        <w:t xml:space="preserve"> </w:t>
      </w:r>
      <w:r w:rsidRPr="000C4F9C">
        <w:rPr>
          <w:rFonts w:hint="eastAsia"/>
          <w:rtl/>
        </w:rPr>
        <w:t>של</w:t>
      </w:r>
      <w:r w:rsidRPr="000C4F9C">
        <w:rPr>
          <w:rtl/>
        </w:rPr>
        <w:t xml:space="preserve"> </w:t>
      </w:r>
      <w:r w:rsidRPr="000C4F9C">
        <w:rPr>
          <w:rFonts w:hint="eastAsia"/>
          <w:rtl/>
        </w:rPr>
        <w:t>יהודי</w:t>
      </w:r>
      <w:r w:rsidRPr="000C4F9C">
        <w:rPr>
          <w:rtl/>
        </w:rPr>
        <w:t xml:space="preserve"> </w:t>
      </w:r>
      <w:r w:rsidRPr="000C4F9C">
        <w:rPr>
          <w:rFonts w:hint="eastAsia"/>
          <w:rtl/>
        </w:rPr>
        <w:t>יהיה</w:t>
      </w:r>
      <w:r w:rsidRPr="000C4F9C">
        <w:rPr>
          <w:rtl/>
        </w:rPr>
        <w:t xml:space="preserve"> </w:t>
      </w:r>
      <w:r w:rsidRPr="000C4F9C">
        <w:rPr>
          <w:rFonts w:hint="eastAsia"/>
          <w:rtl/>
        </w:rPr>
        <w:t>זכאי</w:t>
      </w:r>
      <w:r w:rsidRPr="000C4F9C">
        <w:rPr>
          <w:rtl/>
        </w:rPr>
        <w:t xml:space="preserve"> </w:t>
      </w:r>
      <w:r w:rsidRPr="000C4F9C">
        <w:rPr>
          <w:rFonts w:hint="eastAsia"/>
          <w:rtl/>
        </w:rPr>
        <w:t>לשבות</w:t>
      </w:r>
      <w:r w:rsidRPr="000C4F9C">
        <w:rPr>
          <w:rtl/>
        </w:rPr>
        <w:t xml:space="preserve"> </w:t>
      </w:r>
      <w:r w:rsidRPr="000C4F9C">
        <w:rPr>
          <w:rFonts w:hint="eastAsia"/>
          <w:rtl/>
        </w:rPr>
        <w:t>ללא</w:t>
      </w:r>
      <w:r w:rsidRPr="000C4F9C">
        <w:rPr>
          <w:rtl/>
        </w:rPr>
        <w:t xml:space="preserve"> </w:t>
      </w:r>
      <w:r w:rsidRPr="000C4F9C">
        <w:rPr>
          <w:rFonts w:hint="eastAsia"/>
          <w:rtl/>
        </w:rPr>
        <w:t>קשר</w:t>
      </w:r>
      <w:r w:rsidRPr="000C4F9C">
        <w:rPr>
          <w:rtl/>
        </w:rPr>
        <w:t xml:space="preserve"> </w:t>
      </w:r>
      <w:r w:rsidRPr="000C4F9C">
        <w:rPr>
          <w:rFonts w:hint="eastAsia"/>
          <w:rtl/>
        </w:rPr>
        <w:t>למצב</w:t>
      </w:r>
      <w:r w:rsidRPr="000C4F9C">
        <w:rPr>
          <w:rtl/>
        </w:rPr>
        <w:t xml:space="preserve"> </w:t>
      </w:r>
      <w:r w:rsidRPr="000C4F9C">
        <w:rPr>
          <w:rFonts w:hint="eastAsia"/>
          <w:rtl/>
        </w:rPr>
        <w:t>הזוגי</w:t>
      </w:r>
      <w:r w:rsidRPr="000C4F9C">
        <w:rPr>
          <w:rtl/>
        </w:rPr>
        <w:t xml:space="preserve"> </w:t>
      </w:r>
      <w:r w:rsidRPr="000C4F9C">
        <w:rPr>
          <w:rFonts w:hint="eastAsia"/>
          <w:rtl/>
        </w:rPr>
        <w:t>של</w:t>
      </w:r>
      <w:r w:rsidRPr="000C4F9C">
        <w:rPr>
          <w:rtl/>
        </w:rPr>
        <w:t xml:space="preserve"> </w:t>
      </w:r>
      <w:r w:rsidRPr="000C4F9C">
        <w:rPr>
          <w:rFonts w:hint="eastAsia"/>
          <w:rtl/>
        </w:rPr>
        <w:t>הוריו</w:t>
      </w:r>
      <w:r w:rsidRPr="000C4F9C">
        <w:rPr>
          <w:rtl/>
        </w:rPr>
        <w:t xml:space="preserve"> </w:t>
      </w:r>
      <w:r w:rsidRPr="000C4F9C">
        <w:rPr>
          <w:rFonts w:hint="eastAsia"/>
          <w:rtl/>
        </w:rPr>
        <w:t>או</w:t>
      </w:r>
      <w:r w:rsidRPr="000C4F9C">
        <w:rPr>
          <w:rtl/>
        </w:rPr>
        <w:t xml:space="preserve"> </w:t>
      </w:r>
      <w:r w:rsidRPr="000C4F9C">
        <w:rPr>
          <w:rFonts w:hint="eastAsia"/>
          <w:rtl/>
        </w:rPr>
        <w:t>לחיים</w:t>
      </w:r>
      <w:r w:rsidRPr="000C4F9C">
        <w:rPr>
          <w:rtl/>
        </w:rPr>
        <w:t xml:space="preserve"> </w:t>
      </w:r>
      <w:r w:rsidRPr="000C4F9C">
        <w:rPr>
          <w:rFonts w:hint="eastAsia"/>
          <w:rtl/>
        </w:rPr>
        <w:t>משותפים</w:t>
      </w:r>
      <w:r w:rsidRPr="000C4F9C">
        <w:rPr>
          <w:rtl/>
        </w:rPr>
        <w:t xml:space="preserve"> </w:t>
      </w:r>
      <w:r w:rsidRPr="000C4F9C">
        <w:rPr>
          <w:rFonts w:hint="eastAsia"/>
          <w:rtl/>
        </w:rPr>
        <w:t>עימם</w:t>
      </w:r>
      <w:r w:rsidRPr="000C4F9C">
        <w:rPr>
          <w:rtl/>
        </w:rPr>
        <w:t xml:space="preserve">. </w:t>
      </w:r>
      <w:r w:rsidRPr="000C4F9C">
        <w:rPr>
          <w:rFonts w:hint="eastAsia"/>
          <w:rtl/>
        </w:rPr>
        <w:t>נראה</w:t>
      </w:r>
      <w:r w:rsidRPr="000C4F9C">
        <w:rPr>
          <w:rtl/>
        </w:rPr>
        <w:t xml:space="preserve"> </w:t>
      </w:r>
      <w:r w:rsidRPr="000C4F9C">
        <w:rPr>
          <w:rFonts w:hint="eastAsia"/>
          <w:rtl/>
        </w:rPr>
        <w:t>כי</w:t>
      </w:r>
      <w:r w:rsidRPr="000C4F9C">
        <w:rPr>
          <w:rtl/>
        </w:rPr>
        <w:t xml:space="preserve"> </w:t>
      </w:r>
      <w:r w:rsidRPr="000C4F9C">
        <w:rPr>
          <w:rFonts w:hint="eastAsia"/>
          <w:rtl/>
        </w:rPr>
        <w:t>ניתן</w:t>
      </w:r>
      <w:r w:rsidRPr="000C4F9C">
        <w:rPr>
          <w:rtl/>
        </w:rPr>
        <w:t xml:space="preserve"> </w:t>
      </w:r>
      <w:r w:rsidRPr="000C4F9C">
        <w:rPr>
          <w:rFonts w:hint="eastAsia"/>
          <w:rtl/>
        </w:rPr>
        <w:t>ללמוד</w:t>
      </w:r>
      <w:r w:rsidRPr="000C4F9C">
        <w:rPr>
          <w:rtl/>
        </w:rPr>
        <w:t xml:space="preserve"> </w:t>
      </w:r>
      <w:r w:rsidRPr="000C4F9C">
        <w:rPr>
          <w:rFonts w:hint="eastAsia"/>
          <w:rtl/>
        </w:rPr>
        <w:t>מכך</w:t>
      </w:r>
      <w:r w:rsidRPr="000C4F9C">
        <w:rPr>
          <w:rtl/>
        </w:rPr>
        <w:t xml:space="preserve"> </w:t>
      </w:r>
      <w:r w:rsidRPr="000C4F9C">
        <w:rPr>
          <w:rFonts w:hint="eastAsia"/>
          <w:rtl/>
        </w:rPr>
        <w:t>על</w:t>
      </w:r>
      <w:r w:rsidRPr="000C4F9C">
        <w:rPr>
          <w:rtl/>
        </w:rPr>
        <w:t xml:space="preserve"> </w:t>
      </w:r>
      <w:r w:rsidRPr="000C4F9C">
        <w:rPr>
          <w:rFonts w:hint="eastAsia"/>
          <w:rtl/>
        </w:rPr>
        <w:t>רצונו</w:t>
      </w:r>
      <w:r w:rsidRPr="000C4F9C">
        <w:rPr>
          <w:rtl/>
        </w:rPr>
        <w:t xml:space="preserve"> </w:t>
      </w:r>
      <w:r w:rsidRPr="000C4F9C">
        <w:rPr>
          <w:rFonts w:hint="eastAsia"/>
          <w:rtl/>
        </w:rPr>
        <w:t>של</w:t>
      </w:r>
      <w:r w:rsidRPr="000C4F9C">
        <w:rPr>
          <w:rtl/>
        </w:rPr>
        <w:t xml:space="preserve"> </w:t>
      </w:r>
      <w:r w:rsidRPr="000C4F9C">
        <w:rPr>
          <w:rFonts w:hint="eastAsia"/>
          <w:rtl/>
        </w:rPr>
        <w:t>המחוקק</w:t>
      </w:r>
      <w:r w:rsidRPr="000C4F9C">
        <w:rPr>
          <w:rtl/>
        </w:rPr>
        <w:t xml:space="preserve"> </w:t>
      </w:r>
      <w:r w:rsidRPr="000C4F9C">
        <w:rPr>
          <w:rFonts w:hint="eastAsia"/>
          <w:rtl/>
        </w:rPr>
        <w:t>להפריד</w:t>
      </w:r>
      <w:r w:rsidRPr="000C4F9C">
        <w:rPr>
          <w:rtl/>
        </w:rPr>
        <w:t xml:space="preserve"> </w:t>
      </w:r>
      <w:r w:rsidRPr="000C4F9C">
        <w:rPr>
          <w:rFonts w:hint="eastAsia"/>
          <w:rtl/>
        </w:rPr>
        <w:t>בין</w:t>
      </w:r>
      <w:r w:rsidRPr="000C4F9C">
        <w:rPr>
          <w:rtl/>
        </w:rPr>
        <w:t xml:space="preserve"> </w:t>
      </w:r>
      <w:r w:rsidRPr="000C4F9C">
        <w:rPr>
          <w:rFonts w:hint="eastAsia"/>
          <w:rtl/>
        </w:rPr>
        <w:t>מעמדו</w:t>
      </w:r>
      <w:r w:rsidRPr="000C4F9C">
        <w:rPr>
          <w:rtl/>
        </w:rPr>
        <w:t xml:space="preserve"> </w:t>
      </w:r>
      <w:r w:rsidRPr="000C4F9C">
        <w:rPr>
          <w:rFonts w:hint="eastAsia"/>
          <w:rtl/>
        </w:rPr>
        <w:t>של</w:t>
      </w:r>
      <w:r w:rsidRPr="000C4F9C">
        <w:rPr>
          <w:rtl/>
        </w:rPr>
        <w:t xml:space="preserve"> </w:t>
      </w:r>
      <w:r w:rsidRPr="000C4F9C">
        <w:rPr>
          <w:rFonts w:hint="eastAsia"/>
          <w:rtl/>
        </w:rPr>
        <w:t>בן</w:t>
      </w:r>
      <w:r w:rsidRPr="000C4F9C">
        <w:rPr>
          <w:rtl/>
        </w:rPr>
        <w:t xml:space="preserve"> </w:t>
      </w:r>
      <w:r w:rsidRPr="000C4F9C">
        <w:rPr>
          <w:rFonts w:hint="eastAsia"/>
          <w:rtl/>
        </w:rPr>
        <w:t>זוגו</w:t>
      </w:r>
      <w:r w:rsidRPr="000C4F9C">
        <w:rPr>
          <w:rtl/>
        </w:rPr>
        <w:t xml:space="preserve"> </w:t>
      </w:r>
      <w:r w:rsidRPr="000C4F9C">
        <w:rPr>
          <w:rFonts w:hint="eastAsia"/>
          <w:rtl/>
        </w:rPr>
        <w:t>של</w:t>
      </w:r>
      <w:r w:rsidRPr="000C4F9C">
        <w:rPr>
          <w:rtl/>
        </w:rPr>
        <w:t xml:space="preserve"> </w:t>
      </w:r>
      <w:r w:rsidRPr="000C4F9C">
        <w:rPr>
          <w:rFonts w:hint="eastAsia"/>
          <w:rtl/>
        </w:rPr>
        <w:t>יהודי</w:t>
      </w:r>
      <w:r w:rsidRPr="000C4F9C">
        <w:rPr>
          <w:rtl/>
        </w:rPr>
        <w:t xml:space="preserve"> </w:t>
      </w:r>
      <w:r w:rsidRPr="000C4F9C">
        <w:rPr>
          <w:rFonts w:hint="eastAsia"/>
          <w:rtl/>
        </w:rPr>
        <w:t>לבין</w:t>
      </w:r>
      <w:r w:rsidRPr="000C4F9C">
        <w:rPr>
          <w:rtl/>
        </w:rPr>
        <w:t xml:space="preserve"> </w:t>
      </w:r>
      <w:r w:rsidRPr="000C4F9C">
        <w:rPr>
          <w:rFonts w:hint="eastAsia"/>
          <w:rtl/>
        </w:rPr>
        <w:t>מעמדו</w:t>
      </w:r>
      <w:r w:rsidRPr="000C4F9C">
        <w:rPr>
          <w:rtl/>
        </w:rPr>
        <w:t xml:space="preserve"> </w:t>
      </w:r>
      <w:r w:rsidRPr="000C4F9C">
        <w:rPr>
          <w:rFonts w:hint="eastAsia"/>
          <w:rtl/>
        </w:rPr>
        <w:t>של</w:t>
      </w:r>
      <w:r w:rsidRPr="000C4F9C">
        <w:rPr>
          <w:rtl/>
        </w:rPr>
        <w:t xml:space="preserve"> </w:t>
      </w:r>
      <w:r w:rsidRPr="000C4F9C">
        <w:rPr>
          <w:rFonts w:hint="eastAsia"/>
          <w:rtl/>
        </w:rPr>
        <w:t>צאצאו</w:t>
      </w:r>
      <w:r w:rsidRPr="000C4F9C">
        <w:rPr>
          <w:rtl/>
        </w:rPr>
        <w:t xml:space="preserve"> </w:t>
      </w:r>
      <w:r w:rsidRPr="000C4F9C">
        <w:rPr>
          <w:rFonts w:hint="eastAsia"/>
          <w:rtl/>
        </w:rPr>
        <w:t>של</w:t>
      </w:r>
      <w:r w:rsidRPr="000C4F9C">
        <w:rPr>
          <w:rtl/>
        </w:rPr>
        <w:t xml:space="preserve"> </w:t>
      </w:r>
      <w:r w:rsidRPr="000C4F9C">
        <w:rPr>
          <w:rFonts w:hint="eastAsia"/>
          <w:rtl/>
        </w:rPr>
        <w:t>יהודי</w:t>
      </w:r>
      <w:r w:rsidRPr="000C4F9C">
        <w:rPr>
          <w:rtl/>
        </w:rPr>
        <w:t xml:space="preserve">. </w:t>
      </w:r>
      <w:r w:rsidRPr="000C4F9C">
        <w:rPr>
          <w:rFonts w:ascii="Century" w:hAnsi="Century" w:cs="Miriam" w:hint="eastAsia"/>
          <w:b/>
          <w:spacing w:val="0"/>
          <w:szCs w:val="24"/>
          <w:rtl/>
        </w:rPr>
        <w:t>קשר</w:t>
      </w:r>
      <w:r w:rsidRPr="000C4F9C">
        <w:rPr>
          <w:rFonts w:ascii="Century" w:hAnsi="Century" w:cs="Miriam"/>
          <w:b/>
          <w:spacing w:val="0"/>
          <w:szCs w:val="24"/>
          <w:rtl/>
        </w:rPr>
        <w:t xml:space="preserve"> </w:t>
      </w:r>
      <w:r w:rsidRPr="000C4F9C">
        <w:rPr>
          <w:rFonts w:ascii="Century" w:hAnsi="Century" w:cs="Miriam" w:hint="eastAsia"/>
          <w:b/>
          <w:spacing w:val="0"/>
          <w:szCs w:val="24"/>
          <w:rtl/>
        </w:rPr>
        <w:t>הדם</w:t>
      </w:r>
      <w:r w:rsidRPr="000C4F9C">
        <w:rPr>
          <w:rFonts w:ascii="Century" w:hAnsi="Century" w:cs="Miriam"/>
          <w:b/>
          <w:spacing w:val="0"/>
          <w:szCs w:val="24"/>
          <w:rtl/>
        </w:rPr>
        <w:t xml:space="preserve"> </w:t>
      </w:r>
      <w:r w:rsidRPr="000C4F9C">
        <w:rPr>
          <w:rFonts w:ascii="Century" w:hAnsi="Century" w:cs="Miriam" w:hint="eastAsia"/>
          <w:b/>
          <w:spacing w:val="0"/>
          <w:szCs w:val="24"/>
          <w:rtl/>
        </w:rPr>
        <w:t>הוא</w:t>
      </w:r>
      <w:r w:rsidRPr="000C4F9C">
        <w:rPr>
          <w:rFonts w:ascii="Century" w:hAnsi="Century" w:cs="Miriam"/>
          <w:b/>
          <w:spacing w:val="0"/>
          <w:szCs w:val="24"/>
          <w:rtl/>
        </w:rPr>
        <w:t xml:space="preserve"> </w:t>
      </w:r>
      <w:r w:rsidRPr="000C4F9C">
        <w:rPr>
          <w:rFonts w:ascii="Century" w:hAnsi="Century" w:cs="Miriam" w:hint="eastAsia"/>
          <w:b/>
          <w:spacing w:val="0"/>
          <w:szCs w:val="24"/>
          <w:rtl/>
        </w:rPr>
        <w:t>שמסביר</w:t>
      </w:r>
      <w:r w:rsidRPr="000C4F9C">
        <w:rPr>
          <w:rFonts w:ascii="Century" w:hAnsi="Century" w:cs="Miriam"/>
          <w:b/>
          <w:spacing w:val="0"/>
          <w:szCs w:val="24"/>
          <w:rtl/>
        </w:rPr>
        <w:t xml:space="preserve"> </w:t>
      </w:r>
      <w:r w:rsidRPr="000C4F9C">
        <w:rPr>
          <w:rFonts w:ascii="Century" w:hAnsi="Century" w:cs="Miriam" w:hint="eastAsia"/>
          <w:b/>
          <w:spacing w:val="0"/>
          <w:szCs w:val="24"/>
          <w:rtl/>
        </w:rPr>
        <w:t>הבחנה</w:t>
      </w:r>
      <w:r w:rsidRPr="000C4F9C">
        <w:rPr>
          <w:rFonts w:ascii="Century" w:hAnsi="Century" w:cs="Miriam"/>
          <w:b/>
          <w:spacing w:val="0"/>
          <w:szCs w:val="24"/>
          <w:rtl/>
        </w:rPr>
        <w:t xml:space="preserve"> </w:t>
      </w:r>
      <w:r w:rsidRPr="000C4F9C">
        <w:rPr>
          <w:rFonts w:ascii="Century" w:hAnsi="Century" w:cs="Miriam" w:hint="eastAsia"/>
          <w:b/>
          <w:spacing w:val="0"/>
          <w:szCs w:val="24"/>
          <w:rtl/>
        </w:rPr>
        <w:t>זו</w:t>
      </w:r>
      <w:r w:rsidRPr="000C4F9C">
        <w:rPr>
          <w:rFonts w:hint="cs"/>
          <w:rtl/>
        </w:rPr>
        <w:t>" (שם, פסקה 36; ההדגשה הוספה</w:t>
      </w:r>
      <w:r>
        <w:rPr>
          <w:rFonts w:hint="cs"/>
          <w:rtl/>
        </w:rPr>
        <w:t xml:space="preserve">; דברים אלה, שהוזכרו גם על ידי חברי השופט </w:t>
      </w:r>
      <w:r w:rsidRPr="00613CB3">
        <w:rPr>
          <w:rFonts w:ascii="Century" w:hAnsi="Century" w:cs="Miriam" w:hint="cs"/>
          <w:b/>
          <w:spacing w:val="0"/>
          <w:szCs w:val="24"/>
          <w:rtl/>
        </w:rPr>
        <w:t>סולברג</w:t>
      </w:r>
      <w:r>
        <w:rPr>
          <w:rFonts w:hint="cs"/>
          <w:rtl/>
        </w:rPr>
        <w:t xml:space="preserve">, </w:t>
      </w:r>
      <w:r>
        <w:rPr>
          <w:rFonts w:hint="cs"/>
          <w:rtl/>
        </w:rPr>
        <w:lastRenderedPageBreak/>
        <w:t>נאמרו בהתייחס לבן זוגו של יהודי, אולם הם יפים מקל וחומר גם לענייננו</w:t>
      </w:r>
      <w:r w:rsidRPr="000C4F9C">
        <w:rPr>
          <w:rFonts w:hint="cs"/>
          <w:rtl/>
        </w:rPr>
        <w:t>).</w:t>
      </w:r>
      <w:r>
        <w:rPr>
          <w:rFonts w:hint="cs"/>
          <w:rtl/>
        </w:rPr>
        <w:t xml:space="preserve"> </w:t>
      </w:r>
    </w:p>
    <w:p w:rsidR="00BA03D0" w:rsidRDefault="00BA03D0" w:rsidP="00BA03D0">
      <w:pPr>
        <w:pStyle w:val="Ruller41"/>
        <w:rPr>
          <w:rtl/>
        </w:rPr>
      </w:pPr>
    </w:p>
    <w:p w:rsidR="00BA03D0" w:rsidRDefault="00BA03D0" w:rsidP="00BA03D0">
      <w:pPr>
        <w:pStyle w:val="Ruller41"/>
        <w:rPr>
          <w:rtl/>
        </w:rPr>
      </w:pPr>
      <w:r>
        <w:rPr>
          <w:rtl/>
        </w:rPr>
        <w:tab/>
      </w:r>
      <w:r>
        <w:rPr>
          <w:rFonts w:hint="cs"/>
          <w:rtl/>
        </w:rPr>
        <w:t xml:space="preserve">שנית, כפי שציין חברי השופט </w:t>
      </w:r>
      <w:r w:rsidRPr="0098316D">
        <w:rPr>
          <w:rFonts w:ascii="Century" w:hAnsi="Century" w:cs="Miriam" w:hint="cs"/>
          <w:b/>
          <w:spacing w:val="0"/>
          <w:szCs w:val="24"/>
          <w:rtl/>
        </w:rPr>
        <w:t>עמית</w:t>
      </w:r>
      <w:r w:rsidRPr="0098316D">
        <w:rPr>
          <w:rFonts w:hint="cs"/>
          <w:rtl/>
        </w:rPr>
        <w:t xml:space="preserve"> </w:t>
      </w:r>
      <w:r>
        <w:rPr>
          <w:rFonts w:hint="cs"/>
          <w:rtl/>
        </w:rPr>
        <w:t xml:space="preserve">בפסק הדין מושא הדיון הנוסף, "ככל שאנו הולכים ומתרחקים מ'מעגלי הקִרְבה' מן היהודי, כך נחלשת זיקתם של בני משפחתו אליו ולעם היהודי בכלל" (שם, פסקה 40 לחוות דעתו; וראו גם בפסקה 24 לחוות דעתו של חברי השופט </w:t>
      </w:r>
      <w:r w:rsidRPr="004A29EB">
        <w:rPr>
          <w:rFonts w:ascii="Century" w:hAnsi="Century" w:cs="Miriam" w:hint="cs"/>
          <w:b/>
          <w:spacing w:val="0"/>
          <w:szCs w:val="24"/>
          <w:rtl/>
        </w:rPr>
        <w:t>סולברג</w:t>
      </w:r>
      <w:r>
        <w:rPr>
          <w:rFonts w:ascii="Century" w:hAnsi="Century" w:hint="cs"/>
          <w:rtl/>
        </w:rPr>
        <w:t xml:space="preserve"> ובפסקה 14 לחוות דעתה של חברתי השופטת </w:t>
      </w:r>
      <w:r w:rsidRPr="008D5DE5">
        <w:rPr>
          <w:rFonts w:ascii="Century" w:hAnsi="Century" w:cs="Miriam" w:hint="cs"/>
          <w:b/>
          <w:spacing w:val="0"/>
          <w:szCs w:val="24"/>
          <w:rtl/>
        </w:rPr>
        <w:t>וילנר</w:t>
      </w:r>
      <w:r>
        <w:rPr>
          <w:rFonts w:hint="cs"/>
          <w:rtl/>
        </w:rPr>
        <w:t xml:space="preserve">). משילובם של שני מאפיינים אלה </w:t>
      </w:r>
      <w:r>
        <w:rPr>
          <w:rtl/>
        </w:rPr>
        <w:t>–</w:t>
      </w:r>
      <w:r>
        <w:rPr>
          <w:rFonts w:hint="cs"/>
          <w:rtl/>
        </w:rPr>
        <w:t xml:space="preserve"> טיב הקשר ליהודי וריחוק הקשר אליו </w:t>
      </w:r>
      <w:r>
        <w:rPr>
          <w:rtl/>
        </w:rPr>
        <w:t>–</w:t>
      </w:r>
      <w:r>
        <w:rPr>
          <w:rFonts w:hint="cs"/>
          <w:rtl/>
        </w:rPr>
        <w:t xml:space="preserve"> נובע לטעמי כי </w:t>
      </w:r>
      <w:r>
        <w:rPr>
          <w:rFonts w:ascii="Garamond" w:hAnsi="Garamond" w:hint="cs"/>
          <w:sz w:val="24"/>
          <w:rtl/>
        </w:rPr>
        <w:t>לא ניתן לומר ש</w:t>
      </w:r>
      <w:r>
        <w:rPr>
          <w:rFonts w:hint="cs"/>
          <w:rtl/>
        </w:rPr>
        <w:t xml:space="preserve">עליית אלמנות זכאי שבות מגשימה את תכלית החקיקה. </w:t>
      </w:r>
    </w:p>
    <w:p w:rsidR="00BA03D0" w:rsidRPr="00457E4E" w:rsidRDefault="00BA03D0" w:rsidP="00BA03D0">
      <w:pPr>
        <w:pStyle w:val="Ruller41"/>
        <w:rPr>
          <w:rtl/>
        </w:rPr>
      </w:pPr>
    </w:p>
    <w:p w:rsidR="00BA03D0" w:rsidRDefault="00BA03D0" w:rsidP="00BA03D0">
      <w:pPr>
        <w:pStyle w:val="Ruller4"/>
        <w:textAlignment w:val="baseline"/>
        <w:rPr>
          <w:rtl/>
        </w:rPr>
      </w:pPr>
      <w:r>
        <w:rPr>
          <w:rFonts w:hint="cs"/>
          <w:rtl/>
        </w:rPr>
        <w:t>חברי ממלא מקום הנשיא מתמודד עם הקושי האמור באמצעות הקביעה כי מהוראת סעיף 4א(ב) לחוק, המאפשרת כאמור את עלייתם של זכאי שבות ארצה גם במקרים שבהם היהודי הלך לבית עולמו או לא עלה ארצה, עולה כי אין לתת לתכלית בדבר עידוד עליית יהודים משקל מכריע וכי לזכות הניתנת לבני המשפחה של היהודי ישנה חשיבות בפני עצמה (פסקה 37 לחוות דעתו). לא זו בלבד שהדבר מוקשה לטעמי נוכח המעמד העליון שיש לתת על פי הפסיקה המושרשת, לתכלית שעניינה כאמור עידוד עליית העם היהודי, אלא שלעמדתי טמון בכך קושי נוסף והוא ההתייחסות למעגל הזכאים כמקשה אחת, מבלי להבחין בין הפרטים הנכללים בו. ואסביר.</w:t>
      </w:r>
    </w:p>
    <w:p w:rsidR="00BA03D0" w:rsidRDefault="00BA03D0" w:rsidP="00BA03D0">
      <w:pPr>
        <w:pStyle w:val="Ruller41"/>
        <w:rPr>
          <w:rtl/>
        </w:rPr>
      </w:pPr>
    </w:p>
    <w:p w:rsidR="00BA03D0" w:rsidRPr="00B5283E" w:rsidRDefault="00BA03D0" w:rsidP="00BA03D0">
      <w:pPr>
        <w:pStyle w:val="Ruller4"/>
        <w:textAlignment w:val="baseline"/>
      </w:pPr>
      <w:r>
        <w:rPr>
          <w:rFonts w:hint="cs"/>
          <w:rtl/>
        </w:rPr>
        <w:t xml:space="preserve">הדיון בענייננו עוסק בשאלת זכאותן של </w:t>
      </w:r>
      <w:r w:rsidRPr="009A5883">
        <w:rPr>
          <w:rFonts w:ascii="Century" w:hAnsi="Century" w:hint="cs"/>
          <w:sz w:val="22"/>
          <w:rtl/>
        </w:rPr>
        <w:t>אלמנות זכאי שבות</w:t>
      </w:r>
      <w:r>
        <w:rPr>
          <w:rFonts w:hint="cs"/>
          <w:rtl/>
        </w:rPr>
        <w:t xml:space="preserve">. אמנם, כפי שציינו חבריי, לא ניתן למצוא בהיסטוריה החקיקתית התייחסות מפורשת לסוגיה זו. ברם, ניתן למצוא אינדיקציות רבות לתכלית שביסוד הכללתם של בני זוגם של זכאי השבות במסגרת החוק. בהקשר זה, ניכר כי הסיבה להרחבת הזכאות לשבות של </w:t>
      </w:r>
      <w:r w:rsidRPr="000A0094">
        <w:rPr>
          <w:rFonts w:ascii="Century" w:hAnsi="Century" w:cs="Miriam" w:hint="eastAsia"/>
          <w:b/>
          <w:spacing w:val="0"/>
          <w:sz w:val="22"/>
          <w:szCs w:val="24"/>
          <w:rtl/>
        </w:rPr>
        <w:t>בני</w:t>
      </w:r>
      <w:r w:rsidRPr="000A0094">
        <w:rPr>
          <w:rFonts w:ascii="Century" w:hAnsi="Century" w:cs="Miriam"/>
          <w:b/>
          <w:spacing w:val="0"/>
          <w:sz w:val="22"/>
          <w:szCs w:val="24"/>
          <w:rtl/>
        </w:rPr>
        <w:t xml:space="preserve"> </w:t>
      </w:r>
      <w:r w:rsidRPr="000A0094">
        <w:rPr>
          <w:rFonts w:ascii="Century" w:hAnsi="Century" w:cs="Miriam" w:hint="eastAsia"/>
          <w:b/>
          <w:spacing w:val="0"/>
          <w:sz w:val="22"/>
          <w:szCs w:val="24"/>
          <w:rtl/>
        </w:rPr>
        <w:t>הזוג</w:t>
      </w:r>
      <w:r w:rsidRPr="00440DBF">
        <w:rPr>
          <w:rFonts w:hint="cs"/>
          <w:rtl/>
        </w:rPr>
        <w:t xml:space="preserve"> </w:t>
      </w:r>
      <w:r>
        <w:rPr>
          <w:rFonts w:hint="cs"/>
          <w:rtl/>
        </w:rPr>
        <w:t xml:space="preserve">של צאצאי היהודי אינה זהה לסיבה להכללת הצאצאים של היהודי ובן זוגו. עיון בפרוטוקולי דיוני ישיבות ועדת חוקה, חוק ומשפט שנערכו בעניין התיקון לחוק מלמד כי במובחן מבן זוגו של היהודי ומצאצאיו, הרחבת התחולה גם לגבי בני זוגם של זכאי השבות לא נולדה מתוך הקשר הישיר והאישי שיש להם ליהדות ולעם היהודי (הפן השני של תכלית קיבוץ הגלויות המפורט לעיל) </w:t>
      </w:r>
      <w:r>
        <w:rPr>
          <w:rtl/>
        </w:rPr>
        <w:t>–</w:t>
      </w:r>
      <w:r>
        <w:rPr>
          <w:rFonts w:hint="cs"/>
          <w:rtl/>
        </w:rPr>
        <w:t xml:space="preserve"> אלא מתוך הקשר שלהם </w:t>
      </w:r>
      <w:r w:rsidRPr="009A5883">
        <w:rPr>
          <w:rFonts w:ascii="Century" w:hAnsi="Century" w:cs="Miriam" w:hint="cs"/>
          <w:b/>
          <w:spacing w:val="0"/>
          <w:sz w:val="22"/>
          <w:szCs w:val="24"/>
          <w:rtl/>
        </w:rPr>
        <w:t>לבני זוגם</w:t>
      </w:r>
      <w:r>
        <w:rPr>
          <w:rFonts w:hint="cs"/>
          <w:rtl/>
        </w:rPr>
        <w:t>. התפישה הייתה כי אלמלא תינתן זכאות גם לבני זוגם של זכאי השבות, תיפגע התכלית העומדת ביסוד החוק בדבר עידוד עלייתם של יהודים ארצה (הפן הראשון). זאת שכן זכאי השבות לא יחפצו להגיע ארצה ללא בני זוגם.</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כך, כאשר נדונה במסגרת דיוני הוועדה זהות הגורמים שעבורם נועדה הרחבת מעגל הזכאים, הדגש היה על עלייתם של המעגל הקרוב של </w:t>
      </w:r>
      <w:r w:rsidRPr="00961539">
        <w:rPr>
          <w:rFonts w:ascii="Century" w:hAnsi="Century" w:cs="Miriam" w:hint="cs"/>
          <w:b/>
          <w:spacing w:val="0"/>
          <w:sz w:val="22"/>
          <w:szCs w:val="24"/>
          <w:rtl/>
        </w:rPr>
        <w:t>היהודי</w:t>
      </w:r>
      <w:r>
        <w:rPr>
          <w:rFonts w:hint="cs"/>
          <w:rtl/>
        </w:rPr>
        <w:t xml:space="preserve">: בן זוגו וצאצאיו </w:t>
      </w:r>
      <w:r>
        <w:rPr>
          <w:rtl/>
        </w:rPr>
        <w:t>–</w:t>
      </w:r>
      <w:r>
        <w:rPr>
          <w:rFonts w:hint="cs"/>
          <w:rtl/>
        </w:rPr>
        <w:t xml:space="preserve"> </w:t>
      </w:r>
      <w:r>
        <w:rPr>
          <w:rFonts w:hint="cs"/>
          <w:rtl/>
        </w:rPr>
        <w:lastRenderedPageBreak/>
        <w:t xml:space="preserve">בנו ונכדו. למשל, בדיון מיום 16.2.1970 נאמר על ידי חבר הכנסת כ' הלוי כי "אנו מרחיבים את חוק השבות עד כדי כך שאנו אומרים כי לא רק יהודי זכאי לעלות ארצה, אלא גם </w:t>
      </w:r>
      <w:r w:rsidRPr="00B116C8">
        <w:rPr>
          <w:rFonts w:ascii="Century" w:hAnsi="Century" w:cs="Miriam" w:hint="cs"/>
          <w:b/>
          <w:spacing w:val="0"/>
          <w:szCs w:val="24"/>
          <w:rtl/>
        </w:rPr>
        <w:t>בנו ונכדו של יהודי</w:t>
      </w:r>
      <w:r>
        <w:rPr>
          <w:rFonts w:hint="cs"/>
          <w:rtl/>
        </w:rPr>
        <w:t xml:space="preserve">, אף אם אינו יהודי, זכאי לכך בלי לעלות עם היהודי" (שם, עמ' 5 (ההדגשה אינה במקור)). באותו דיון אף חזר על הדברים היועץ המשפטי לממשלה דאז מ' שמגר, בציינו כי: "למי התכוונו להעניק זכויות? התכוונו להעניק זכויות </w:t>
      </w:r>
      <w:r w:rsidRPr="00344307">
        <w:rPr>
          <w:rFonts w:ascii="Century" w:hAnsi="Century" w:cs="Miriam" w:hint="cs"/>
          <w:b/>
          <w:spacing w:val="0"/>
          <w:sz w:val="22"/>
          <w:szCs w:val="24"/>
          <w:rtl/>
        </w:rPr>
        <w:t>לבת הזוג של היהודי</w:t>
      </w:r>
      <w:r w:rsidRPr="00344307">
        <w:rPr>
          <w:rFonts w:ascii="Century" w:hAnsi="Century" w:cs="Miriam" w:hint="cs"/>
          <w:b/>
          <w:spacing w:val="0"/>
          <w:szCs w:val="24"/>
          <w:rtl/>
        </w:rPr>
        <w:t xml:space="preserve"> </w:t>
      </w:r>
      <w:r w:rsidRPr="00462364">
        <w:rPr>
          <w:rFonts w:ascii="Century" w:hAnsi="Century" w:cs="Miriam" w:hint="cs"/>
          <w:b/>
          <w:spacing w:val="0"/>
          <w:szCs w:val="24"/>
          <w:rtl/>
        </w:rPr>
        <w:t>ולילד של היהודי</w:t>
      </w:r>
      <w:r>
        <w:rPr>
          <w:rFonts w:hint="cs"/>
          <w:rtl/>
        </w:rPr>
        <w:t xml:space="preserve">, בין אם הם עולים ארצה יחד אתו ובין אם הם באים לבדם; בין אם היהודי בחיים ובין אם הלך לעולמו [...]. כמו כן התכוונו להעניק זכויות אלה </w:t>
      </w:r>
      <w:r w:rsidRPr="00462364">
        <w:rPr>
          <w:rFonts w:ascii="Century" w:hAnsi="Century" w:cs="Miriam" w:hint="cs"/>
          <w:b/>
          <w:spacing w:val="0"/>
          <w:szCs w:val="24"/>
          <w:rtl/>
        </w:rPr>
        <w:t>לבן של הילד</w:t>
      </w:r>
      <w:r>
        <w:rPr>
          <w:rFonts w:hint="cs"/>
          <w:rtl/>
        </w:rPr>
        <w:t xml:space="preserve"> במעמדו כנכד של היהודי..." (שם, עמ' 7 (ההדגשה אינה במקור)). דברים דומים נאמרו כאמור גם על ידי יו"ר הוועדה בקריאה השניה והשלישית, אשר למען הנוחות יובאו בשנית: "מתן זכויות, מבחינה סלקטיבית, לאלה שאינם יהודים אבל יש להם קשר עם העם היהודי, </w:t>
      </w:r>
      <w:r w:rsidRPr="00961539">
        <w:rPr>
          <w:rFonts w:ascii="Century" w:hAnsi="Century" w:hint="cs"/>
          <w:sz w:val="22"/>
          <w:rtl/>
        </w:rPr>
        <w:t>על ידי כך שבן-זוג, הורה, סבא או סבתא היו יהודים</w:t>
      </w:r>
      <w:r>
        <w:rPr>
          <w:rFonts w:hint="cs"/>
          <w:rtl/>
        </w:rPr>
        <w:t>".</w:t>
      </w:r>
    </w:p>
    <w:p w:rsidR="00BA03D0" w:rsidRDefault="00BA03D0" w:rsidP="00BA03D0">
      <w:pPr>
        <w:pStyle w:val="Ruller4"/>
        <w:numPr>
          <w:ilvl w:val="0"/>
          <w:numId w:val="0"/>
        </w:numPr>
        <w:rPr>
          <w:rtl/>
        </w:rPr>
      </w:pPr>
    </w:p>
    <w:p w:rsidR="00BA03D0" w:rsidRDefault="00BA03D0" w:rsidP="00BA03D0">
      <w:pPr>
        <w:pStyle w:val="Ruller4"/>
        <w:textAlignment w:val="baseline"/>
        <w:rPr>
          <w:rtl/>
        </w:rPr>
      </w:pPr>
      <w:r>
        <w:rPr>
          <w:rFonts w:hint="cs"/>
          <w:rtl/>
        </w:rPr>
        <w:t>לעומת זאת, כאשר נדונה בדיוני הוועדה באופן מפורש זכאותם של בני הזוג, ההתייחסות אליהם הייתה כגורם הנלווה ל</w:t>
      </w:r>
      <w:r w:rsidRPr="00961539">
        <w:rPr>
          <w:rFonts w:ascii="Century" w:hAnsi="Century" w:cs="Miriam" w:hint="cs"/>
          <w:b/>
          <w:spacing w:val="0"/>
          <w:sz w:val="22"/>
          <w:szCs w:val="24"/>
          <w:rtl/>
        </w:rPr>
        <w:t>זכאי השבות</w:t>
      </w:r>
      <w:r>
        <w:rPr>
          <w:rFonts w:hint="cs"/>
          <w:rtl/>
        </w:rPr>
        <w:t xml:space="preserve">. כך למשל, בעת שסקר היועץ המשפטי לממשלה דאז לפני חברי הוועדה את עיקרי התיקון המוצע, הוא ציין כי "בנסחנו הצעה זו ראינו לנגד עינינו </w:t>
      </w:r>
      <w:r>
        <w:rPr>
          <w:rtl/>
        </w:rPr>
        <w:t>–</w:t>
      </w:r>
      <w:r>
        <w:rPr>
          <w:rFonts w:hint="cs"/>
          <w:rtl/>
        </w:rPr>
        <w:t xml:space="preserve"> לדוגמה </w:t>
      </w:r>
      <w:r>
        <w:rPr>
          <w:rtl/>
        </w:rPr>
        <w:t>–</w:t>
      </w:r>
      <w:r>
        <w:rPr>
          <w:rFonts w:hint="cs"/>
          <w:rtl/>
        </w:rPr>
        <w:t xml:space="preserve"> המצב בברית המועצות. למשל: בן לאב יהודי ואם לא יהודיה; ההורים נפטרו בינתיים, או נהרגו, והבן מחליט לעלות ארצה; הוא בבחינת ילדו של יהודי. </w:t>
      </w:r>
      <w:r w:rsidRPr="002067CE">
        <w:rPr>
          <w:rFonts w:ascii="Century" w:hAnsi="Century" w:cs="Miriam" w:hint="cs"/>
          <w:b/>
          <w:spacing w:val="0"/>
          <w:szCs w:val="24"/>
          <w:rtl/>
        </w:rPr>
        <w:t>אבל בעלייתו הוא מביא לא רק את עצמו אלא גם את ילדיו ובן הזוג שגם הוא לא יהודי</w:t>
      </w:r>
      <w:r>
        <w:rPr>
          <w:rFonts w:hint="cs"/>
          <w:rtl/>
        </w:rPr>
        <w:t>" (</w:t>
      </w:r>
      <w:r w:rsidRPr="00807F3A">
        <w:rPr>
          <w:rFonts w:hint="eastAsia"/>
          <w:rtl/>
        </w:rPr>
        <w:t>ישיבה</w:t>
      </w:r>
      <w:r w:rsidRPr="00807F3A">
        <w:rPr>
          <w:rtl/>
        </w:rPr>
        <w:t xml:space="preserve"> </w:t>
      </w:r>
      <w:r w:rsidRPr="00807F3A">
        <w:rPr>
          <w:rFonts w:hint="eastAsia"/>
          <w:rtl/>
        </w:rPr>
        <w:t>מס</w:t>
      </w:r>
      <w:r w:rsidRPr="00807F3A">
        <w:rPr>
          <w:rtl/>
        </w:rPr>
        <w:t xml:space="preserve">' </w:t>
      </w:r>
      <w:r>
        <w:rPr>
          <w:rFonts w:hint="cs"/>
          <w:rtl/>
        </w:rPr>
        <w:t>13</w:t>
      </w:r>
      <w:r w:rsidRPr="00807F3A">
        <w:rPr>
          <w:rtl/>
        </w:rPr>
        <w:t xml:space="preserve"> </w:t>
      </w:r>
      <w:r w:rsidRPr="00807F3A">
        <w:rPr>
          <w:rFonts w:hint="eastAsia"/>
          <w:rtl/>
        </w:rPr>
        <w:t>של</w:t>
      </w:r>
      <w:r w:rsidRPr="00807F3A">
        <w:rPr>
          <w:rtl/>
        </w:rPr>
        <w:t xml:space="preserve"> </w:t>
      </w:r>
      <w:r w:rsidRPr="00807F3A">
        <w:rPr>
          <w:rFonts w:hint="eastAsia"/>
          <w:rtl/>
        </w:rPr>
        <w:t>ועדת</w:t>
      </w:r>
      <w:r w:rsidRPr="00807F3A">
        <w:rPr>
          <w:rtl/>
        </w:rPr>
        <w:t xml:space="preserve"> </w:t>
      </w:r>
      <w:r w:rsidRPr="00807F3A">
        <w:rPr>
          <w:rFonts w:hint="eastAsia"/>
          <w:rtl/>
        </w:rPr>
        <w:t>החוקה</w:t>
      </w:r>
      <w:r w:rsidRPr="00807F3A">
        <w:rPr>
          <w:rtl/>
        </w:rPr>
        <w:t xml:space="preserve">, </w:t>
      </w:r>
      <w:r w:rsidRPr="00807F3A">
        <w:rPr>
          <w:rFonts w:hint="eastAsia"/>
          <w:rtl/>
        </w:rPr>
        <w:t>חוק</w:t>
      </w:r>
      <w:r w:rsidRPr="00807F3A">
        <w:rPr>
          <w:rtl/>
        </w:rPr>
        <w:t xml:space="preserve"> </w:t>
      </w:r>
      <w:r w:rsidRPr="00807F3A">
        <w:rPr>
          <w:rFonts w:hint="eastAsia"/>
          <w:rtl/>
        </w:rPr>
        <w:t>ומשפט</w:t>
      </w:r>
      <w:r w:rsidRPr="00807F3A">
        <w:rPr>
          <w:rtl/>
        </w:rPr>
        <w:t xml:space="preserve"> </w:t>
      </w:r>
      <w:r w:rsidRPr="00807F3A">
        <w:rPr>
          <w:rFonts w:hint="eastAsia"/>
          <w:rtl/>
        </w:rPr>
        <w:t>של</w:t>
      </w:r>
      <w:r w:rsidRPr="00807F3A">
        <w:rPr>
          <w:rtl/>
        </w:rPr>
        <w:t xml:space="preserve"> </w:t>
      </w:r>
      <w:r w:rsidRPr="00807F3A">
        <w:rPr>
          <w:rFonts w:hint="eastAsia"/>
          <w:rtl/>
        </w:rPr>
        <w:t>הכנסת</w:t>
      </w:r>
      <w:r w:rsidRPr="00807F3A">
        <w:rPr>
          <w:rtl/>
        </w:rPr>
        <w:t xml:space="preserve"> </w:t>
      </w:r>
      <w:r w:rsidRPr="00807F3A">
        <w:rPr>
          <w:rFonts w:hint="eastAsia"/>
          <w:rtl/>
        </w:rPr>
        <w:t>ה</w:t>
      </w:r>
      <w:r>
        <w:rPr>
          <w:rtl/>
        </w:rPr>
        <w:t>-7</w:t>
      </w:r>
      <w:r>
        <w:rPr>
          <w:rFonts w:hint="cs"/>
          <w:rtl/>
        </w:rPr>
        <w:t xml:space="preserve"> (11.2.1970), עמ' 9 (ההדגשה אינה במקור)). כך גם למשל תיאר את הדברים יו"ר הוועדה בדיון מיום 16.2.1970, עת נדונה שאלת תחולתה של ההרחבה על בן זוגו של נכדו של היהודי: "המדינה תשקיע כסף מתוך התקווה </w:t>
      </w:r>
      <w:r>
        <w:rPr>
          <w:rtl/>
        </w:rPr>
        <w:t>–</w:t>
      </w:r>
      <w:r>
        <w:rPr>
          <w:rFonts w:hint="cs"/>
          <w:rtl/>
        </w:rPr>
        <w:t xml:space="preserve"> אני אומר זאת בנוסח שלי </w:t>
      </w:r>
      <w:r>
        <w:rPr>
          <w:rtl/>
        </w:rPr>
        <w:t>–</w:t>
      </w:r>
      <w:r>
        <w:rPr>
          <w:rFonts w:hint="cs"/>
          <w:rtl/>
        </w:rPr>
        <w:t xml:space="preserve"> שזוגות מעורבים יתגיירו וייהפכו לחלק מהעם היהודי [...] כאשר מדברים על ילד או על נכד הבאים לכאן ונהנים במשך שלוש שנים משחרור ממס-הכנסה ומקבלים שיכון </w:t>
      </w:r>
      <w:r>
        <w:rPr>
          <w:rtl/>
        </w:rPr>
        <w:t>–</w:t>
      </w:r>
      <w:r>
        <w:rPr>
          <w:rFonts w:hint="cs"/>
          <w:rtl/>
        </w:rPr>
        <w:t xml:space="preserve"> זה עולה כסף [...]. אם מדובר בילדים, מובן </w:t>
      </w:r>
      <w:r w:rsidRPr="00804D30">
        <w:rPr>
          <w:rFonts w:ascii="Century" w:hAnsi="Century" w:cs="Miriam" w:hint="cs"/>
          <w:b/>
          <w:spacing w:val="0"/>
          <w:szCs w:val="24"/>
          <w:rtl/>
        </w:rPr>
        <w:t>שמרשים להם להביא את כל משפחתם, וזה כולל את בן זוגו של הילד ואת ילדו</w:t>
      </w:r>
      <w:r>
        <w:rPr>
          <w:rFonts w:hint="cs"/>
          <w:rtl/>
        </w:rPr>
        <w:t xml:space="preserve">, ואם מדברים על נכד, שוב נשאלת השאלה מה באשר לילדיו ולבן זוגו. בענין זה התשובה פשוטה </w:t>
      </w:r>
      <w:r>
        <w:rPr>
          <w:rtl/>
        </w:rPr>
        <w:t>–</w:t>
      </w:r>
      <w:r>
        <w:rPr>
          <w:rFonts w:hint="cs"/>
          <w:rtl/>
        </w:rPr>
        <w:t xml:space="preserve"> מן ההכרח למתוח קו במקום כלשהו..." (</w:t>
      </w:r>
      <w:r w:rsidRPr="00807F3A">
        <w:rPr>
          <w:rFonts w:hint="eastAsia"/>
          <w:rtl/>
        </w:rPr>
        <w:t>ישיבה</w:t>
      </w:r>
      <w:r w:rsidRPr="00807F3A">
        <w:rPr>
          <w:rtl/>
        </w:rPr>
        <w:t xml:space="preserve"> </w:t>
      </w:r>
      <w:r w:rsidRPr="00807F3A">
        <w:rPr>
          <w:rFonts w:hint="eastAsia"/>
          <w:rtl/>
        </w:rPr>
        <w:t>מס</w:t>
      </w:r>
      <w:r w:rsidRPr="00807F3A">
        <w:rPr>
          <w:rtl/>
        </w:rPr>
        <w:t xml:space="preserve">' </w:t>
      </w:r>
      <w:r>
        <w:rPr>
          <w:rFonts w:hint="cs"/>
          <w:rtl/>
        </w:rPr>
        <w:t>14</w:t>
      </w:r>
      <w:r w:rsidRPr="00807F3A">
        <w:rPr>
          <w:rtl/>
        </w:rPr>
        <w:t xml:space="preserve"> </w:t>
      </w:r>
      <w:r w:rsidRPr="00807F3A">
        <w:rPr>
          <w:rFonts w:hint="eastAsia"/>
          <w:rtl/>
        </w:rPr>
        <w:t>של</w:t>
      </w:r>
      <w:r w:rsidRPr="00807F3A">
        <w:rPr>
          <w:rtl/>
        </w:rPr>
        <w:t xml:space="preserve"> </w:t>
      </w:r>
      <w:r w:rsidRPr="00807F3A">
        <w:rPr>
          <w:rFonts w:hint="eastAsia"/>
          <w:rtl/>
        </w:rPr>
        <w:t>ועדת</w:t>
      </w:r>
      <w:r w:rsidRPr="00807F3A">
        <w:rPr>
          <w:rtl/>
        </w:rPr>
        <w:t xml:space="preserve"> </w:t>
      </w:r>
      <w:r w:rsidRPr="00807F3A">
        <w:rPr>
          <w:rFonts w:hint="eastAsia"/>
          <w:rtl/>
        </w:rPr>
        <w:t>החוקה</w:t>
      </w:r>
      <w:r w:rsidRPr="00807F3A">
        <w:rPr>
          <w:rtl/>
        </w:rPr>
        <w:t xml:space="preserve">, </w:t>
      </w:r>
      <w:r w:rsidRPr="00807F3A">
        <w:rPr>
          <w:rFonts w:hint="eastAsia"/>
          <w:rtl/>
        </w:rPr>
        <w:t>חוק</w:t>
      </w:r>
      <w:r w:rsidRPr="00807F3A">
        <w:rPr>
          <w:rtl/>
        </w:rPr>
        <w:t xml:space="preserve"> </w:t>
      </w:r>
      <w:r w:rsidRPr="00807F3A">
        <w:rPr>
          <w:rFonts w:hint="eastAsia"/>
          <w:rtl/>
        </w:rPr>
        <w:t>ומשפט</w:t>
      </w:r>
      <w:r w:rsidRPr="00807F3A">
        <w:rPr>
          <w:rtl/>
        </w:rPr>
        <w:t xml:space="preserve"> </w:t>
      </w:r>
      <w:r w:rsidRPr="00807F3A">
        <w:rPr>
          <w:rFonts w:hint="eastAsia"/>
          <w:rtl/>
        </w:rPr>
        <w:t>של</w:t>
      </w:r>
      <w:r w:rsidRPr="00807F3A">
        <w:rPr>
          <w:rtl/>
        </w:rPr>
        <w:t xml:space="preserve"> </w:t>
      </w:r>
      <w:r w:rsidRPr="00807F3A">
        <w:rPr>
          <w:rFonts w:hint="eastAsia"/>
          <w:rtl/>
        </w:rPr>
        <w:t>הכנסת</w:t>
      </w:r>
      <w:r w:rsidRPr="00807F3A">
        <w:rPr>
          <w:rtl/>
        </w:rPr>
        <w:t xml:space="preserve"> </w:t>
      </w:r>
      <w:r w:rsidRPr="00807F3A">
        <w:rPr>
          <w:rFonts w:hint="eastAsia"/>
          <w:rtl/>
        </w:rPr>
        <w:t>ה</w:t>
      </w:r>
      <w:r>
        <w:rPr>
          <w:rtl/>
        </w:rPr>
        <w:t>-7</w:t>
      </w:r>
      <w:r w:rsidRPr="00807F3A">
        <w:rPr>
          <w:rtl/>
        </w:rPr>
        <w:t xml:space="preserve"> </w:t>
      </w:r>
      <w:r>
        <w:rPr>
          <w:rFonts w:hint="cs"/>
          <w:rtl/>
        </w:rPr>
        <w:t xml:space="preserve">(16.2.1970), עמ' 3 (ההדגשה אינה במקור); דברים אותם ציינה גם חברתי השופטת </w:t>
      </w:r>
      <w:r w:rsidRPr="00D637D2">
        <w:rPr>
          <w:rFonts w:ascii="Century" w:hAnsi="Century" w:cs="Miriam" w:hint="cs"/>
          <w:b/>
          <w:spacing w:val="0"/>
          <w:sz w:val="22"/>
          <w:szCs w:val="24"/>
          <w:rtl/>
        </w:rPr>
        <w:t>וילנר</w:t>
      </w:r>
      <w:r>
        <w:rPr>
          <w:rFonts w:hint="cs"/>
          <w:rtl/>
        </w:rPr>
        <w:t xml:space="preserve">). בדיון אחר שנערך בוועדה בנוגע לתחולתה של ההרחבה על בן הזוג של הנכד (הרחבה שלא נכללה בנוסח המקורי של הצעת התיקון), שגם אותו הזכירה חברתי השופטת </w:t>
      </w:r>
      <w:r w:rsidRPr="00A677DD">
        <w:rPr>
          <w:rFonts w:ascii="Century" w:hAnsi="Century" w:cs="Miriam" w:hint="cs"/>
          <w:b/>
          <w:spacing w:val="0"/>
          <w:sz w:val="22"/>
          <w:szCs w:val="24"/>
          <w:rtl/>
        </w:rPr>
        <w:t>וילנר</w:t>
      </w:r>
      <w:r>
        <w:rPr>
          <w:rFonts w:hint="cs"/>
          <w:rtl/>
        </w:rPr>
        <w:t xml:space="preserve">, נאמר כי "בסיפה כתוב 'מוקנות גם לילד ולנכד של יהודי, לבן זוג של יהודי ולבן זוג של ילדו'. מה על בן הזוג של הנכד? נוסח זה אינו כולל את בן הזוג של הנכד, ואם מקנים זכות של עולה לנכד, </w:t>
      </w:r>
      <w:r w:rsidRPr="003F7B39">
        <w:rPr>
          <w:rFonts w:ascii="Century" w:hAnsi="Century" w:cs="Miriam" w:hint="cs"/>
          <w:b/>
          <w:spacing w:val="0"/>
          <w:szCs w:val="24"/>
          <w:rtl/>
        </w:rPr>
        <w:t xml:space="preserve">האם הכוונה להפריד בין הנכד לבין בן-זוגו? זה לא מתקבל על הדעת. בדרך </w:t>
      </w:r>
      <w:r>
        <w:rPr>
          <w:rFonts w:ascii="Century" w:hAnsi="Century" w:cs="Miriam" w:hint="cs"/>
          <w:b/>
          <w:spacing w:val="0"/>
          <w:szCs w:val="24"/>
          <w:rtl/>
        </w:rPr>
        <w:t xml:space="preserve">זו אומרים למעשה </w:t>
      </w:r>
      <w:r>
        <w:rPr>
          <w:rFonts w:ascii="Century" w:hAnsi="Century" w:cs="Miriam" w:hint="cs"/>
          <w:b/>
          <w:spacing w:val="0"/>
          <w:szCs w:val="24"/>
          <w:rtl/>
        </w:rPr>
        <w:lastRenderedPageBreak/>
        <w:t>שגם הנכד</w:t>
      </w:r>
      <w:r w:rsidRPr="003F7B39">
        <w:rPr>
          <w:rFonts w:ascii="Century" w:hAnsi="Century" w:cs="Miriam" w:hint="cs"/>
          <w:b/>
          <w:spacing w:val="0"/>
          <w:szCs w:val="24"/>
          <w:rtl/>
        </w:rPr>
        <w:t xml:space="preserve"> לא יוכל לקבל זכויות של עולה</w:t>
      </w:r>
      <w:r>
        <w:rPr>
          <w:rFonts w:hint="cs"/>
          <w:rtl/>
        </w:rPr>
        <w:t>" (</w:t>
      </w:r>
      <w:r w:rsidRPr="00807F3A">
        <w:rPr>
          <w:rFonts w:hint="eastAsia"/>
          <w:rtl/>
        </w:rPr>
        <w:t>ישיבה</w:t>
      </w:r>
      <w:r w:rsidRPr="00807F3A">
        <w:rPr>
          <w:rtl/>
        </w:rPr>
        <w:t xml:space="preserve"> </w:t>
      </w:r>
      <w:r w:rsidRPr="00807F3A">
        <w:rPr>
          <w:rFonts w:hint="eastAsia"/>
          <w:rtl/>
        </w:rPr>
        <w:t>מס</w:t>
      </w:r>
      <w:r w:rsidRPr="00807F3A">
        <w:rPr>
          <w:rtl/>
        </w:rPr>
        <w:t xml:space="preserve">' </w:t>
      </w:r>
      <w:r>
        <w:rPr>
          <w:rFonts w:hint="cs"/>
          <w:rtl/>
        </w:rPr>
        <w:t>17</w:t>
      </w:r>
      <w:r w:rsidRPr="00807F3A">
        <w:rPr>
          <w:rtl/>
        </w:rPr>
        <w:t xml:space="preserve"> </w:t>
      </w:r>
      <w:r w:rsidRPr="00807F3A">
        <w:rPr>
          <w:rFonts w:hint="eastAsia"/>
          <w:rtl/>
        </w:rPr>
        <w:t>של</w:t>
      </w:r>
      <w:r w:rsidRPr="00807F3A">
        <w:rPr>
          <w:rtl/>
        </w:rPr>
        <w:t xml:space="preserve"> </w:t>
      </w:r>
      <w:r w:rsidRPr="00807F3A">
        <w:rPr>
          <w:rFonts w:hint="eastAsia"/>
          <w:rtl/>
        </w:rPr>
        <w:t>ועדת</w:t>
      </w:r>
      <w:r w:rsidRPr="00807F3A">
        <w:rPr>
          <w:rtl/>
        </w:rPr>
        <w:t xml:space="preserve"> </w:t>
      </w:r>
      <w:r w:rsidRPr="00807F3A">
        <w:rPr>
          <w:rFonts w:hint="eastAsia"/>
          <w:rtl/>
        </w:rPr>
        <w:t>החוקה</w:t>
      </w:r>
      <w:r w:rsidRPr="00807F3A">
        <w:rPr>
          <w:rtl/>
        </w:rPr>
        <w:t xml:space="preserve">, </w:t>
      </w:r>
      <w:r w:rsidRPr="00807F3A">
        <w:rPr>
          <w:rFonts w:hint="eastAsia"/>
          <w:rtl/>
        </w:rPr>
        <w:t>חוק</w:t>
      </w:r>
      <w:r w:rsidRPr="00807F3A">
        <w:rPr>
          <w:rtl/>
        </w:rPr>
        <w:t xml:space="preserve"> </w:t>
      </w:r>
      <w:r w:rsidRPr="00807F3A">
        <w:rPr>
          <w:rFonts w:hint="eastAsia"/>
          <w:rtl/>
        </w:rPr>
        <w:t>ומשפט</w:t>
      </w:r>
      <w:r w:rsidRPr="00807F3A">
        <w:rPr>
          <w:rtl/>
        </w:rPr>
        <w:t xml:space="preserve"> </w:t>
      </w:r>
      <w:r w:rsidRPr="00807F3A">
        <w:rPr>
          <w:rFonts w:hint="eastAsia"/>
          <w:rtl/>
        </w:rPr>
        <w:t>של</w:t>
      </w:r>
      <w:r w:rsidRPr="00807F3A">
        <w:rPr>
          <w:rtl/>
        </w:rPr>
        <w:t xml:space="preserve"> </w:t>
      </w:r>
      <w:r w:rsidRPr="00807F3A">
        <w:rPr>
          <w:rFonts w:hint="eastAsia"/>
          <w:rtl/>
        </w:rPr>
        <w:t>הכנסת</w:t>
      </w:r>
      <w:r w:rsidRPr="00807F3A">
        <w:rPr>
          <w:rtl/>
        </w:rPr>
        <w:t xml:space="preserve"> </w:t>
      </w:r>
      <w:r w:rsidRPr="00807F3A">
        <w:rPr>
          <w:rFonts w:hint="eastAsia"/>
          <w:rtl/>
        </w:rPr>
        <w:t>ה</w:t>
      </w:r>
      <w:r>
        <w:rPr>
          <w:rtl/>
        </w:rPr>
        <w:t>-7</w:t>
      </w:r>
      <w:r w:rsidRPr="00807F3A">
        <w:rPr>
          <w:rtl/>
        </w:rPr>
        <w:t xml:space="preserve"> (</w:t>
      </w:r>
      <w:r>
        <w:rPr>
          <w:rFonts w:hint="cs"/>
          <w:rtl/>
        </w:rPr>
        <w:t xml:space="preserve">2.3.1970), עמ' 3 (ההדגשה אינה במקור)). ובהמשך הדיון נאמר מפי דובר אחר כי "לגבי בעיית הנכד צריכים אנו להביא בחשבון את העובדה שמברית-המועצות עולים בדרך-כלל קשישים... וקשישים אלה הם לפחות סבים וסבתות ויש שהגיעו כבר לנינים. </w:t>
      </w:r>
      <w:r w:rsidRPr="002678D5">
        <w:rPr>
          <w:rFonts w:ascii="Century" w:hAnsi="Century" w:cs="Miriam" w:hint="cs"/>
          <w:b/>
          <w:spacing w:val="0"/>
          <w:szCs w:val="24"/>
          <w:rtl/>
        </w:rPr>
        <w:t>קשה לתאר שמשפחה</w:t>
      </w:r>
      <w:r>
        <w:rPr>
          <w:rFonts w:ascii="Century" w:hAnsi="Century" w:cs="Miriam" w:hint="cs"/>
          <w:b/>
          <w:spacing w:val="0"/>
          <w:szCs w:val="24"/>
          <w:rtl/>
        </w:rPr>
        <w:t>...</w:t>
      </w:r>
      <w:r w:rsidRPr="002678D5">
        <w:rPr>
          <w:rFonts w:ascii="Century" w:hAnsi="Century" w:cs="Miriam" w:hint="cs"/>
          <w:b/>
          <w:spacing w:val="0"/>
          <w:szCs w:val="24"/>
          <w:rtl/>
        </w:rPr>
        <w:t xml:space="preserve"> תרצה להתפרק, ואם כן, למה לנו להוציא את בן-הזוג של הנכד?</w:t>
      </w:r>
      <w:r w:rsidRPr="002678D5">
        <w:rPr>
          <w:rFonts w:hint="cs"/>
          <w:rtl/>
        </w:rPr>
        <w:t xml:space="preserve"> </w:t>
      </w:r>
      <w:r w:rsidRPr="002678D5">
        <w:rPr>
          <w:rFonts w:ascii="Century" w:hAnsi="Century" w:cs="Miriam" w:hint="cs"/>
          <w:b/>
          <w:spacing w:val="0"/>
          <w:szCs w:val="24"/>
          <w:rtl/>
        </w:rPr>
        <w:t>הרי אליבא שכל אלה המסכימים עקרונית לסעיף זה מטרת ההקלות הללו היא לעודד עליה, ואם אנו עושים דבר חיובי, צריכים אנו לעשותו בשלימות</w:t>
      </w:r>
      <w:r>
        <w:rPr>
          <w:rFonts w:hint="cs"/>
          <w:rtl/>
        </w:rPr>
        <w:t xml:space="preserve">" (שם, עמ' 4 (ההדגשה אינה במקור); </w:t>
      </w:r>
      <w:r w:rsidRPr="00374B77">
        <w:rPr>
          <w:rFonts w:hint="eastAsia"/>
          <w:rtl/>
        </w:rPr>
        <w:t>ואכן</w:t>
      </w:r>
      <w:r>
        <w:rPr>
          <w:rFonts w:hint="cs"/>
          <w:rtl/>
        </w:rPr>
        <w:t xml:space="preserve"> בעקבות דברים אלה בסופו של דבר הוטמעה בחוק גם זכאותו של בן הזוג של הנכד). </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מדברים אלה עולה באופן ברור, כי הרציונלים שעמדו ביסוד הכללתם של צאצאי היהודי במסגרת מעגל הזכאים וביסוד הכללתם של בני זוגם היו שונים באופן מהותי: בעוד שהכללתו של צאצא היהודי נולדה מתוך השאיפה לעודד את עלייתו ארצה נוכח קשרו לעם היהודי; הכללתו של בן זוגו של זכאי השבות לא נועדה לעודד את עלייתו במנותק מצאצא היהודי עמו קשר את גורלו, אלא לוודא שתכלית עידוד עליית צאצאי היהודי ארצה תתגשם. מכאן אפוא קצרה הדרך למסקנה כי מקום שבו ניתק הקשר הזוגי בין בני הזוג </w:t>
      </w:r>
      <w:r>
        <w:rPr>
          <w:rtl/>
        </w:rPr>
        <w:t>–</w:t>
      </w:r>
      <w:r>
        <w:rPr>
          <w:rFonts w:hint="cs"/>
          <w:rtl/>
        </w:rPr>
        <w:t xml:space="preserve"> "</w:t>
      </w:r>
      <w:r w:rsidRPr="00E10F94">
        <w:rPr>
          <w:rFonts w:hint="eastAsia"/>
          <w:rtl/>
        </w:rPr>
        <w:t>בין</w:t>
      </w:r>
      <w:r w:rsidRPr="00E10F94">
        <w:rPr>
          <w:rtl/>
        </w:rPr>
        <w:t xml:space="preserve"> </w:t>
      </w:r>
      <w:r w:rsidRPr="00E10F94">
        <w:rPr>
          <w:rFonts w:hint="eastAsia"/>
          <w:rtl/>
        </w:rPr>
        <w:t>אם</w:t>
      </w:r>
      <w:r w:rsidRPr="00E10F94">
        <w:rPr>
          <w:rtl/>
        </w:rPr>
        <w:t xml:space="preserve"> </w:t>
      </w:r>
      <w:r w:rsidRPr="00E10F94">
        <w:rPr>
          <w:rFonts w:hint="eastAsia"/>
          <w:rtl/>
        </w:rPr>
        <w:t>מרצונם</w:t>
      </w:r>
      <w:r w:rsidRPr="00E10F94">
        <w:rPr>
          <w:rtl/>
        </w:rPr>
        <w:t xml:space="preserve"> </w:t>
      </w:r>
      <w:r w:rsidRPr="00E10F94">
        <w:rPr>
          <w:rFonts w:hint="eastAsia"/>
          <w:rtl/>
        </w:rPr>
        <w:t>ובין</w:t>
      </w:r>
      <w:r w:rsidRPr="00E10F94">
        <w:rPr>
          <w:rtl/>
        </w:rPr>
        <w:t xml:space="preserve"> </w:t>
      </w:r>
      <w:r w:rsidRPr="00E10F94">
        <w:rPr>
          <w:rFonts w:hint="eastAsia"/>
          <w:rtl/>
        </w:rPr>
        <w:t>בשל</w:t>
      </w:r>
      <w:r w:rsidRPr="00E10F94">
        <w:rPr>
          <w:rtl/>
        </w:rPr>
        <w:t xml:space="preserve"> </w:t>
      </w:r>
      <w:r w:rsidRPr="00E10F94">
        <w:rPr>
          <w:rFonts w:hint="eastAsia"/>
          <w:rtl/>
        </w:rPr>
        <w:t>המוות</w:t>
      </w:r>
      <w:r w:rsidRPr="00E10F94">
        <w:rPr>
          <w:rtl/>
        </w:rPr>
        <w:t xml:space="preserve"> </w:t>
      </w:r>
      <w:r w:rsidRPr="00E10F94">
        <w:rPr>
          <w:rFonts w:hint="eastAsia"/>
          <w:rtl/>
        </w:rPr>
        <w:t>שהפריד</w:t>
      </w:r>
      <w:r w:rsidRPr="00E10F94">
        <w:rPr>
          <w:rtl/>
        </w:rPr>
        <w:t xml:space="preserve"> </w:t>
      </w:r>
      <w:r w:rsidRPr="00E10F94">
        <w:rPr>
          <w:rFonts w:hint="eastAsia"/>
          <w:rtl/>
        </w:rPr>
        <w:t>ביניהם</w:t>
      </w:r>
      <w:r>
        <w:rPr>
          <w:rFonts w:hint="cs"/>
          <w:rtl/>
        </w:rPr>
        <w:t xml:space="preserve">" (עניין </w:t>
      </w:r>
      <w:r w:rsidRPr="00901521">
        <w:rPr>
          <w:rFonts w:ascii="Century" w:hAnsi="Century" w:cs="Miriam" w:hint="cs"/>
          <w:b/>
          <w:spacing w:val="0"/>
          <w:sz w:val="22"/>
          <w:szCs w:val="24"/>
          <w:rtl/>
        </w:rPr>
        <w:t>גורודצקי</w:t>
      </w:r>
      <w:r w:rsidRPr="00E83410">
        <w:rPr>
          <w:rFonts w:hint="cs"/>
          <w:rtl/>
        </w:rPr>
        <w:t xml:space="preserve">, פסקה 28) </w:t>
      </w:r>
      <w:r w:rsidRPr="00E83410">
        <w:rPr>
          <w:rtl/>
        </w:rPr>
        <w:t>–</w:t>
      </w:r>
      <w:r w:rsidRPr="00E83410">
        <w:rPr>
          <w:rFonts w:hint="cs"/>
          <w:rtl/>
        </w:rPr>
        <w:t xml:space="preserve"> </w:t>
      </w:r>
      <w:r>
        <w:rPr>
          <w:rFonts w:hint="cs"/>
          <w:rtl/>
        </w:rPr>
        <w:t xml:space="preserve">פגה </w:t>
      </w:r>
      <w:r w:rsidRPr="00E83410">
        <w:rPr>
          <w:rFonts w:hint="cs"/>
          <w:rtl/>
        </w:rPr>
        <w:t>זכאותו של בן הזוג</w:t>
      </w:r>
      <w:r>
        <w:rPr>
          <w:rFonts w:hint="cs"/>
          <w:rtl/>
        </w:rPr>
        <w:t xml:space="preserve"> לזכויות מכוח החוק</w:t>
      </w:r>
      <w:r w:rsidRPr="00E83410">
        <w:rPr>
          <w:rFonts w:hint="cs"/>
          <w:rtl/>
        </w:rPr>
        <w:t xml:space="preserve">. </w:t>
      </w:r>
    </w:p>
    <w:p w:rsidR="00BA03D0" w:rsidRDefault="00BA03D0" w:rsidP="00BA03D0">
      <w:pPr>
        <w:pStyle w:val="Ruller41"/>
        <w:rPr>
          <w:rtl/>
        </w:rPr>
      </w:pPr>
    </w:p>
    <w:p w:rsidR="00BA03D0" w:rsidRDefault="00BA03D0" w:rsidP="00BA03D0">
      <w:pPr>
        <w:pStyle w:val="Ruller4"/>
        <w:textAlignment w:val="baseline"/>
        <w:rPr>
          <w:rtl/>
        </w:rPr>
      </w:pPr>
      <w:r>
        <w:rPr>
          <w:rFonts w:hint="cs"/>
          <w:rtl/>
        </w:rPr>
        <w:t xml:space="preserve">ויודגש, תפיסה לפיה זכאותו של אדם להגירה מכוח בן זוגו נשענת על קיומו של קשר זוגי, אינה דבר חריג. כפי שנאמר בהקשר זה בעניין </w:t>
      </w:r>
      <w:r w:rsidRPr="00CD1E4D">
        <w:rPr>
          <w:rFonts w:ascii="Century" w:hAnsi="Century" w:cs="Miriam" w:hint="cs"/>
          <w:b/>
          <w:spacing w:val="0"/>
          <w:sz w:val="22"/>
          <w:szCs w:val="24"/>
          <w:rtl/>
        </w:rPr>
        <w:t>גורודצקי</w:t>
      </w:r>
      <w:r>
        <w:rPr>
          <w:rFonts w:hint="cs"/>
          <w:rtl/>
        </w:rPr>
        <w:t>:</w:t>
      </w:r>
    </w:p>
    <w:p w:rsidR="00BA03D0" w:rsidRDefault="00BA03D0" w:rsidP="00BA03D0">
      <w:pPr>
        <w:pStyle w:val="Ruller41"/>
        <w:rPr>
          <w:rtl/>
        </w:rPr>
      </w:pPr>
    </w:p>
    <w:p w:rsidR="00BA03D0" w:rsidRDefault="00BA03D0" w:rsidP="00BA03D0">
      <w:pPr>
        <w:pStyle w:val="Ruller5"/>
        <w:rPr>
          <w:rtl/>
        </w:rPr>
      </w:pPr>
      <w:r>
        <w:rPr>
          <w:rFonts w:hint="cs"/>
          <w:rtl/>
        </w:rPr>
        <w:t>"</w:t>
      </w:r>
      <w:r w:rsidRPr="006B21CF">
        <w:rPr>
          <w:rFonts w:hint="eastAsia"/>
          <w:rtl/>
        </w:rPr>
        <w:t>גם</w:t>
      </w:r>
      <w:r w:rsidRPr="006B21CF">
        <w:rPr>
          <w:rtl/>
        </w:rPr>
        <w:t xml:space="preserve"> </w:t>
      </w:r>
      <w:r w:rsidRPr="006B21CF">
        <w:rPr>
          <w:rFonts w:hint="eastAsia"/>
          <w:rtl/>
        </w:rPr>
        <w:t>לשיטת</w:t>
      </w:r>
      <w:r w:rsidRPr="006B21CF">
        <w:rPr>
          <w:rtl/>
        </w:rPr>
        <w:t xml:space="preserve"> </w:t>
      </w:r>
      <w:r w:rsidRPr="006B21CF">
        <w:rPr>
          <w:rFonts w:hint="eastAsia"/>
          <w:rtl/>
        </w:rPr>
        <w:t>אלו</w:t>
      </w:r>
      <w:r w:rsidRPr="006B21CF">
        <w:rPr>
          <w:rtl/>
        </w:rPr>
        <w:t xml:space="preserve"> </w:t>
      </w:r>
      <w:r w:rsidRPr="006B21CF">
        <w:rPr>
          <w:rFonts w:hint="eastAsia"/>
          <w:rtl/>
        </w:rPr>
        <w:t>שמכירים</w:t>
      </w:r>
      <w:r w:rsidRPr="006B21CF">
        <w:rPr>
          <w:rtl/>
        </w:rPr>
        <w:t xml:space="preserve"> </w:t>
      </w:r>
      <w:r w:rsidRPr="006B21CF">
        <w:rPr>
          <w:rFonts w:hint="eastAsia"/>
          <w:rtl/>
        </w:rPr>
        <w:t>בזכויותיו</w:t>
      </w:r>
      <w:r w:rsidRPr="006B21CF">
        <w:rPr>
          <w:rtl/>
        </w:rPr>
        <w:t xml:space="preserve"> </w:t>
      </w:r>
      <w:r w:rsidRPr="006B21CF">
        <w:rPr>
          <w:rFonts w:hint="eastAsia"/>
          <w:rtl/>
        </w:rPr>
        <w:t>של</w:t>
      </w:r>
      <w:r w:rsidRPr="006B21CF">
        <w:rPr>
          <w:rtl/>
        </w:rPr>
        <w:t xml:space="preserve"> </w:t>
      </w:r>
      <w:r w:rsidRPr="006B21CF">
        <w:rPr>
          <w:rFonts w:hint="eastAsia"/>
          <w:rtl/>
        </w:rPr>
        <w:t>בן</w:t>
      </w:r>
      <w:r w:rsidRPr="006B21CF">
        <w:rPr>
          <w:rtl/>
        </w:rPr>
        <w:t xml:space="preserve"> </w:t>
      </w:r>
      <w:r w:rsidRPr="006B21CF">
        <w:rPr>
          <w:rFonts w:hint="eastAsia"/>
          <w:rtl/>
        </w:rPr>
        <w:t>זוג</w:t>
      </w:r>
      <w:r w:rsidRPr="006B21CF">
        <w:rPr>
          <w:rtl/>
        </w:rPr>
        <w:t xml:space="preserve"> </w:t>
      </w:r>
      <w:r w:rsidRPr="006B21CF">
        <w:rPr>
          <w:rFonts w:hint="eastAsia"/>
          <w:rtl/>
        </w:rPr>
        <w:t>זר</w:t>
      </w:r>
      <w:r w:rsidRPr="006B21CF">
        <w:rPr>
          <w:rtl/>
        </w:rPr>
        <w:t xml:space="preserve"> </w:t>
      </w:r>
      <w:r w:rsidRPr="006B21CF">
        <w:rPr>
          <w:rFonts w:hint="eastAsia"/>
          <w:rtl/>
        </w:rPr>
        <w:t>להגירה</w:t>
      </w:r>
      <w:r w:rsidRPr="006B21CF">
        <w:rPr>
          <w:rtl/>
        </w:rPr>
        <w:t xml:space="preserve"> </w:t>
      </w:r>
      <w:r w:rsidRPr="006B21CF">
        <w:rPr>
          <w:rFonts w:hint="eastAsia"/>
          <w:rtl/>
        </w:rPr>
        <w:t>אל</w:t>
      </w:r>
      <w:r w:rsidRPr="006B21CF">
        <w:rPr>
          <w:rtl/>
        </w:rPr>
        <w:t xml:space="preserve"> </w:t>
      </w:r>
      <w:r w:rsidRPr="006B21CF">
        <w:rPr>
          <w:rFonts w:hint="eastAsia"/>
          <w:rtl/>
        </w:rPr>
        <w:t>המדינה</w:t>
      </w:r>
      <w:r w:rsidRPr="006B21CF">
        <w:rPr>
          <w:rtl/>
        </w:rPr>
        <w:t xml:space="preserve"> </w:t>
      </w:r>
      <w:r w:rsidRPr="006B21CF">
        <w:rPr>
          <w:rFonts w:hint="eastAsia"/>
          <w:rtl/>
        </w:rPr>
        <w:t>בה</w:t>
      </w:r>
      <w:r w:rsidRPr="006B21CF">
        <w:rPr>
          <w:rtl/>
        </w:rPr>
        <w:t xml:space="preserve"> </w:t>
      </w:r>
      <w:r w:rsidRPr="006B21CF">
        <w:rPr>
          <w:rFonts w:hint="eastAsia"/>
          <w:rtl/>
        </w:rPr>
        <w:t>שוהה</w:t>
      </w:r>
      <w:r w:rsidRPr="006B21CF">
        <w:rPr>
          <w:rtl/>
        </w:rPr>
        <w:t xml:space="preserve"> </w:t>
      </w:r>
      <w:r w:rsidRPr="006B21CF">
        <w:rPr>
          <w:rFonts w:hint="eastAsia"/>
          <w:rtl/>
        </w:rPr>
        <w:t>בן</w:t>
      </w:r>
      <w:r w:rsidRPr="006B21CF">
        <w:rPr>
          <w:rtl/>
        </w:rPr>
        <w:t xml:space="preserve"> </w:t>
      </w:r>
      <w:r w:rsidRPr="006B21CF">
        <w:rPr>
          <w:rFonts w:hint="eastAsia"/>
          <w:rtl/>
        </w:rPr>
        <w:t>זוגו</w:t>
      </w:r>
      <w:r w:rsidRPr="006B21CF">
        <w:rPr>
          <w:rtl/>
        </w:rPr>
        <w:t xml:space="preserve">, </w:t>
      </w:r>
      <w:r w:rsidRPr="006B21CF">
        <w:rPr>
          <w:rFonts w:hint="eastAsia"/>
          <w:rtl/>
        </w:rPr>
        <w:t>אין</w:t>
      </w:r>
      <w:r w:rsidRPr="006B21CF">
        <w:rPr>
          <w:rtl/>
        </w:rPr>
        <w:t xml:space="preserve"> </w:t>
      </w:r>
      <w:r w:rsidRPr="006B21CF">
        <w:rPr>
          <w:rFonts w:hint="eastAsia"/>
          <w:rtl/>
        </w:rPr>
        <w:t>חובה</w:t>
      </w:r>
      <w:r w:rsidRPr="006B21CF">
        <w:rPr>
          <w:rtl/>
        </w:rPr>
        <w:t xml:space="preserve"> </w:t>
      </w:r>
      <w:r w:rsidRPr="006B21CF">
        <w:rPr>
          <w:rFonts w:hint="eastAsia"/>
          <w:rtl/>
        </w:rPr>
        <w:t>של</w:t>
      </w:r>
      <w:r w:rsidRPr="006B21CF">
        <w:rPr>
          <w:rtl/>
        </w:rPr>
        <w:t xml:space="preserve"> </w:t>
      </w:r>
      <w:r w:rsidRPr="006B21CF">
        <w:rPr>
          <w:rFonts w:hint="eastAsia"/>
          <w:rtl/>
        </w:rPr>
        <w:t>המדינה</w:t>
      </w:r>
      <w:r w:rsidRPr="006B21CF">
        <w:rPr>
          <w:rtl/>
        </w:rPr>
        <w:t xml:space="preserve"> </w:t>
      </w:r>
      <w:r w:rsidRPr="006B21CF">
        <w:rPr>
          <w:rFonts w:hint="eastAsia"/>
          <w:rtl/>
        </w:rPr>
        <w:t>ליתן</w:t>
      </w:r>
      <w:r w:rsidRPr="006B21CF">
        <w:rPr>
          <w:rtl/>
        </w:rPr>
        <w:t xml:space="preserve"> </w:t>
      </w:r>
      <w:r w:rsidRPr="006B21CF">
        <w:rPr>
          <w:rFonts w:hint="eastAsia"/>
          <w:rtl/>
        </w:rPr>
        <w:t>זכויות</w:t>
      </w:r>
      <w:r w:rsidRPr="006B21CF">
        <w:rPr>
          <w:rtl/>
        </w:rPr>
        <w:t xml:space="preserve"> </w:t>
      </w:r>
      <w:r w:rsidRPr="006B21CF">
        <w:rPr>
          <w:rFonts w:hint="eastAsia"/>
          <w:rtl/>
        </w:rPr>
        <w:t>אלו</w:t>
      </w:r>
      <w:r w:rsidRPr="006B21CF">
        <w:rPr>
          <w:rtl/>
        </w:rPr>
        <w:t xml:space="preserve"> </w:t>
      </w:r>
      <w:r w:rsidRPr="006B21CF">
        <w:rPr>
          <w:rFonts w:hint="eastAsia"/>
          <w:rtl/>
        </w:rPr>
        <w:t>לבני</w:t>
      </w:r>
      <w:r w:rsidRPr="006B21CF">
        <w:rPr>
          <w:rtl/>
        </w:rPr>
        <w:t xml:space="preserve"> </w:t>
      </w:r>
      <w:r w:rsidRPr="006B21CF">
        <w:rPr>
          <w:rFonts w:hint="eastAsia"/>
          <w:rtl/>
        </w:rPr>
        <w:t>זוג</w:t>
      </w:r>
      <w:r w:rsidRPr="006B21CF">
        <w:rPr>
          <w:rtl/>
        </w:rPr>
        <w:t xml:space="preserve"> </w:t>
      </w:r>
      <w:r w:rsidRPr="006B21CF">
        <w:rPr>
          <w:rFonts w:hint="eastAsia"/>
          <w:rtl/>
        </w:rPr>
        <w:t>אשר</w:t>
      </w:r>
      <w:r w:rsidRPr="006B21CF">
        <w:rPr>
          <w:rtl/>
        </w:rPr>
        <w:t xml:space="preserve"> </w:t>
      </w:r>
      <w:r w:rsidRPr="006B21CF">
        <w:rPr>
          <w:rFonts w:hint="eastAsia"/>
          <w:rtl/>
        </w:rPr>
        <w:t>נפרדו</w:t>
      </w:r>
      <w:r w:rsidRPr="006B21CF">
        <w:rPr>
          <w:rtl/>
        </w:rPr>
        <w:t xml:space="preserve"> </w:t>
      </w:r>
      <w:r w:rsidRPr="006B21CF">
        <w:rPr>
          <w:rFonts w:hint="eastAsia"/>
          <w:rtl/>
        </w:rPr>
        <w:t>אחד</w:t>
      </w:r>
      <w:r w:rsidRPr="006B21CF">
        <w:rPr>
          <w:rtl/>
        </w:rPr>
        <w:t xml:space="preserve"> </w:t>
      </w:r>
      <w:r w:rsidRPr="006B21CF">
        <w:rPr>
          <w:rFonts w:hint="eastAsia"/>
          <w:rtl/>
        </w:rPr>
        <w:t>מהשני</w:t>
      </w:r>
      <w:r w:rsidRPr="006B21CF">
        <w:rPr>
          <w:rtl/>
        </w:rPr>
        <w:t xml:space="preserve">, </w:t>
      </w:r>
      <w:r w:rsidRPr="006B21CF">
        <w:rPr>
          <w:rFonts w:hint="eastAsia"/>
          <w:rtl/>
        </w:rPr>
        <w:t>בין</w:t>
      </w:r>
      <w:r w:rsidRPr="006B21CF">
        <w:rPr>
          <w:rtl/>
        </w:rPr>
        <w:t xml:space="preserve"> </w:t>
      </w:r>
      <w:r w:rsidRPr="006B21CF">
        <w:rPr>
          <w:rFonts w:hint="eastAsia"/>
          <w:rtl/>
        </w:rPr>
        <w:t>אם</w:t>
      </w:r>
      <w:r w:rsidRPr="006B21CF">
        <w:rPr>
          <w:rtl/>
        </w:rPr>
        <w:t xml:space="preserve"> </w:t>
      </w:r>
      <w:r w:rsidRPr="006B21CF">
        <w:rPr>
          <w:rFonts w:hint="eastAsia"/>
          <w:rtl/>
        </w:rPr>
        <w:t>מרצונם</w:t>
      </w:r>
      <w:r w:rsidRPr="006B21CF">
        <w:rPr>
          <w:rtl/>
        </w:rPr>
        <w:t xml:space="preserve"> </w:t>
      </w:r>
      <w:r w:rsidRPr="006B21CF">
        <w:rPr>
          <w:rFonts w:hint="eastAsia"/>
          <w:rtl/>
        </w:rPr>
        <w:t>ובין</w:t>
      </w:r>
      <w:r w:rsidRPr="006B21CF">
        <w:rPr>
          <w:rtl/>
        </w:rPr>
        <w:t xml:space="preserve"> </w:t>
      </w:r>
      <w:r w:rsidRPr="006B21CF">
        <w:rPr>
          <w:rFonts w:hint="eastAsia"/>
          <w:rtl/>
        </w:rPr>
        <w:t>בשל</w:t>
      </w:r>
      <w:r w:rsidRPr="006B21CF">
        <w:rPr>
          <w:rtl/>
        </w:rPr>
        <w:t xml:space="preserve"> </w:t>
      </w:r>
      <w:r w:rsidRPr="006B21CF">
        <w:rPr>
          <w:rFonts w:hint="eastAsia"/>
          <w:rtl/>
        </w:rPr>
        <w:t>המוות</w:t>
      </w:r>
      <w:r w:rsidRPr="006B21CF">
        <w:rPr>
          <w:rtl/>
        </w:rPr>
        <w:t xml:space="preserve"> </w:t>
      </w:r>
      <w:r w:rsidRPr="006B21CF">
        <w:rPr>
          <w:rFonts w:hint="eastAsia"/>
          <w:rtl/>
        </w:rPr>
        <w:t>שהפריד</w:t>
      </w:r>
      <w:r w:rsidRPr="006B21CF">
        <w:rPr>
          <w:rtl/>
        </w:rPr>
        <w:t xml:space="preserve"> </w:t>
      </w:r>
      <w:r w:rsidRPr="006B21CF">
        <w:rPr>
          <w:rFonts w:hint="eastAsia"/>
          <w:rtl/>
        </w:rPr>
        <w:t>ביניהם</w:t>
      </w:r>
      <w:r w:rsidRPr="006B21CF">
        <w:rPr>
          <w:rtl/>
        </w:rPr>
        <w:t xml:space="preserve">, </w:t>
      </w:r>
      <w:r w:rsidRPr="006B21CF">
        <w:rPr>
          <w:rFonts w:hint="eastAsia"/>
          <w:rtl/>
        </w:rPr>
        <w:t>בייחוד</w:t>
      </w:r>
      <w:r w:rsidRPr="006B21CF">
        <w:rPr>
          <w:rtl/>
        </w:rPr>
        <w:t xml:space="preserve"> </w:t>
      </w:r>
      <w:r w:rsidRPr="006B21CF">
        <w:rPr>
          <w:rFonts w:hint="eastAsia"/>
          <w:rtl/>
        </w:rPr>
        <w:t>כאשר</w:t>
      </w:r>
      <w:r w:rsidRPr="006B21CF">
        <w:rPr>
          <w:rtl/>
        </w:rPr>
        <w:t xml:space="preserve"> </w:t>
      </w:r>
      <w:r w:rsidRPr="006B21CF">
        <w:rPr>
          <w:rFonts w:hint="eastAsia"/>
          <w:rtl/>
        </w:rPr>
        <w:t>בן</w:t>
      </w:r>
      <w:r w:rsidRPr="006B21CF">
        <w:rPr>
          <w:rtl/>
        </w:rPr>
        <w:t xml:space="preserve"> </w:t>
      </w:r>
      <w:r w:rsidRPr="006B21CF">
        <w:rPr>
          <w:rFonts w:hint="eastAsia"/>
          <w:rtl/>
        </w:rPr>
        <w:t>הזוג</w:t>
      </w:r>
      <w:r w:rsidRPr="006B21CF">
        <w:rPr>
          <w:rtl/>
        </w:rPr>
        <w:t xml:space="preserve"> </w:t>
      </w:r>
      <w:r w:rsidRPr="006B21CF">
        <w:rPr>
          <w:rFonts w:hint="eastAsia"/>
          <w:rtl/>
        </w:rPr>
        <w:t>הזר</w:t>
      </w:r>
      <w:r w:rsidRPr="006B21CF">
        <w:rPr>
          <w:rtl/>
        </w:rPr>
        <w:t xml:space="preserve"> </w:t>
      </w:r>
      <w:r w:rsidRPr="006B21CF">
        <w:rPr>
          <w:rFonts w:hint="eastAsia"/>
          <w:rtl/>
        </w:rPr>
        <w:t>טרם</w:t>
      </w:r>
      <w:r w:rsidRPr="006B21CF">
        <w:rPr>
          <w:rtl/>
        </w:rPr>
        <w:t xml:space="preserve"> </w:t>
      </w:r>
      <w:r w:rsidRPr="006B21CF">
        <w:rPr>
          <w:rFonts w:hint="eastAsia"/>
          <w:rtl/>
        </w:rPr>
        <w:t>היגר</w:t>
      </w:r>
      <w:r w:rsidRPr="006B21CF">
        <w:rPr>
          <w:rtl/>
        </w:rPr>
        <w:t xml:space="preserve"> </w:t>
      </w:r>
      <w:r w:rsidRPr="006B21CF">
        <w:rPr>
          <w:rFonts w:hint="eastAsia"/>
          <w:rtl/>
        </w:rPr>
        <w:t>והתיישב</w:t>
      </w:r>
      <w:r w:rsidRPr="006B21CF">
        <w:rPr>
          <w:rtl/>
        </w:rPr>
        <w:t xml:space="preserve"> </w:t>
      </w:r>
      <w:r w:rsidRPr="006B21CF">
        <w:rPr>
          <w:rFonts w:hint="eastAsia"/>
          <w:rtl/>
        </w:rPr>
        <w:t>במדינת</w:t>
      </w:r>
      <w:r w:rsidRPr="006B21CF">
        <w:rPr>
          <w:rtl/>
        </w:rPr>
        <w:t xml:space="preserve"> </w:t>
      </w:r>
      <w:r w:rsidRPr="006B21CF">
        <w:rPr>
          <w:rFonts w:hint="eastAsia"/>
          <w:rtl/>
        </w:rPr>
        <w:t>מוצאו</w:t>
      </w:r>
      <w:r w:rsidRPr="006B21CF">
        <w:rPr>
          <w:rtl/>
        </w:rPr>
        <w:t xml:space="preserve"> </w:t>
      </w:r>
      <w:r w:rsidRPr="006B21CF">
        <w:rPr>
          <w:rFonts w:hint="eastAsia"/>
          <w:rtl/>
        </w:rPr>
        <w:t>של</w:t>
      </w:r>
      <w:r w:rsidRPr="006B21CF">
        <w:rPr>
          <w:rtl/>
        </w:rPr>
        <w:t xml:space="preserve"> </w:t>
      </w:r>
      <w:r w:rsidRPr="006B21CF">
        <w:rPr>
          <w:rFonts w:hint="eastAsia"/>
          <w:rtl/>
        </w:rPr>
        <w:t>בן</w:t>
      </w:r>
      <w:r w:rsidRPr="006B21CF">
        <w:rPr>
          <w:rtl/>
        </w:rPr>
        <w:t xml:space="preserve"> </w:t>
      </w:r>
      <w:r w:rsidRPr="006B21CF">
        <w:rPr>
          <w:rFonts w:hint="eastAsia"/>
          <w:rtl/>
        </w:rPr>
        <w:t>זוגו</w:t>
      </w:r>
      <w:r>
        <w:rPr>
          <w:rFonts w:hint="cs"/>
          <w:rtl/>
        </w:rPr>
        <w:t>" (שם, פסקה 28).</w:t>
      </w:r>
    </w:p>
    <w:p w:rsidR="00BA03D0" w:rsidRDefault="00BA03D0" w:rsidP="00BA03D0">
      <w:pPr>
        <w:pStyle w:val="Ruller4"/>
        <w:numPr>
          <w:ilvl w:val="0"/>
          <w:numId w:val="0"/>
        </w:numPr>
        <w:rPr>
          <w:rtl/>
        </w:rPr>
      </w:pPr>
    </w:p>
    <w:p w:rsidR="00BA03D0" w:rsidRDefault="00BA03D0" w:rsidP="00BA03D0">
      <w:pPr>
        <w:pStyle w:val="Ruller41"/>
        <w:rPr>
          <w:rtl/>
        </w:rPr>
      </w:pPr>
      <w:r>
        <w:rPr>
          <w:rtl/>
        </w:rPr>
        <w:tab/>
      </w:r>
      <w:r>
        <w:rPr>
          <w:rFonts w:hint="cs"/>
          <w:rtl/>
        </w:rPr>
        <w:t xml:space="preserve">אמנם, בכל הנוגע לבן זוגו של היהודי בחר המחוקק להחיל הסדר לפיו אין בפטירתו של היהודי כדי לשלול את זכאותו (להבדיל מפירוד בין בני הזוג). אולם כאמור, ברקע לכך עמדה הקרבה ליהודי והתפיסה כי בן הזוג של היהודי קשר את גורלו עם העם היהודי (וראו בעניין זה גם: עניין </w:t>
      </w:r>
      <w:r w:rsidRPr="00C3486E">
        <w:rPr>
          <w:rFonts w:ascii="Century" w:hAnsi="Century" w:cs="Miriam" w:hint="cs"/>
          <w:b/>
          <w:spacing w:val="0"/>
          <w:szCs w:val="24"/>
          <w:rtl/>
        </w:rPr>
        <w:t>סמוילוב</w:t>
      </w:r>
      <w:r>
        <w:rPr>
          <w:rFonts w:hint="cs"/>
          <w:rtl/>
        </w:rPr>
        <w:t xml:space="preserve">, עמ' 121). לא כך הוא ביחס לבן זוגו של זכאי שבות, כמפורט לעיל. </w:t>
      </w:r>
    </w:p>
    <w:p w:rsidR="00BA03D0" w:rsidRDefault="00BA03D0" w:rsidP="00BA03D0">
      <w:pPr>
        <w:pStyle w:val="Ruller41"/>
        <w:rPr>
          <w:rtl/>
        </w:rPr>
      </w:pPr>
    </w:p>
    <w:p w:rsidR="00BA03D0" w:rsidRPr="00426054" w:rsidRDefault="00BA03D0" w:rsidP="00BA03D0">
      <w:pPr>
        <w:pStyle w:val="Ruller4"/>
        <w:textAlignment w:val="baseline"/>
        <w:rPr>
          <w:rtl/>
        </w:rPr>
      </w:pPr>
      <w:r>
        <w:rPr>
          <w:rFonts w:hint="cs"/>
          <w:rtl/>
        </w:rPr>
        <w:lastRenderedPageBreak/>
        <w:t xml:space="preserve">אכן, ניתן לטעון כי </w:t>
      </w:r>
      <w:r w:rsidRPr="00CB7573">
        <w:rPr>
          <w:rFonts w:hint="eastAsia"/>
          <w:rtl/>
        </w:rPr>
        <w:t>היעדר</w:t>
      </w:r>
      <w:r>
        <w:rPr>
          <w:rFonts w:hint="cs"/>
          <w:rtl/>
        </w:rPr>
        <w:t xml:space="preserve"> אפשרותה של אלמנת בנו של יהודי לעלות ארצה </w:t>
      </w:r>
      <w:r w:rsidRPr="00CB7573">
        <w:rPr>
          <w:rFonts w:hint="eastAsia"/>
          <w:rtl/>
        </w:rPr>
        <w:t>עשוי</w:t>
      </w:r>
      <w:r>
        <w:rPr>
          <w:rFonts w:hint="cs"/>
          <w:rtl/>
        </w:rPr>
        <w:t xml:space="preserve"> להביא לכך שצאצאיה </w:t>
      </w:r>
      <w:r>
        <w:rPr>
          <w:rtl/>
        </w:rPr>
        <w:t>–</w:t>
      </w:r>
      <w:r>
        <w:rPr>
          <w:rFonts w:hint="cs"/>
          <w:rtl/>
        </w:rPr>
        <w:t xml:space="preserve"> נכדיו של היהודי </w:t>
      </w:r>
      <w:r>
        <w:rPr>
          <w:rtl/>
        </w:rPr>
        <w:t>–</w:t>
      </w:r>
      <w:r>
        <w:rPr>
          <w:rFonts w:hint="cs"/>
          <w:rtl/>
        </w:rPr>
        <w:t xml:space="preserve"> שירצו לממש זכותם לעלות ארצה, לא יעשו כן. ברם גם אני כמו חברי השופט </w:t>
      </w:r>
      <w:r w:rsidRPr="003F63E9">
        <w:rPr>
          <w:rFonts w:ascii="Century" w:hAnsi="Century" w:cs="Miriam" w:hint="cs"/>
          <w:b/>
          <w:spacing w:val="0"/>
          <w:sz w:val="22"/>
          <w:szCs w:val="24"/>
          <w:rtl/>
        </w:rPr>
        <w:t>סולברג</w:t>
      </w:r>
      <w:r w:rsidRPr="00C97B09">
        <w:rPr>
          <w:rFonts w:hint="cs"/>
          <w:rtl/>
        </w:rPr>
        <w:t xml:space="preserve"> </w:t>
      </w:r>
      <w:r>
        <w:rPr>
          <w:rFonts w:hint="cs"/>
          <w:rtl/>
        </w:rPr>
        <w:t xml:space="preserve">סבור כי אין בכך כדי לשנות מהמסקנה האמורה, בפרט בשים לב להלכה הפסוקה לפיה "חוק השבות אינו מעניק זכות כלפי מעלה" (עניין </w:t>
      </w:r>
      <w:r w:rsidRPr="003F63E9">
        <w:rPr>
          <w:rFonts w:ascii="Century" w:hAnsi="Century" w:cs="Miriam" w:hint="cs"/>
          <w:b/>
          <w:spacing w:val="0"/>
          <w:sz w:val="22"/>
          <w:szCs w:val="24"/>
          <w:rtl/>
        </w:rPr>
        <w:t>גורודצקי</w:t>
      </w:r>
      <w:r>
        <w:rPr>
          <w:rFonts w:hint="cs"/>
          <w:rtl/>
        </w:rPr>
        <w:t xml:space="preserve">, פסקה 39; וראו את הנמקותיו של חברי בעניין זה, פסקאות 35-34 לחוות דעתו). לכך אוסיף, כפי שגם הדגשתי בפסק הדיון מושא הדיון הנוסף, כי חוק השבות אינו הכלי היחידי שמכוחו ניתן לקבל מעמד בארץ. רוצה לומר, ככל שנכדי היהודי יבקשו לממש את </w:t>
      </w:r>
      <w:r w:rsidRPr="00CB7573">
        <w:rPr>
          <w:rFonts w:hint="cs"/>
          <w:rtl/>
        </w:rPr>
        <w:t xml:space="preserve">זכותם </w:t>
      </w:r>
      <w:r w:rsidRPr="00CB7573">
        <w:rPr>
          <w:rFonts w:hint="eastAsia"/>
          <w:rtl/>
        </w:rPr>
        <w:t>מכוח</w:t>
      </w:r>
      <w:r w:rsidRPr="00CB7573">
        <w:rPr>
          <w:rtl/>
        </w:rPr>
        <w:t xml:space="preserve"> </w:t>
      </w:r>
      <w:r w:rsidRPr="00CB7573">
        <w:rPr>
          <w:rFonts w:hint="eastAsia"/>
          <w:rtl/>
        </w:rPr>
        <w:t>החוק</w:t>
      </w:r>
      <w:r w:rsidRPr="00CB7573">
        <w:rPr>
          <w:rFonts w:hint="cs"/>
          <w:rtl/>
        </w:rPr>
        <w:t>, היעדר</w:t>
      </w:r>
      <w:r>
        <w:rPr>
          <w:rFonts w:hint="cs"/>
          <w:rtl/>
        </w:rPr>
        <w:t xml:space="preserve"> אפשרותה של אמם לעלות אף היא מכוח </w:t>
      </w:r>
      <w:r w:rsidRPr="00CB7573">
        <w:rPr>
          <w:rFonts w:hint="cs"/>
          <w:rtl/>
        </w:rPr>
        <w:t xml:space="preserve">החוק </w:t>
      </w:r>
      <w:r w:rsidRPr="00CB7573">
        <w:rPr>
          <w:rFonts w:hint="eastAsia"/>
          <w:rtl/>
        </w:rPr>
        <w:t>לא</w:t>
      </w:r>
      <w:r w:rsidRPr="00CB7573">
        <w:rPr>
          <w:rtl/>
        </w:rPr>
        <w:t xml:space="preserve"> </w:t>
      </w:r>
      <w:r w:rsidRPr="00CB7573">
        <w:rPr>
          <w:rFonts w:hint="eastAsia"/>
          <w:rtl/>
        </w:rPr>
        <w:t>ישלול</w:t>
      </w:r>
      <w:r w:rsidRPr="00CB7573">
        <w:rPr>
          <w:rtl/>
        </w:rPr>
        <w:t xml:space="preserve"> </w:t>
      </w:r>
      <w:r w:rsidRPr="00CB7573">
        <w:rPr>
          <w:rFonts w:hint="eastAsia"/>
          <w:rtl/>
        </w:rPr>
        <w:t>זאת</w:t>
      </w:r>
      <w:r w:rsidRPr="00CB7573">
        <w:rPr>
          <w:rFonts w:hint="cs"/>
          <w:rtl/>
        </w:rPr>
        <w:t xml:space="preserve"> בהינתן</w:t>
      </w:r>
      <w:r>
        <w:rPr>
          <w:rFonts w:hint="cs"/>
          <w:rtl/>
        </w:rPr>
        <w:t xml:space="preserve"> קיומם של מסלולים אחרים שמכוחם היא תוכל לקבל מעמד בישראל. </w:t>
      </w:r>
    </w:p>
    <w:p w:rsidR="00BA03D0" w:rsidRDefault="00BA03D0" w:rsidP="00BA03D0">
      <w:pPr>
        <w:pStyle w:val="Ruller41"/>
        <w:rPr>
          <w:rtl/>
        </w:rPr>
      </w:pPr>
    </w:p>
    <w:p w:rsidR="00BA03D0" w:rsidRDefault="00BA03D0" w:rsidP="00BA03D0">
      <w:pPr>
        <w:pStyle w:val="Ruller4"/>
        <w:tabs>
          <w:tab w:val="left" w:pos="1502"/>
        </w:tabs>
        <w:textAlignment w:val="baseline"/>
        <w:rPr>
          <w:rtl/>
        </w:rPr>
      </w:pPr>
      <w:r>
        <w:rPr>
          <w:rFonts w:hint="cs"/>
          <w:rtl/>
        </w:rPr>
        <w:t xml:space="preserve">חבריי ממלא מקום הנשיא והשופטת (בדימ') </w:t>
      </w:r>
      <w:r w:rsidRPr="00435C84">
        <w:rPr>
          <w:rFonts w:ascii="Century" w:hAnsi="Century" w:cs="Miriam" w:hint="cs"/>
          <w:b/>
          <w:spacing w:val="0"/>
          <w:sz w:val="22"/>
          <w:szCs w:val="24"/>
          <w:rtl/>
        </w:rPr>
        <w:t>ברון</w:t>
      </w:r>
      <w:r>
        <w:rPr>
          <w:rFonts w:hint="cs"/>
          <w:rtl/>
        </w:rPr>
        <w:t xml:space="preserve"> מסתייגים מההבחנה בין סוגי הזכאים השונים המנויים בסעיף 4א לחוק, בציינם כי אמת המידה שנקבעה בפסיקה לקביעת זכאותו של בן המשפחה היא קיומו של קשר משפחתי מהותי שאינו פורמלי בלבד. על פי גישה זו, מקום שבו נמצא כי במישור העובדתי הקשרים המשפחתיים המהותיים מתקיימים, אין בשוני בין מאפייני הקשר הזוגי לבין הקשר "הדורי" כדי להביא למסקנה כי מבחינה נורמטיבית הזכויות שונות בטיבן (פסקה 43 לחוות דעתו של ממלא מקום הנשיא; פסקה 5 לחוות דעתה של השופטת (בדימ') </w:t>
      </w:r>
      <w:r w:rsidRPr="00435C84">
        <w:rPr>
          <w:rFonts w:ascii="Century" w:hAnsi="Century" w:cs="Miriam" w:hint="cs"/>
          <w:b/>
          <w:spacing w:val="0"/>
          <w:sz w:val="22"/>
          <w:szCs w:val="24"/>
          <w:rtl/>
        </w:rPr>
        <w:t>ברון</w:t>
      </w:r>
      <w:r>
        <w:rPr>
          <w:rFonts w:hint="cs"/>
          <w:rtl/>
        </w:rPr>
        <w:t xml:space="preserve">). חולק אני על עמדה זו. אמת המידה הנזכרת בפסיקה נוגעת לבחינת השאלה האם בן המשפחה אשר </w:t>
      </w:r>
      <w:r w:rsidRPr="00435C84">
        <w:rPr>
          <w:rFonts w:ascii="Century" w:hAnsi="Century" w:cs="Miriam" w:hint="cs"/>
          <w:b/>
          <w:spacing w:val="0"/>
          <w:sz w:val="22"/>
          <w:szCs w:val="24"/>
          <w:rtl/>
        </w:rPr>
        <w:t>נמנה</w:t>
      </w:r>
      <w:r w:rsidRPr="00FD6F4C">
        <w:rPr>
          <w:rFonts w:hint="cs"/>
          <w:rtl/>
        </w:rPr>
        <w:t xml:space="preserve"> </w:t>
      </w:r>
      <w:r>
        <w:rPr>
          <w:rFonts w:hint="cs"/>
          <w:rtl/>
        </w:rPr>
        <w:t xml:space="preserve">על רשימת הזכאים המצויה בחוק, אכן זכאי בפועל לקבל את הטבות החוק. דוגמה לכך היא מקרים שבהם מדובר בבני זוג נשואים כאשר מתעוררת שאלה לגבי כנות הנישואין או כאשר הם מצויים בהליכי גירושין (ראו בעניין זה: עניין </w:t>
      </w:r>
      <w:r w:rsidRPr="00435C84">
        <w:rPr>
          <w:rFonts w:ascii="Century" w:hAnsi="Century" w:cs="Miriam" w:hint="cs"/>
          <w:b/>
          <w:spacing w:val="0"/>
          <w:sz w:val="22"/>
          <w:szCs w:val="24"/>
          <w:rtl/>
        </w:rPr>
        <w:t>סמוילוב</w:t>
      </w:r>
      <w:r>
        <w:rPr>
          <w:rFonts w:hint="cs"/>
          <w:rtl/>
        </w:rPr>
        <w:t xml:space="preserve">, עמ' 121; </w:t>
      </w:r>
      <w:r w:rsidRPr="00FD6F4C">
        <w:rPr>
          <w:rFonts w:hint="eastAsia"/>
          <w:rtl/>
        </w:rPr>
        <w:t>ע</w:t>
      </w:r>
      <w:r w:rsidRPr="00FD6F4C">
        <w:rPr>
          <w:rtl/>
        </w:rPr>
        <w:t>"</w:t>
      </w:r>
      <w:r w:rsidRPr="00FD6F4C">
        <w:rPr>
          <w:rFonts w:hint="eastAsia"/>
          <w:rtl/>
        </w:rPr>
        <w:t>פ</w:t>
      </w:r>
      <w:r w:rsidRPr="00FD6F4C">
        <w:rPr>
          <w:rtl/>
        </w:rPr>
        <w:t xml:space="preserve"> 3363</w:t>
      </w:r>
      <w:r>
        <w:rPr>
          <w:rFonts w:hint="cs"/>
          <w:rtl/>
        </w:rPr>
        <w:t>/</w:t>
      </w:r>
      <w:r w:rsidRPr="00FD6F4C">
        <w:rPr>
          <w:rtl/>
        </w:rPr>
        <w:t xml:space="preserve">98 </w:t>
      </w:r>
      <w:r w:rsidRPr="00435C84">
        <w:rPr>
          <w:rFonts w:ascii="Century" w:hAnsi="Century" w:cs="Miriam" w:hint="eastAsia"/>
          <w:b/>
          <w:spacing w:val="0"/>
          <w:sz w:val="22"/>
          <w:szCs w:val="24"/>
          <w:rtl/>
        </w:rPr>
        <w:t>קניאז</w:t>
      </w:r>
      <w:r w:rsidRPr="00435C84">
        <w:rPr>
          <w:rFonts w:ascii="Century" w:hAnsi="Century" w:cs="Miriam"/>
          <w:b/>
          <w:spacing w:val="0"/>
          <w:sz w:val="22"/>
          <w:szCs w:val="24"/>
          <w:rtl/>
        </w:rPr>
        <w:t>'</w:t>
      </w:r>
      <w:r w:rsidRPr="00435C84">
        <w:rPr>
          <w:rFonts w:ascii="Century" w:hAnsi="Century" w:cs="Miriam" w:hint="eastAsia"/>
          <w:b/>
          <w:spacing w:val="0"/>
          <w:sz w:val="22"/>
          <w:szCs w:val="24"/>
          <w:rtl/>
        </w:rPr>
        <w:t>ינסקי</w:t>
      </w:r>
      <w:r w:rsidRPr="00435C84">
        <w:rPr>
          <w:rFonts w:ascii="Century" w:hAnsi="Century" w:cs="Miriam"/>
          <w:b/>
          <w:spacing w:val="0"/>
          <w:sz w:val="22"/>
          <w:szCs w:val="24"/>
          <w:rtl/>
        </w:rPr>
        <w:t xml:space="preserve"> </w:t>
      </w:r>
      <w:r w:rsidRPr="00435C84">
        <w:rPr>
          <w:rFonts w:ascii="Century" w:hAnsi="Century" w:cs="Miriam" w:hint="eastAsia"/>
          <w:b/>
          <w:spacing w:val="0"/>
          <w:sz w:val="22"/>
          <w:szCs w:val="24"/>
          <w:rtl/>
        </w:rPr>
        <w:t>נ</w:t>
      </w:r>
      <w:r w:rsidRPr="00435C84">
        <w:rPr>
          <w:rFonts w:ascii="Century" w:hAnsi="Century" w:cs="Miriam"/>
          <w:b/>
          <w:spacing w:val="0"/>
          <w:sz w:val="22"/>
          <w:szCs w:val="24"/>
          <w:rtl/>
        </w:rPr>
        <w:t xml:space="preserve">' </w:t>
      </w:r>
      <w:r w:rsidRPr="00435C84">
        <w:rPr>
          <w:rFonts w:ascii="Century" w:hAnsi="Century" w:cs="Miriam" w:hint="eastAsia"/>
          <w:b/>
          <w:spacing w:val="0"/>
          <w:sz w:val="22"/>
          <w:szCs w:val="24"/>
          <w:rtl/>
        </w:rPr>
        <w:t>מדינת</w:t>
      </w:r>
      <w:r w:rsidRPr="00435C84">
        <w:rPr>
          <w:rFonts w:ascii="Century" w:hAnsi="Century" w:cs="Miriam"/>
          <w:b/>
          <w:spacing w:val="0"/>
          <w:sz w:val="22"/>
          <w:szCs w:val="24"/>
          <w:rtl/>
        </w:rPr>
        <w:t xml:space="preserve"> </w:t>
      </w:r>
      <w:r w:rsidRPr="00435C84">
        <w:rPr>
          <w:rFonts w:ascii="Century" w:hAnsi="Century" w:cs="Miriam" w:hint="eastAsia"/>
          <w:b/>
          <w:spacing w:val="0"/>
          <w:sz w:val="22"/>
          <w:szCs w:val="24"/>
          <w:rtl/>
        </w:rPr>
        <w:t>ישראל</w:t>
      </w:r>
      <w:r w:rsidRPr="00FD6F4C">
        <w:rPr>
          <w:rtl/>
        </w:rPr>
        <w:t xml:space="preserve">, </w:t>
      </w:r>
      <w:r w:rsidRPr="00FD6F4C">
        <w:rPr>
          <w:rFonts w:hint="eastAsia"/>
          <w:rtl/>
        </w:rPr>
        <w:t>פ</w:t>
      </w:r>
      <w:r w:rsidRPr="00FD6F4C">
        <w:rPr>
          <w:rtl/>
        </w:rPr>
        <w:t>"</w:t>
      </w:r>
      <w:r w:rsidRPr="00FD6F4C">
        <w:rPr>
          <w:rFonts w:hint="eastAsia"/>
          <w:rtl/>
        </w:rPr>
        <w:t>ד</w:t>
      </w:r>
      <w:r w:rsidRPr="00FD6F4C">
        <w:rPr>
          <w:rtl/>
        </w:rPr>
        <w:t xml:space="preserve"> </w:t>
      </w:r>
      <w:r w:rsidRPr="00FD6F4C">
        <w:rPr>
          <w:rFonts w:hint="eastAsia"/>
          <w:rtl/>
        </w:rPr>
        <w:t>נג</w:t>
      </w:r>
      <w:r w:rsidRPr="00FD6F4C">
        <w:rPr>
          <w:rtl/>
        </w:rPr>
        <w:t>(2) 479</w:t>
      </w:r>
      <w:r>
        <w:rPr>
          <w:rFonts w:hint="cs"/>
          <w:rtl/>
        </w:rPr>
        <w:t xml:space="preserve">, 489 (1999); בג"ץ </w:t>
      </w:r>
      <w:r w:rsidRPr="00D768CC">
        <w:rPr>
          <w:rtl/>
        </w:rPr>
        <w:t xml:space="preserve">7638/10 </w:t>
      </w:r>
      <w:r w:rsidRPr="00073888">
        <w:rPr>
          <w:rFonts w:ascii="Century" w:hAnsi="Century" w:cs="Miriam" w:hint="eastAsia"/>
          <w:b/>
          <w:spacing w:val="0"/>
          <w:sz w:val="22"/>
          <w:szCs w:val="24"/>
          <w:rtl/>
        </w:rPr>
        <w:t>טפרה</w:t>
      </w:r>
      <w:r w:rsidRPr="00073888">
        <w:rPr>
          <w:rFonts w:ascii="Century" w:hAnsi="Century" w:cs="Miriam"/>
          <w:b/>
          <w:spacing w:val="0"/>
          <w:sz w:val="22"/>
          <w:szCs w:val="24"/>
          <w:rtl/>
        </w:rPr>
        <w:t xml:space="preserve"> </w:t>
      </w:r>
      <w:r w:rsidRPr="00073888">
        <w:rPr>
          <w:rFonts w:ascii="Century" w:hAnsi="Century" w:cs="Miriam" w:hint="eastAsia"/>
          <w:b/>
          <w:spacing w:val="0"/>
          <w:sz w:val="22"/>
          <w:szCs w:val="24"/>
          <w:rtl/>
        </w:rPr>
        <w:t>נ</w:t>
      </w:r>
      <w:r w:rsidRPr="00073888">
        <w:rPr>
          <w:rFonts w:ascii="Century" w:hAnsi="Century" w:cs="Miriam"/>
          <w:b/>
          <w:spacing w:val="0"/>
          <w:sz w:val="22"/>
          <w:szCs w:val="24"/>
          <w:rtl/>
        </w:rPr>
        <w:t xml:space="preserve">' </w:t>
      </w:r>
      <w:r w:rsidRPr="00073888">
        <w:rPr>
          <w:rFonts w:ascii="Century" w:hAnsi="Century" w:cs="Miriam" w:hint="eastAsia"/>
          <w:b/>
          <w:spacing w:val="0"/>
          <w:sz w:val="22"/>
          <w:szCs w:val="24"/>
          <w:rtl/>
        </w:rPr>
        <w:t>שר</w:t>
      </w:r>
      <w:r w:rsidRPr="00073888">
        <w:rPr>
          <w:rFonts w:ascii="Century" w:hAnsi="Century" w:cs="Miriam"/>
          <w:b/>
          <w:spacing w:val="0"/>
          <w:sz w:val="22"/>
          <w:szCs w:val="24"/>
          <w:rtl/>
        </w:rPr>
        <w:t xml:space="preserve"> </w:t>
      </w:r>
      <w:r w:rsidRPr="00073888">
        <w:rPr>
          <w:rFonts w:ascii="Century" w:hAnsi="Century" w:cs="Miriam" w:hint="eastAsia"/>
          <w:b/>
          <w:spacing w:val="0"/>
          <w:sz w:val="22"/>
          <w:szCs w:val="24"/>
          <w:rtl/>
        </w:rPr>
        <w:t>הפנים</w:t>
      </w:r>
      <w:r>
        <w:rPr>
          <w:rFonts w:hint="cs"/>
          <w:rtl/>
        </w:rPr>
        <w:t xml:space="preserve">, פסקה 19 (29.4.2014)). אלא שלא זו השאלה הנשאלת בענייננו. השאלה שלפנינו היא האם אכן מדובר בבן משפחה הנמנה על רשימת הזכאים. לצורך מענה לשאלה זו נבחנת התכלית שעמדה ביסוד הכללתו של בן המשפחה הנדון </w:t>
      </w:r>
      <w:r>
        <w:rPr>
          <w:rtl/>
        </w:rPr>
        <w:t>–</w:t>
      </w:r>
      <w:r>
        <w:rPr>
          <w:rFonts w:hint="cs"/>
          <w:rtl/>
        </w:rPr>
        <w:t xml:space="preserve"> בן זוג של זכאי שבות </w:t>
      </w:r>
      <w:r>
        <w:rPr>
          <w:rtl/>
        </w:rPr>
        <w:t>–</w:t>
      </w:r>
      <w:r>
        <w:rPr>
          <w:rFonts w:hint="cs"/>
          <w:rtl/>
        </w:rPr>
        <w:t xml:space="preserve"> ומתכלית זו נלמד שהמחוקק הוא שביקש להבחין בין קשר הדם לבין מי אשר לו זיקה של זוגיות לקשר הדם; ובין מצב שבו קשר הזוגיות האמור עומד בעינו לבין מצב שבו קשר זה התפוגג, מכל סיבה שהיא. </w:t>
      </w:r>
    </w:p>
    <w:p w:rsidR="00BA03D0" w:rsidRPr="006B0D9B" w:rsidRDefault="00BA03D0" w:rsidP="00BA03D0">
      <w:pPr>
        <w:pStyle w:val="Ruller41"/>
      </w:pPr>
    </w:p>
    <w:p w:rsidR="00BA03D0" w:rsidRDefault="00BA03D0" w:rsidP="00BA03D0">
      <w:pPr>
        <w:pStyle w:val="Ruller4"/>
        <w:textAlignment w:val="baseline"/>
      </w:pPr>
      <w:r>
        <w:rPr>
          <w:rFonts w:hint="cs"/>
          <w:rtl/>
        </w:rPr>
        <w:t>חברי ממלא מקום הנשיא גם מבחין</w:t>
      </w:r>
      <w:r w:rsidRPr="00E83410">
        <w:rPr>
          <w:rFonts w:hint="cs"/>
          <w:rtl/>
        </w:rPr>
        <w:t xml:space="preserve"> בין מקרה שבו קשר </w:t>
      </w:r>
      <w:r>
        <w:rPr>
          <w:rFonts w:hint="cs"/>
          <w:rtl/>
        </w:rPr>
        <w:t xml:space="preserve">הזוגיות </w:t>
      </w:r>
      <w:r w:rsidRPr="00E83410">
        <w:rPr>
          <w:rFonts w:hint="cs"/>
          <w:rtl/>
        </w:rPr>
        <w:t xml:space="preserve">הופסק בהסכמה </w:t>
      </w:r>
      <w:r w:rsidRPr="00E83410">
        <w:rPr>
          <w:rtl/>
        </w:rPr>
        <w:t>–</w:t>
      </w:r>
      <w:r w:rsidRPr="00E83410">
        <w:rPr>
          <w:rFonts w:hint="cs"/>
          <w:rtl/>
        </w:rPr>
        <w:t xml:space="preserve"> שאז בת זוגו של הצאצא אינה זכאית עוד לשבות מכוח החוק; לבין מקרה שבו קשר </w:t>
      </w:r>
      <w:r>
        <w:rPr>
          <w:rFonts w:hint="cs"/>
          <w:rtl/>
        </w:rPr>
        <w:t xml:space="preserve">הזוגיות </w:t>
      </w:r>
      <w:r w:rsidRPr="00E83410">
        <w:rPr>
          <w:rFonts w:hint="cs"/>
          <w:rtl/>
        </w:rPr>
        <w:t xml:space="preserve">הופסק מפאת אונס </w:t>
      </w:r>
      <w:r w:rsidRPr="00E83410">
        <w:rPr>
          <w:rtl/>
        </w:rPr>
        <w:t>–</w:t>
      </w:r>
      <w:r w:rsidRPr="00E83410">
        <w:rPr>
          <w:rFonts w:hint="cs"/>
          <w:rtl/>
        </w:rPr>
        <w:t xml:space="preserve"> שאז בת זוגו של הצאצא זכאית לשבות מכוח החוק</w:t>
      </w:r>
      <w:r>
        <w:rPr>
          <w:rFonts w:hint="cs"/>
          <w:rtl/>
        </w:rPr>
        <w:t xml:space="preserve">, שכן </w:t>
      </w:r>
      <w:r>
        <w:rPr>
          <w:rFonts w:hint="cs"/>
          <w:rtl/>
        </w:rPr>
        <w:lastRenderedPageBreak/>
        <w:t>במצב זה לא ניתן לומר שבכך הוּצאה בת זוג מהתא המשפחתי (פסקה 45 לחוות דעתו)</w:t>
      </w:r>
      <w:r w:rsidRPr="00E83410">
        <w:rPr>
          <w:rFonts w:hint="cs"/>
          <w:rtl/>
        </w:rPr>
        <w:t>.</w:t>
      </w:r>
      <w:r>
        <w:rPr>
          <w:rFonts w:hint="cs"/>
          <w:rtl/>
        </w:rPr>
        <w:t xml:space="preserve"> ברם, להבחנה בין ניתוק קשר הזוגיות מרצון לבין ניתוק מחמת אינוס אין כל יסוד בלשונו של הסעיף. לכך יש להוסיף כי עמדה זו מניחה לטעמי הנחות שאין להן יסוד מבורר. כך למשל, לא בכל מקרה של פטירת בן הזוג מדובר בקשר משפחתי שנמשך שנים ארוכות של חיים משותפים. כמו כן, יתכנו מקרים שבהם האלמנה נישאה מחדש </w:t>
      </w:r>
      <w:r>
        <w:rPr>
          <w:rtl/>
        </w:rPr>
        <w:t>–</w:t>
      </w:r>
      <w:r>
        <w:rPr>
          <w:rFonts w:hint="cs"/>
          <w:rtl/>
        </w:rPr>
        <w:t xml:space="preserve"> האם גם במקרה שכזה תהא זכאית האלמנה לשבות מכוח החוק אך בשל כך שפרידתה מבן זוגה הייתה מחמת אינוס? ומן העבר השני, אינני סבור כלל שעצם העובדה שמדובר בפירוד יזום משפיעה בהכרח על המחויבות שחש בן הזוג שאינו צאצא של יהודי כלפי התא המשפחתי המשותף, ודאי כאשר מדובר בתא משפחתי שנוצר לאורך השנים. בהחלט קיימת אפשרות והיא אף מתבקשת ומתקיימת כ"ברירת מחדל", שחרף הפירוד היזום של בני הזוג, יתקיימו קשרים משפחתיים הדוקים ביניהם ועם המשפחה שהם בנו יחדיו טרם הפירוד. ומכאן גם נובעת שאלה נוספת </w:t>
      </w:r>
      <w:r>
        <w:rPr>
          <w:rtl/>
        </w:rPr>
        <w:t>–</w:t>
      </w:r>
      <w:r>
        <w:rPr>
          <w:rFonts w:hint="cs"/>
          <w:rtl/>
        </w:rPr>
        <w:t xml:space="preserve"> אם אכן סבורים חבריי כי יש לערוך בחינה מהותית של הקשרים המשפחתיים, מדוע אין לעשות כן במקרים של פירוד מרצון? לכך לא ניתן על ידם מענה. </w:t>
      </w:r>
    </w:p>
    <w:p w:rsidR="00BA03D0" w:rsidRPr="00A068A0" w:rsidRDefault="00BA03D0" w:rsidP="00BA03D0">
      <w:pPr>
        <w:pStyle w:val="Ruller41"/>
        <w:rPr>
          <w:rtl/>
        </w:rPr>
      </w:pPr>
    </w:p>
    <w:p w:rsidR="00BA03D0" w:rsidRDefault="00BA03D0" w:rsidP="00BA03D0">
      <w:pPr>
        <w:pStyle w:val="Ruller4"/>
        <w:textAlignment w:val="baseline"/>
        <w:rPr>
          <w:rtl/>
        </w:rPr>
      </w:pPr>
      <w:r>
        <w:rPr>
          <w:rFonts w:hint="cs"/>
          <w:rtl/>
        </w:rPr>
        <w:t xml:space="preserve">עוד מציין חברי ממלא מקום הנשיא, בהתייחס לתכלית שעניינה מתן אפשרות למי שיש לו קרבה לעם היהודי להצטרף אליו, כי לגישתו פטירתו של זכאי השבות אינה מנתקת את הקשר בין אלמנתו לבין העם היהודי. כפי שציינתי לעיל, מעיון בהיסטוריה החקיקתית עולה כי תכלית זו כלל לא עמדה ביסוד הכללתם של בני הזוג של זכאי השבות במסגרת רשימת הזכאים המורחבת. על כל פנים, אין חולק על כך שיתכנו מקרים מסוימים שבהם עלייתם של בני משפחה שאינם נמנים על זכאי השבות תגשים את תכליות החוק. כך למשל, לא מן הנמנע כי מתן אפשרות לנינו של יהודי המצוי בקשרים משפחתיים קרובים ועמוקים ליתר בני משפחתו יגשים את תכליתו של החוק לעידוד עליית יהודים ארצה ואף לעליית בני משפחה המשתייכים לעם היהודי. ברם, המחוקק סבר כי "מן ההכרח למתוח קו במקום כלשהו" (כלשונו של יו"ר הוועדה חה"כ </w:t>
      </w:r>
      <w:r w:rsidRPr="00D95E8A">
        <w:rPr>
          <w:rFonts w:hint="eastAsia"/>
          <w:rtl/>
        </w:rPr>
        <w:t>ישראל</w:t>
      </w:r>
      <w:r w:rsidRPr="00D95E8A">
        <w:rPr>
          <w:rtl/>
        </w:rPr>
        <w:t xml:space="preserve"> </w:t>
      </w:r>
      <w:r w:rsidRPr="00D95E8A">
        <w:rPr>
          <w:rFonts w:hint="eastAsia"/>
          <w:rtl/>
        </w:rPr>
        <w:t>שלמה</w:t>
      </w:r>
      <w:r w:rsidRPr="00D95E8A">
        <w:rPr>
          <w:rtl/>
        </w:rPr>
        <w:t xml:space="preserve"> </w:t>
      </w:r>
      <w:r w:rsidRPr="00D95E8A">
        <w:rPr>
          <w:rFonts w:hint="eastAsia"/>
          <w:rtl/>
        </w:rPr>
        <w:t>בן</w:t>
      </w:r>
      <w:r>
        <w:rPr>
          <w:rFonts w:hint="cs"/>
          <w:rtl/>
        </w:rPr>
        <w:t xml:space="preserve"> </w:t>
      </w:r>
      <w:r w:rsidRPr="00D95E8A">
        <w:rPr>
          <w:rFonts w:hint="eastAsia"/>
          <w:rtl/>
        </w:rPr>
        <w:t>מאיר</w:t>
      </w:r>
      <w:r>
        <w:rPr>
          <w:rFonts w:hint="cs"/>
          <w:rtl/>
        </w:rPr>
        <w:t xml:space="preserve"> בדיון מיום 16.2.1970, עמ' 3); דברים דומים נאמרו על ידו גם בדיון בקריאה השנייה והשלישית של התיקון לחוק (</w:t>
      </w:r>
      <w:r w:rsidRPr="005D1FC9">
        <w:rPr>
          <w:rFonts w:hint="eastAsia"/>
          <w:rtl/>
        </w:rPr>
        <w:t>ד</w:t>
      </w:r>
      <w:r w:rsidRPr="005D1FC9">
        <w:rPr>
          <w:rtl/>
        </w:rPr>
        <w:t>"</w:t>
      </w:r>
      <w:r w:rsidRPr="005D1FC9">
        <w:rPr>
          <w:rFonts w:hint="eastAsia"/>
          <w:rtl/>
        </w:rPr>
        <w:t>כ</w:t>
      </w:r>
      <w:r w:rsidRPr="005D1FC9">
        <w:rPr>
          <w:rtl/>
        </w:rPr>
        <w:t xml:space="preserve"> </w:t>
      </w:r>
      <w:r w:rsidRPr="005D1FC9">
        <w:rPr>
          <w:rFonts w:hint="eastAsia"/>
          <w:rtl/>
        </w:rPr>
        <w:t>י</w:t>
      </w:r>
      <w:r w:rsidRPr="005D1FC9">
        <w:rPr>
          <w:rtl/>
        </w:rPr>
        <w:t>"</w:t>
      </w:r>
      <w:r w:rsidRPr="005D1FC9">
        <w:rPr>
          <w:rFonts w:hint="eastAsia"/>
          <w:rtl/>
        </w:rPr>
        <w:t>ז</w:t>
      </w:r>
      <w:r w:rsidRPr="005D1FC9">
        <w:rPr>
          <w:rtl/>
        </w:rPr>
        <w:t xml:space="preserve"> 1118</w:t>
      </w:r>
      <w:r>
        <w:rPr>
          <w:rFonts w:hint="cs"/>
          <w:rtl/>
        </w:rPr>
        <w:t>, 1120</w:t>
      </w:r>
      <w:r w:rsidRPr="005D1FC9">
        <w:rPr>
          <w:rtl/>
        </w:rPr>
        <w:t xml:space="preserve"> (</w:t>
      </w:r>
      <w:r w:rsidRPr="005D1FC9">
        <w:rPr>
          <w:rFonts w:hint="eastAsia"/>
          <w:rtl/>
        </w:rPr>
        <w:t>התש</w:t>
      </w:r>
      <w:r w:rsidRPr="005D1FC9">
        <w:rPr>
          <w:rtl/>
        </w:rPr>
        <w:t>"</w:t>
      </w:r>
      <w:r w:rsidRPr="005D1FC9">
        <w:rPr>
          <w:rFonts w:hint="eastAsia"/>
          <w:rtl/>
        </w:rPr>
        <w:t>ל</w:t>
      </w:r>
      <w:r w:rsidRPr="005D1FC9">
        <w:rPr>
          <w:rtl/>
        </w:rPr>
        <w:t>)</w:t>
      </w:r>
      <w:r>
        <w:rPr>
          <w:rFonts w:hint="cs"/>
          <w:rtl/>
        </w:rPr>
        <w:t xml:space="preserve"> וכן על ידי היועץ המשפטי לממשלה דאז בדיון הוועדה מיום 16.2.1970 (</w:t>
      </w:r>
      <w:r w:rsidRPr="00807F3A">
        <w:rPr>
          <w:rFonts w:hint="eastAsia"/>
          <w:rtl/>
        </w:rPr>
        <w:t>ישיבה</w:t>
      </w:r>
      <w:r w:rsidRPr="00807F3A">
        <w:rPr>
          <w:rtl/>
        </w:rPr>
        <w:t xml:space="preserve"> </w:t>
      </w:r>
      <w:r w:rsidRPr="00807F3A">
        <w:rPr>
          <w:rFonts w:hint="eastAsia"/>
          <w:rtl/>
        </w:rPr>
        <w:t>מס</w:t>
      </w:r>
      <w:r w:rsidRPr="00807F3A">
        <w:rPr>
          <w:rtl/>
        </w:rPr>
        <w:t xml:space="preserve">' </w:t>
      </w:r>
      <w:r>
        <w:rPr>
          <w:rFonts w:hint="cs"/>
          <w:rtl/>
        </w:rPr>
        <w:t>14</w:t>
      </w:r>
      <w:r w:rsidRPr="00807F3A">
        <w:rPr>
          <w:rtl/>
        </w:rPr>
        <w:t xml:space="preserve"> </w:t>
      </w:r>
      <w:r w:rsidRPr="00807F3A">
        <w:rPr>
          <w:rFonts w:hint="eastAsia"/>
          <w:rtl/>
        </w:rPr>
        <w:t>של</w:t>
      </w:r>
      <w:r w:rsidRPr="00807F3A">
        <w:rPr>
          <w:rtl/>
        </w:rPr>
        <w:t xml:space="preserve"> </w:t>
      </w:r>
      <w:r w:rsidRPr="00807F3A">
        <w:rPr>
          <w:rFonts w:hint="eastAsia"/>
          <w:rtl/>
        </w:rPr>
        <w:t>ועדת</w:t>
      </w:r>
      <w:r w:rsidRPr="00807F3A">
        <w:rPr>
          <w:rtl/>
        </w:rPr>
        <w:t xml:space="preserve"> </w:t>
      </w:r>
      <w:r w:rsidRPr="00807F3A">
        <w:rPr>
          <w:rFonts w:hint="eastAsia"/>
          <w:rtl/>
        </w:rPr>
        <w:t>החוקה</w:t>
      </w:r>
      <w:r w:rsidRPr="00807F3A">
        <w:rPr>
          <w:rtl/>
        </w:rPr>
        <w:t xml:space="preserve">, </w:t>
      </w:r>
      <w:r w:rsidRPr="00807F3A">
        <w:rPr>
          <w:rFonts w:hint="eastAsia"/>
          <w:rtl/>
        </w:rPr>
        <w:t>חוק</w:t>
      </w:r>
      <w:r w:rsidRPr="00807F3A">
        <w:rPr>
          <w:rtl/>
        </w:rPr>
        <w:t xml:space="preserve"> </w:t>
      </w:r>
      <w:r w:rsidRPr="00807F3A">
        <w:rPr>
          <w:rFonts w:hint="eastAsia"/>
          <w:rtl/>
        </w:rPr>
        <w:t>ומשפט</w:t>
      </w:r>
      <w:r w:rsidRPr="00807F3A">
        <w:rPr>
          <w:rtl/>
        </w:rPr>
        <w:t xml:space="preserve"> </w:t>
      </w:r>
      <w:r w:rsidRPr="00807F3A">
        <w:rPr>
          <w:rFonts w:hint="eastAsia"/>
          <w:rtl/>
        </w:rPr>
        <w:t>של</w:t>
      </w:r>
      <w:r w:rsidRPr="00807F3A">
        <w:rPr>
          <w:rtl/>
        </w:rPr>
        <w:t xml:space="preserve"> </w:t>
      </w:r>
      <w:r w:rsidRPr="00807F3A">
        <w:rPr>
          <w:rFonts w:hint="eastAsia"/>
          <w:rtl/>
        </w:rPr>
        <w:t>הכנסת</w:t>
      </w:r>
      <w:r w:rsidRPr="00807F3A">
        <w:rPr>
          <w:rtl/>
        </w:rPr>
        <w:t xml:space="preserve"> </w:t>
      </w:r>
      <w:r w:rsidRPr="00807F3A">
        <w:rPr>
          <w:rFonts w:hint="eastAsia"/>
          <w:rtl/>
        </w:rPr>
        <w:t>ה</w:t>
      </w:r>
      <w:r>
        <w:rPr>
          <w:rtl/>
        </w:rPr>
        <w:t>-7</w:t>
      </w:r>
      <w:r>
        <w:rPr>
          <w:rFonts w:hint="cs"/>
          <w:rtl/>
        </w:rPr>
        <w:t xml:space="preserve"> (16.2.1970), עמ' 9), כאשר קו הגבול הוצב ביחס לנכדו של יהודי ובן זוגו. כפי שציינתי בפסק הדין מושא הדיון הנוסף, קביעת קו הגבול היא מלאכתו של המחוקק ולא של בית המשפט. </w:t>
      </w:r>
    </w:p>
    <w:p w:rsidR="00BA03D0" w:rsidRDefault="00BA03D0" w:rsidP="00BA03D0">
      <w:pPr>
        <w:pStyle w:val="Ruller41"/>
        <w:rPr>
          <w:rtl/>
        </w:rPr>
      </w:pPr>
    </w:p>
    <w:p w:rsidR="00BA03D0" w:rsidRPr="004E7DDC" w:rsidRDefault="00BA03D0" w:rsidP="00BA03D0">
      <w:pPr>
        <w:pStyle w:val="Ruller4"/>
        <w:textAlignment w:val="baseline"/>
        <w:rPr>
          <w:rtl/>
        </w:rPr>
      </w:pPr>
      <w:r>
        <w:rPr>
          <w:rFonts w:hint="cs"/>
          <w:rtl/>
        </w:rPr>
        <w:t xml:space="preserve">מאותו הטעם גם אין בידי להצטרף לדבריה של חברתי השופטת </w:t>
      </w:r>
      <w:r w:rsidRPr="00FD75B8">
        <w:rPr>
          <w:rFonts w:ascii="Century" w:hAnsi="Century" w:cs="Miriam" w:hint="cs"/>
          <w:b/>
          <w:spacing w:val="0"/>
          <w:sz w:val="22"/>
          <w:szCs w:val="24"/>
          <w:rtl/>
        </w:rPr>
        <w:t>ברק-ארז</w:t>
      </w:r>
      <w:r>
        <w:rPr>
          <w:rFonts w:hint="cs"/>
          <w:rtl/>
        </w:rPr>
        <w:t xml:space="preserve"> לעניין "התפיסה החברתית והתרבותית ביחס למוסד המשפחה". אף מבלי להידרש לשאלת </w:t>
      </w:r>
      <w:r>
        <w:rPr>
          <w:rFonts w:hint="cs"/>
          <w:rtl/>
        </w:rPr>
        <w:lastRenderedPageBreak/>
        <w:t xml:space="preserve">מקורותיה של תפיסה זו, כמו גם לשאלה מכוח מה ניתן לפרש חוק על פי תפיסה מעין זו, הפרשנות שיש לתת לחוק לטעמי אינה מניחה כי עם פטירתו של אדם מתפוגג קשרו לבני משפחתו (להבדיל מבן זוגו). היא אך מניחה כי לצורכי </w:t>
      </w:r>
      <w:r w:rsidRPr="00316D61">
        <w:rPr>
          <w:rFonts w:ascii="Century" w:hAnsi="Century" w:cs="Miriam" w:hint="cs"/>
          <w:b/>
          <w:spacing w:val="0"/>
          <w:sz w:val="22"/>
          <w:szCs w:val="24"/>
          <w:rtl/>
        </w:rPr>
        <w:t>חוק השבות</w:t>
      </w:r>
      <w:r>
        <w:rPr>
          <w:rFonts w:hint="cs"/>
          <w:rtl/>
        </w:rPr>
        <w:t xml:space="preserve"> אין לראות באלמנה כ"בת זוג" שכן זכותה יונקת כוחה מזכותו של בן הזוג שהלך לעולמו. הא ותו לא. למותר לציין, כפי שגם הדג</w:t>
      </w:r>
      <w:r w:rsidRPr="004E7DDC">
        <w:rPr>
          <w:rFonts w:hint="cs"/>
          <w:rtl/>
        </w:rPr>
        <w:t xml:space="preserve">שתי בפסק הדין מושא הדיון הנוסף, כי חוק השבות אינו המקור הבלעדי שמכוחו ניתן </w:t>
      </w:r>
      <w:r w:rsidRPr="00F51659">
        <w:rPr>
          <w:rFonts w:hint="cs"/>
          <w:rtl/>
        </w:rPr>
        <w:t>לאפשר מתן זכויות לאלמנת זכאי</w:t>
      </w:r>
      <w:r w:rsidRPr="004E7DDC">
        <w:rPr>
          <w:rFonts w:hint="cs"/>
          <w:rtl/>
        </w:rPr>
        <w:t xml:space="preserve"> שבות. </w:t>
      </w:r>
      <w:r>
        <w:rPr>
          <w:rFonts w:hint="cs"/>
          <w:rtl/>
        </w:rPr>
        <w:t>כפי שציינתי בפסק הדין מושא הדיון הנוסף, "</w:t>
      </w:r>
      <w:r w:rsidRPr="00A3431F">
        <w:rPr>
          <w:rFonts w:hint="eastAsia"/>
          <w:rtl/>
        </w:rPr>
        <w:t>אלמנות</w:t>
      </w:r>
      <w:r w:rsidRPr="00A3431F">
        <w:rPr>
          <w:rtl/>
        </w:rPr>
        <w:t xml:space="preserve"> </w:t>
      </w:r>
      <w:r w:rsidRPr="00A3431F">
        <w:rPr>
          <w:rFonts w:hint="eastAsia"/>
          <w:rtl/>
        </w:rPr>
        <w:t>של</w:t>
      </w:r>
      <w:r w:rsidRPr="00A3431F">
        <w:rPr>
          <w:rtl/>
        </w:rPr>
        <w:t xml:space="preserve"> </w:t>
      </w:r>
      <w:r w:rsidRPr="00A3431F">
        <w:rPr>
          <w:rFonts w:hint="eastAsia"/>
          <w:rtl/>
        </w:rPr>
        <w:t>זכאי</w:t>
      </w:r>
      <w:r w:rsidRPr="00A3431F">
        <w:rPr>
          <w:rtl/>
        </w:rPr>
        <w:t xml:space="preserve"> </w:t>
      </w:r>
      <w:r w:rsidRPr="00A3431F">
        <w:rPr>
          <w:rFonts w:hint="eastAsia"/>
          <w:rtl/>
        </w:rPr>
        <w:t>שבות</w:t>
      </w:r>
      <w:r w:rsidRPr="00A3431F">
        <w:rPr>
          <w:rtl/>
        </w:rPr>
        <w:t xml:space="preserve"> </w:t>
      </w:r>
      <w:r w:rsidRPr="00A3431F">
        <w:rPr>
          <w:rFonts w:hint="eastAsia"/>
          <w:rtl/>
        </w:rPr>
        <w:t>המעוניינות</w:t>
      </w:r>
      <w:r w:rsidRPr="00A3431F">
        <w:rPr>
          <w:rtl/>
        </w:rPr>
        <w:t xml:space="preserve"> </w:t>
      </w:r>
      <w:r w:rsidRPr="00A3431F">
        <w:rPr>
          <w:rFonts w:hint="eastAsia"/>
          <w:rtl/>
        </w:rPr>
        <w:t>לקשור</w:t>
      </w:r>
      <w:r w:rsidRPr="00A3431F">
        <w:rPr>
          <w:rtl/>
        </w:rPr>
        <w:t xml:space="preserve"> </w:t>
      </w:r>
      <w:r w:rsidRPr="00A3431F">
        <w:rPr>
          <w:rFonts w:hint="eastAsia"/>
          <w:rtl/>
        </w:rPr>
        <w:t>את</w:t>
      </w:r>
      <w:r w:rsidRPr="00A3431F">
        <w:rPr>
          <w:rtl/>
        </w:rPr>
        <w:t xml:space="preserve"> </w:t>
      </w:r>
      <w:r w:rsidRPr="00A3431F">
        <w:rPr>
          <w:rFonts w:hint="eastAsia"/>
          <w:rtl/>
        </w:rPr>
        <w:t>גורלן</w:t>
      </w:r>
      <w:r w:rsidRPr="00A3431F">
        <w:rPr>
          <w:rtl/>
        </w:rPr>
        <w:t xml:space="preserve"> </w:t>
      </w:r>
      <w:r w:rsidRPr="00A3431F">
        <w:rPr>
          <w:rFonts w:hint="eastAsia"/>
          <w:rtl/>
        </w:rPr>
        <w:t>לגורל</w:t>
      </w:r>
      <w:r w:rsidRPr="00A3431F">
        <w:rPr>
          <w:rtl/>
        </w:rPr>
        <w:t xml:space="preserve"> </w:t>
      </w:r>
      <w:r w:rsidRPr="00A3431F">
        <w:rPr>
          <w:rFonts w:hint="eastAsia"/>
          <w:rtl/>
        </w:rPr>
        <w:t>עם</w:t>
      </w:r>
      <w:r w:rsidRPr="00A3431F">
        <w:rPr>
          <w:rtl/>
        </w:rPr>
        <w:t xml:space="preserve"> </w:t>
      </w:r>
      <w:r w:rsidRPr="00A3431F">
        <w:rPr>
          <w:rFonts w:hint="eastAsia"/>
          <w:rtl/>
        </w:rPr>
        <w:t>ישראל</w:t>
      </w:r>
      <w:r w:rsidRPr="00A3431F">
        <w:rPr>
          <w:rtl/>
        </w:rPr>
        <w:t xml:space="preserve"> </w:t>
      </w:r>
      <w:r w:rsidRPr="00A3431F">
        <w:rPr>
          <w:rFonts w:hint="eastAsia"/>
          <w:rtl/>
        </w:rPr>
        <w:t>בארצו</w:t>
      </w:r>
      <w:r w:rsidRPr="00A3431F">
        <w:rPr>
          <w:rtl/>
        </w:rPr>
        <w:t xml:space="preserve">, </w:t>
      </w:r>
      <w:r w:rsidRPr="00A3431F">
        <w:rPr>
          <w:rFonts w:hint="eastAsia"/>
          <w:rtl/>
        </w:rPr>
        <w:t>אינן</w:t>
      </w:r>
      <w:r w:rsidRPr="00A3431F">
        <w:rPr>
          <w:rtl/>
        </w:rPr>
        <w:t xml:space="preserve"> </w:t>
      </w:r>
      <w:r w:rsidRPr="00A3431F">
        <w:rPr>
          <w:rFonts w:hint="eastAsia"/>
          <w:rtl/>
        </w:rPr>
        <w:t>נזנחות</w:t>
      </w:r>
      <w:r w:rsidRPr="00A3431F">
        <w:rPr>
          <w:rtl/>
        </w:rPr>
        <w:t xml:space="preserve">. </w:t>
      </w:r>
      <w:r w:rsidRPr="00A3431F">
        <w:rPr>
          <w:rFonts w:hint="eastAsia"/>
          <w:rtl/>
        </w:rPr>
        <w:t>לכל</w:t>
      </w:r>
      <w:r w:rsidRPr="00A3431F">
        <w:rPr>
          <w:rtl/>
        </w:rPr>
        <w:t xml:space="preserve"> </w:t>
      </w:r>
      <w:r w:rsidRPr="00A3431F">
        <w:rPr>
          <w:rFonts w:hint="eastAsia"/>
          <w:rtl/>
        </w:rPr>
        <w:t>אחת</w:t>
      </w:r>
      <w:r w:rsidRPr="00A3431F">
        <w:rPr>
          <w:rtl/>
        </w:rPr>
        <w:t xml:space="preserve"> </w:t>
      </w:r>
      <w:r w:rsidRPr="00A3431F">
        <w:rPr>
          <w:rFonts w:hint="eastAsia"/>
          <w:rtl/>
        </w:rPr>
        <w:t>יימצא</w:t>
      </w:r>
      <w:r w:rsidRPr="00A3431F">
        <w:rPr>
          <w:rtl/>
        </w:rPr>
        <w:t xml:space="preserve"> </w:t>
      </w:r>
      <w:r w:rsidRPr="00A3431F">
        <w:rPr>
          <w:rFonts w:hint="eastAsia"/>
          <w:rtl/>
        </w:rPr>
        <w:t>פתרון</w:t>
      </w:r>
      <w:r w:rsidRPr="00A3431F">
        <w:rPr>
          <w:rtl/>
        </w:rPr>
        <w:t xml:space="preserve"> </w:t>
      </w:r>
      <w:r w:rsidRPr="00A3431F">
        <w:rPr>
          <w:rFonts w:hint="eastAsia"/>
          <w:rtl/>
        </w:rPr>
        <w:t>הראוי</w:t>
      </w:r>
      <w:r w:rsidRPr="00A3431F">
        <w:rPr>
          <w:rtl/>
        </w:rPr>
        <w:t xml:space="preserve"> </w:t>
      </w:r>
      <w:r w:rsidRPr="00A3431F">
        <w:rPr>
          <w:rFonts w:hint="eastAsia"/>
          <w:rtl/>
        </w:rPr>
        <w:t>לה</w:t>
      </w:r>
      <w:r w:rsidRPr="00A3431F">
        <w:rPr>
          <w:rtl/>
        </w:rPr>
        <w:t xml:space="preserve">. </w:t>
      </w:r>
      <w:r w:rsidRPr="00A3431F">
        <w:rPr>
          <w:rFonts w:hint="eastAsia"/>
          <w:rtl/>
        </w:rPr>
        <w:t>אך</w:t>
      </w:r>
      <w:r w:rsidRPr="00A3431F">
        <w:rPr>
          <w:rtl/>
        </w:rPr>
        <w:t xml:space="preserve"> </w:t>
      </w:r>
      <w:r w:rsidRPr="00A3431F">
        <w:rPr>
          <w:rFonts w:hint="eastAsia"/>
          <w:rtl/>
        </w:rPr>
        <w:t>אין</w:t>
      </w:r>
      <w:r w:rsidRPr="00A3431F">
        <w:rPr>
          <w:rtl/>
        </w:rPr>
        <w:t xml:space="preserve"> </w:t>
      </w:r>
      <w:r w:rsidRPr="00A3431F">
        <w:rPr>
          <w:rFonts w:hint="eastAsia"/>
          <w:rtl/>
        </w:rPr>
        <w:t>במצוקה</w:t>
      </w:r>
      <w:r w:rsidRPr="00A3431F">
        <w:rPr>
          <w:rtl/>
        </w:rPr>
        <w:t xml:space="preserve"> </w:t>
      </w:r>
      <w:r w:rsidRPr="00A3431F">
        <w:rPr>
          <w:rFonts w:hint="eastAsia"/>
          <w:rtl/>
        </w:rPr>
        <w:t>זו</w:t>
      </w:r>
      <w:r w:rsidRPr="00A3431F">
        <w:rPr>
          <w:rtl/>
        </w:rPr>
        <w:t xml:space="preserve"> </w:t>
      </w:r>
      <w:r w:rsidRPr="00A3431F">
        <w:rPr>
          <w:rFonts w:hint="eastAsia"/>
          <w:rtl/>
        </w:rPr>
        <w:t>כדי</w:t>
      </w:r>
      <w:r w:rsidRPr="00A3431F">
        <w:rPr>
          <w:rtl/>
        </w:rPr>
        <w:t xml:space="preserve"> </w:t>
      </w:r>
      <w:r w:rsidRPr="00A3431F">
        <w:rPr>
          <w:rFonts w:hint="eastAsia"/>
          <w:rtl/>
        </w:rPr>
        <w:t>לשנות</w:t>
      </w:r>
      <w:r w:rsidRPr="00A3431F">
        <w:rPr>
          <w:rtl/>
        </w:rPr>
        <w:t xml:space="preserve"> </w:t>
      </w:r>
      <w:r w:rsidRPr="00A3431F">
        <w:rPr>
          <w:rFonts w:hint="eastAsia"/>
          <w:rtl/>
        </w:rPr>
        <w:t>את</w:t>
      </w:r>
      <w:r w:rsidRPr="00A3431F">
        <w:rPr>
          <w:rtl/>
        </w:rPr>
        <w:t xml:space="preserve"> </w:t>
      </w:r>
      <w:r w:rsidRPr="00A3431F">
        <w:rPr>
          <w:rFonts w:hint="eastAsia"/>
          <w:rtl/>
        </w:rPr>
        <w:t>פרשנות</w:t>
      </w:r>
      <w:r w:rsidRPr="00A3431F">
        <w:rPr>
          <w:rtl/>
        </w:rPr>
        <w:t xml:space="preserve"> </w:t>
      </w:r>
      <w:r w:rsidRPr="00A3431F">
        <w:rPr>
          <w:rFonts w:hint="eastAsia"/>
          <w:rtl/>
        </w:rPr>
        <w:t>החוק</w:t>
      </w:r>
      <w:r>
        <w:rPr>
          <w:rFonts w:hint="cs"/>
          <w:rtl/>
        </w:rPr>
        <w:t>" (שם, פסקה 20 לחוות דעתי)</w:t>
      </w:r>
      <w:r w:rsidRPr="00A3431F">
        <w:rPr>
          <w:rtl/>
        </w:rPr>
        <w:t xml:space="preserve">. </w:t>
      </w:r>
    </w:p>
    <w:p w:rsidR="00BA03D0" w:rsidRPr="004E7DDC" w:rsidRDefault="00BA03D0" w:rsidP="00BA03D0">
      <w:pPr>
        <w:pStyle w:val="Ruller41"/>
      </w:pPr>
    </w:p>
    <w:p w:rsidR="00BA03D0" w:rsidRDefault="00BA03D0" w:rsidP="00BA03D0">
      <w:pPr>
        <w:pStyle w:val="Ruller4"/>
        <w:textAlignment w:val="baseline"/>
        <w:rPr>
          <w:rFonts w:ascii="Arial TUR" w:hAnsi="Arial TUR"/>
          <w:sz w:val="22"/>
          <w:rtl/>
        </w:rPr>
      </w:pPr>
      <w:r w:rsidRPr="004E7DDC">
        <w:rPr>
          <w:rFonts w:hint="cs"/>
          <w:rtl/>
        </w:rPr>
        <w:t xml:space="preserve">חברתי השופטת </w:t>
      </w:r>
      <w:r w:rsidRPr="004E7DDC">
        <w:rPr>
          <w:rFonts w:ascii="Century" w:hAnsi="Century" w:cs="Miriam" w:hint="cs"/>
          <w:b/>
          <w:spacing w:val="0"/>
          <w:sz w:val="22"/>
          <w:szCs w:val="24"/>
          <w:rtl/>
        </w:rPr>
        <w:t>ברק-ארז</w:t>
      </w:r>
      <w:r w:rsidRPr="004E7DDC">
        <w:rPr>
          <w:rFonts w:ascii="Century" w:hAnsi="Century" w:hint="cs"/>
          <w:sz w:val="22"/>
          <w:rtl/>
        </w:rPr>
        <w:t xml:space="preserve"> ציינה בחוות דעתה כי עמדתה משתקפת בסיפורה של רות המואביה. </w:t>
      </w:r>
      <w:r w:rsidRPr="004E7DDC">
        <w:rPr>
          <w:rFonts w:hint="cs"/>
          <w:rtl/>
        </w:rPr>
        <w:t xml:space="preserve">בחוות דעתי בפסק הדין מושא הדיון הנוסף התייחסתי לעניין זה בהרחבה, אולם נוכח דבריה של חברתי </w:t>
      </w:r>
      <w:r>
        <w:rPr>
          <w:rFonts w:hint="cs"/>
          <w:rtl/>
        </w:rPr>
        <w:t>א</w:t>
      </w:r>
      <w:r w:rsidRPr="004E7DDC">
        <w:rPr>
          <w:rFonts w:hint="cs"/>
          <w:rtl/>
        </w:rPr>
        <w:t xml:space="preserve">חזור על הדברים. </w:t>
      </w:r>
    </w:p>
    <w:p w:rsidR="00BA03D0" w:rsidRPr="00664E67" w:rsidRDefault="00BA03D0" w:rsidP="00BA03D0">
      <w:pPr>
        <w:pStyle w:val="Ruller41"/>
      </w:pPr>
    </w:p>
    <w:p w:rsidR="00BA03D0" w:rsidRPr="004E7DDC" w:rsidRDefault="00BA03D0" w:rsidP="00BA03D0">
      <w:pPr>
        <w:pStyle w:val="Ruller4"/>
        <w:textAlignment w:val="baseline"/>
        <w:rPr>
          <w:rFonts w:ascii="Arial TUR" w:hAnsi="Arial TUR"/>
          <w:sz w:val="22"/>
          <w:rtl/>
        </w:rPr>
      </w:pPr>
      <w:r w:rsidRPr="004E7DDC">
        <w:rPr>
          <w:rtl/>
        </w:rPr>
        <w:t xml:space="preserve">דבקותה של רות ביהדות </w:t>
      </w:r>
      <w:r>
        <w:rPr>
          <w:rFonts w:hint="cs"/>
          <w:rtl/>
        </w:rPr>
        <w:t xml:space="preserve">אכן </w:t>
      </w:r>
      <w:r w:rsidRPr="004E7DDC">
        <w:rPr>
          <w:rtl/>
        </w:rPr>
        <w:t xml:space="preserve">מהווה זרקור מאיר עיניים ומורה דרך לכל מי שמעוניין לקשור את גורלו לעם ישראל ולאלוהיו. </w:t>
      </w:r>
      <w:r>
        <w:rPr>
          <w:rFonts w:ascii="FrankRuehl" w:hAnsi="FrankRuehl" w:hint="cs"/>
          <w:color w:val="000000"/>
          <w:sz w:val="28"/>
          <w:rtl/>
        </w:rPr>
        <w:t xml:space="preserve">עם זאת, בל נשכח כי </w:t>
      </w:r>
      <w:r w:rsidRPr="004E7DDC">
        <w:rPr>
          <w:rFonts w:ascii="FrankRuehl" w:hAnsi="FrankRuehl"/>
          <w:color w:val="000000"/>
          <w:sz w:val="28"/>
          <w:rtl/>
        </w:rPr>
        <w:t>רות </w:t>
      </w:r>
      <w:r w:rsidRPr="004E7DDC">
        <w:rPr>
          <w:rFonts w:ascii="Century" w:hAnsi="Century" w:cs="Miriam"/>
          <w:b/>
          <w:spacing w:val="0"/>
          <w:sz w:val="22"/>
          <w:szCs w:val="24"/>
          <w:rtl/>
        </w:rPr>
        <w:t>התגיירה</w:t>
      </w:r>
      <w:r w:rsidRPr="004E7DDC">
        <w:rPr>
          <w:rFonts w:ascii="FrankRuehl" w:hAnsi="FrankRuehl"/>
          <w:color w:val="000000"/>
          <w:sz w:val="28"/>
          <w:rtl/>
        </w:rPr>
        <w:t> ו</w:t>
      </w:r>
      <w:r>
        <w:rPr>
          <w:rFonts w:ascii="FrankRuehl" w:hAnsi="FrankRuehl" w:hint="cs"/>
          <w:color w:val="000000"/>
          <w:sz w:val="28"/>
          <w:rtl/>
        </w:rPr>
        <w:t xml:space="preserve">אף נראה </w:t>
      </w:r>
      <w:r w:rsidRPr="004E7DDC">
        <w:rPr>
          <w:rFonts w:ascii="FrankRuehl" w:hAnsi="FrankRuehl"/>
          <w:color w:val="000000"/>
          <w:sz w:val="28"/>
          <w:rtl/>
        </w:rPr>
        <w:t xml:space="preserve">כי לפי חז"ל </w:t>
      </w:r>
      <w:r>
        <w:rPr>
          <w:rFonts w:ascii="FrankRuehl" w:hAnsi="FrankRuehl" w:hint="cs"/>
          <w:color w:val="000000"/>
          <w:sz w:val="28"/>
          <w:rtl/>
        </w:rPr>
        <w:t xml:space="preserve">היא </w:t>
      </w:r>
      <w:r w:rsidRPr="004E7DDC">
        <w:rPr>
          <w:rFonts w:ascii="FrankRuehl" w:hAnsi="FrankRuehl"/>
          <w:color w:val="000000"/>
          <w:sz w:val="28"/>
          <w:rtl/>
        </w:rPr>
        <w:t>עברה תהליך שבו כוונותיה וזיקתה ליהדות נבחנו בקפידה</w:t>
      </w:r>
      <w:r>
        <w:rPr>
          <w:rFonts w:ascii="FrankRuehl" w:hAnsi="FrankRuehl" w:hint="cs"/>
          <w:color w:val="000000"/>
          <w:sz w:val="28"/>
          <w:rtl/>
        </w:rPr>
        <w:t xml:space="preserve"> על ידי חמותה. וכך מספרת הגמרא:</w:t>
      </w:r>
      <w:r w:rsidRPr="004E7DDC">
        <w:rPr>
          <w:rFonts w:ascii="FrankRuehl" w:hAnsi="FrankRuehl"/>
          <w:color w:val="000000"/>
          <w:sz w:val="28"/>
          <w:rtl/>
        </w:rPr>
        <w:t xml:space="preserve"> </w:t>
      </w:r>
    </w:p>
    <w:p w:rsidR="00BA03D0" w:rsidRDefault="00BA03D0" w:rsidP="00BA03D0">
      <w:pPr>
        <w:pStyle w:val="Ruller41"/>
        <w:rPr>
          <w:rFonts w:cs="Arial TUR"/>
          <w:szCs w:val="22"/>
          <w:rtl/>
        </w:rPr>
      </w:pPr>
    </w:p>
    <w:p w:rsidR="00BA03D0" w:rsidRDefault="00BA03D0" w:rsidP="00BA03D0">
      <w:pPr>
        <w:pStyle w:val="Ruller5"/>
        <w:rPr>
          <w:rFonts w:cs="Arial TUR"/>
          <w:szCs w:val="22"/>
          <w:rtl/>
        </w:rPr>
      </w:pPr>
      <w:r>
        <w:rPr>
          <w:rtl/>
        </w:rPr>
        <w:t>"ואין מרבים עליו ואין מדקדקים עליו (אין מרבים על הגר דברי איום ואין מדקדקים עמו יותר מדי). אמר רבי אלעזר מאי קראה (מהו הפסוק המלמד על כך)? דכתיב (שכתוב) 'ותרא כי מתאמצת היא ללכת אתה ותחדל לדבר אליה' (</w:t>
      </w:r>
      <w:r w:rsidRPr="00E377EA">
        <w:rPr>
          <w:rFonts w:ascii="Century" w:hAnsi="Century" w:cs="Miriam"/>
          <w:b/>
          <w:spacing w:val="0"/>
          <w:szCs w:val="24"/>
          <w:rtl/>
        </w:rPr>
        <w:t>רות</w:t>
      </w:r>
      <w:r>
        <w:rPr>
          <w:rtl/>
        </w:rPr>
        <w:t> א, יח). אמרה לה (נעמי לרות) אסיר לן תחום שבת (אסור לנו לצאת מחוץ לתחום שבת). (השיבה לה רות לנעמי) 'באשר תלכי אלך'. אסיר לן יחוד (אמרה נעמי לרות – אסור לנו להתייחד עם איש שאסור עלינו). (השיבה רות לנעמי) 'באשר תליני אלין'. (אמרה לה נעמי לרות) מפקדינן שש מאות וי"ג מצות (אנו מצווים לשמור שש מאות ושלוש עשרה מצוות). (השיבה לה רות לנעמי) 'עמך עמי'. (אמרה נעמי לרות) אסיר לן עבודת כוכבים (אסור לנו לעבודת עבודה זרה). (רות השיבה לנעמי) 'ואלקיך אלקי'. (אמרה לה נעמי לרות) ארבע מיתות נמסרו לב"ד (ישנם ארבע מיתות המסורות לבית דין להעניש את החוטאים). (רות השיבה לנעמי) 'באשר תמותי אמות'. (אמרה לה נעמי לרות) ב'קברים נמסרו לב"ד (קוברים את אלו שנידונו למיתה בשני קברים). (השיבה לה רות) 'ושם אקבר'. מיד (נעמי הבחינה כי רות אינה נרתעת מדבריה) 'ותרא כי מתאמצת היא ללכת אתה ותחדל לדבר אליה'"</w:t>
      </w:r>
      <w:r>
        <w:rPr>
          <w:rFonts w:hint="cs"/>
          <w:rtl/>
        </w:rPr>
        <w:t xml:space="preserve"> </w:t>
      </w:r>
      <w:r w:rsidRPr="004E7DDC">
        <w:rPr>
          <w:rFonts w:ascii="FrankRuehl" w:hAnsi="FrankRuehl"/>
          <w:color w:val="000000"/>
          <w:sz w:val="28"/>
          <w:rtl/>
        </w:rPr>
        <w:t>(</w:t>
      </w:r>
      <w:r w:rsidRPr="004E7DDC">
        <w:rPr>
          <w:rFonts w:ascii="Century" w:hAnsi="Century" w:cs="Miriam"/>
          <w:b/>
          <w:spacing w:val="0"/>
          <w:szCs w:val="24"/>
          <w:rtl/>
        </w:rPr>
        <w:t>בבלי</w:t>
      </w:r>
      <w:r w:rsidRPr="004E7DDC">
        <w:rPr>
          <w:rFonts w:ascii="Century" w:hAnsi="Century"/>
          <w:rtl/>
        </w:rPr>
        <w:t xml:space="preserve">, </w:t>
      </w:r>
      <w:r w:rsidRPr="004E7DDC">
        <w:rPr>
          <w:rFonts w:ascii="Century" w:hAnsi="Century" w:cs="Miriam"/>
          <w:b/>
          <w:spacing w:val="0"/>
          <w:szCs w:val="24"/>
          <w:rtl/>
        </w:rPr>
        <w:t>יבמות</w:t>
      </w:r>
      <w:r w:rsidRPr="004E7DDC">
        <w:rPr>
          <w:rFonts w:ascii="FrankRuehl" w:hAnsi="FrankRuehl"/>
          <w:color w:val="000000"/>
          <w:sz w:val="28"/>
          <w:rtl/>
        </w:rPr>
        <w:t>, מז ע"ב)</w:t>
      </w:r>
      <w:r>
        <w:rPr>
          <w:rFonts w:cs="Arial TUR" w:hint="cs"/>
          <w:szCs w:val="22"/>
          <w:rtl/>
        </w:rPr>
        <w:t>.</w:t>
      </w:r>
    </w:p>
    <w:p w:rsidR="00BA03D0" w:rsidRDefault="00BA03D0" w:rsidP="00BA03D0">
      <w:pPr>
        <w:pStyle w:val="Ruller41"/>
        <w:rPr>
          <w:rFonts w:cs="Arial TUR"/>
          <w:szCs w:val="22"/>
          <w:rtl/>
        </w:rPr>
      </w:pPr>
      <w:r>
        <w:rPr>
          <w:rtl/>
        </w:rPr>
        <w:lastRenderedPageBreak/>
        <w:t> </w:t>
      </w:r>
    </w:p>
    <w:p w:rsidR="00BA03D0" w:rsidRDefault="00BA03D0" w:rsidP="00BA03D0">
      <w:pPr>
        <w:pStyle w:val="Ruller41"/>
        <w:rPr>
          <w:rFonts w:cs="Arial TUR"/>
          <w:szCs w:val="22"/>
          <w:rtl/>
        </w:rPr>
      </w:pPr>
      <w:r>
        <w:rPr>
          <w:rtl/>
        </w:rPr>
        <w:tab/>
      </w:r>
      <w:r>
        <w:rPr>
          <w:rFonts w:hint="cs"/>
          <w:rtl/>
        </w:rPr>
        <w:t xml:space="preserve">וכך מתועד </w:t>
      </w:r>
      <w:r>
        <w:rPr>
          <w:rtl/>
        </w:rPr>
        <w:t>במדרש:</w:t>
      </w:r>
    </w:p>
    <w:p w:rsidR="00BA03D0" w:rsidRPr="004667F3" w:rsidRDefault="00BA03D0" w:rsidP="004667F3">
      <w:pPr>
        <w:pStyle w:val="Ruller41"/>
        <w:spacing w:line="240" w:lineRule="auto"/>
        <w:rPr>
          <w:rFonts w:cs="Arial TUR"/>
          <w:sz w:val="8"/>
          <w:szCs w:val="8"/>
          <w:rtl/>
        </w:rPr>
      </w:pPr>
      <w:r>
        <w:rPr>
          <w:rtl/>
        </w:rPr>
        <w:t> </w:t>
      </w:r>
    </w:p>
    <w:p w:rsidR="00BA03D0" w:rsidRDefault="00BA03D0" w:rsidP="00BA03D0">
      <w:pPr>
        <w:pStyle w:val="Ruller5"/>
        <w:rPr>
          <w:rFonts w:cs="Arial TUR"/>
          <w:szCs w:val="22"/>
          <w:rtl/>
        </w:rPr>
      </w:pPr>
      <w:r>
        <w:rPr>
          <w:rtl/>
        </w:rPr>
        <w:t>"'ותאמר רות אל תפגעי בי לעזבך לשוב מאחריך' (רות א, טז). מהו אל תפגעי בי. אמרה לה לא תחטא עלי לא תסבין פגעיך מני לעזבך לשוב מאחריך (תחדלי מלנסות לשכנעני שלא להתגייר, שכן תיפגעי). מכל מקום דעתי להתגייר אלא מוטב על ידך ולא על ידי אחרת. כיון ששמעה נעמי כך התחילה סודרת לה הלכות גרים. אמרה לה בתי אין דרכן של בנות ישראל לילך לבתי תיאטראות ולבתי קרקסיאות שלהם. אמרה לה 'אל אשר תלכי אלך'. אמרה לה בתי אין דרכן של ישראל לדור בבית שאין שם מזוזה. אמרה לה 'באשר תליני אלין' 'עמך עמי' אלו עונשין ואזהרות 'ואלקיך אלקי' שאר מצות"</w:t>
      </w:r>
      <w:r>
        <w:rPr>
          <w:rFonts w:hint="cs"/>
          <w:rtl/>
        </w:rPr>
        <w:t xml:space="preserve"> </w:t>
      </w:r>
      <w:r>
        <w:rPr>
          <w:rtl/>
        </w:rPr>
        <w:t>(</w:t>
      </w:r>
      <w:r w:rsidRPr="00832B04">
        <w:rPr>
          <w:rFonts w:ascii="Century" w:hAnsi="Century" w:cs="Miriam"/>
          <w:b/>
          <w:spacing w:val="0"/>
          <w:szCs w:val="24"/>
          <w:rtl/>
        </w:rPr>
        <w:t>רות רבה</w:t>
      </w:r>
      <w:r w:rsidRPr="00832B04">
        <w:rPr>
          <w:rtl/>
        </w:rPr>
        <w:t> </w:t>
      </w:r>
      <w:r>
        <w:rPr>
          <w:rtl/>
        </w:rPr>
        <w:t>ב, כב)</w:t>
      </w:r>
      <w:r>
        <w:rPr>
          <w:rFonts w:hint="cs"/>
          <w:rtl/>
        </w:rPr>
        <w:t>.</w:t>
      </w:r>
    </w:p>
    <w:p w:rsidR="00BA03D0" w:rsidRDefault="00BA03D0" w:rsidP="00BA03D0">
      <w:pPr>
        <w:pStyle w:val="Ruller41"/>
        <w:rPr>
          <w:rFonts w:cs="Arial TUR"/>
          <w:szCs w:val="22"/>
          <w:rtl/>
        </w:rPr>
      </w:pPr>
    </w:p>
    <w:p w:rsidR="00BA03D0" w:rsidRDefault="00BA03D0" w:rsidP="00BA03D0">
      <w:pPr>
        <w:pStyle w:val="Ruller41"/>
        <w:rPr>
          <w:rFonts w:cs="Arial TUR"/>
          <w:szCs w:val="22"/>
          <w:rtl/>
        </w:rPr>
      </w:pPr>
      <w:r>
        <w:rPr>
          <w:rtl/>
        </w:rPr>
        <w:tab/>
      </w:r>
      <w:r>
        <w:rPr>
          <w:rFonts w:ascii="Century" w:hAnsi="Century" w:cs="Miriam" w:hint="cs"/>
          <w:b/>
          <w:spacing w:val="0"/>
          <w:szCs w:val="24"/>
          <w:rtl/>
        </w:rPr>
        <w:t>גיור לחוד ושבות לחוד</w:t>
      </w:r>
      <w:r>
        <w:rPr>
          <w:rtl/>
        </w:rPr>
        <w:t xml:space="preserve">. </w:t>
      </w:r>
      <w:r>
        <w:rPr>
          <w:rFonts w:hint="cs"/>
          <w:rtl/>
        </w:rPr>
        <w:t>בעוד ש</w:t>
      </w:r>
      <w:r>
        <w:rPr>
          <w:rtl/>
        </w:rPr>
        <w:t>גיור תלוי ברצון</w:t>
      </w:r>
      <w:r>
        <w:rPr>
          <w:rFonts w:hint="cs"/>
          <w:rtl/>
        </w:rPr>
        <w:t xml:space="preserve"> ובקבלת מחויבות,</w:t>
      </w:r>
      <w:r>
        <w:rPr>
          <w:rtl/>
        </w:rPr>
        <w:t xml:space="preserve"> שבות תלויה בזיקה. התניית השבות בחוזקו של הרצון, סוטה מהתכלית</w:t>
      </w:r>
      <w:r>
        <w:rPr>
          <w:rFonts w:hint="cs"/>
          <w:rtl/>
        </w:rPr>
        <w:t xml:space="preserve"> ואף חורגת מגבולותינו כמפרשי החוק ולא כיוצריו</w:t>
      </w:r>
      <w:r>
        <w:rPr>
          <w:rtl/>
        </w:rPr>
        <w:t>.</w:t>
      </w:r>
    </w:p>
    <w:p w:rsidR="00BA03D0" w:rsidRDefault="00BA03D0" w:rsidP="00BA03D0">
      <w:pPr>
        <w:pStyle w:val="Ruller41"/>
        <w:rPr>
          <w:rFonts w:cs="Arial TUR"/>
          <w:szCs w:val="22"/>
          <w:rtl/>
        </w:rPr>
      </w:pPr>
    </w:p>
    <w:p w:rsidR="00BA03D0" w:rsidRPr="00DF2E8D" w:rsidRDefault="00BA03D0" w:rsidP="00BA03D0">
      <w:pPr>
        <w:pStyle w:val="Ruller4"/>
        <w:numPr>
          <w:ilvl w:val="0"/>
          <w:numId w:val="0"/>
        </w:numPr>
      </w:pPr>
      <w:r>
        <w:rPr>
          <w:rtl/>
        </w:rPr>
        <w:tab/>
      </w:r>
      <w:r w:rsidRPr="00920764">
        <w:rPr>
          <w:rFonts w:ascii="Century" w:hAnsi="Century" w:cs="Miriam" w:hint="eastAsia"/>
          <w:b/>
          <w:spacing w:val="0"/>
          <w:sz w:val="22"/>
          <w:szCs w:val="24"/>
          <w:rtl/>
        </w:rPr>
        <w:t>לסיכום</w:t>
      </w:r>
      <w:r w:rsidRPr="00920764">
        <w:rPr>
          <w:rtl/>
        </w:rPr>
        <w:t xml:space="preserve">: </w:t>
      </w:r>
      <w:r w:rsidRPr="00920764">
        <w:rPr>
          <w:rFonts w:hint="eastAsia"/>
          <w:rtl/>
        </w:rPr>
        <w:t>אם</w:t>
      </w:r>
      <w:r w:rsidRPr="00920764">
        <w:rPr>
          <w:rtl/>
        </w:rPr>
        <w:t xml:space="preserve"> </w:t>
      </w:r>
      <w:r w:rsidRPr="00920764">
        <w:rPr>
          <w:rFonts w:hint="eastAsia"/>
          <w:rtl/>
        </w:rPr>
        <w:t>דעתי</w:t>
      </w:r>
      <w:r w:rsidRPr="00920764">
        <w:rPr>
          <w:rtl/>
        </w:rPr>
        <w:t xml:space="preserve"> </w:t>
      </w:r>
      <w:r w:rsidRPr="00920764">
        <w:rPr>
          <w:rFonts w:hint="eastAsia"/>
          <w:rtl/>
        </w:rPr>
        <w:t>הייתה</w:t>
      </w:r>
      <w:r w:rsidRPr="00920764">
        <w:rPr>
          <w:rtl/>
        </w:rPr>
        <w:t xml:space="preserve"> </w:t>
      </w:r>
      <w:r w:rsidRPr="00920764">
        <w:rPr>
          <w:rFonts w:hint="eastAsia"/>
          <w:rtl/>
        </w:rPr>
        <w:t>נשמעת</w:t>
      </w:r>
      <w:r w:rsidRPr="00920764">
        <w:rPr>
          <w:rtl/>
        </w:rPr>
        <w:t xml:space="preserve">, </w:t>
      </w:r>
      <w:r w:rsidRPr="00920764">
        <w:rPr>
          <w:rFonts w:hint="eastAsia"/>
          <w:rtl/>
        </w:rPr>
        <w:t>היינו</w:t>
      </w:r>
      <w:r w:rsidRPr="00920764">
        <w:rPr>
          <w:rtl/>
        </w:rPr>
        <w:t xml:space="preserve"> </w:t>
      </w:r>
      <w:r w:rsidRPr="00920764">
        <w:rPr>
          <w:rFonts w:hint="eastAsia"/>
          <w:rtl/>
        </w:rPr>
        <w:t>קובעים</w:t>
      </w:r>
      <w:r w:rsidRPr="00920764">
        <w:rPr>
          <w:rtl/>
        </w:rPr>
        <w:t xml:space="preserve"> </w:t>
      </w:r>
      <w:r w:rsidRPr="00920764">
        <w:rPr>
          <w:rFonts w:hint="eastAsia"/>
          <w:rtl/>
        </w:rPr>
        <w:t>כי</w:t>
      </w:r>
      <w:r w:rsidRPr="00920764">
        <w:rPr>
          <w:rtl/>
        </w:rPr>
        <w:t xml:space="preserve"> </w:t>
      </w:r>
      <w:r w:rsidRPr="00920764">
        <w:rPr>
          <w:rFonts w:hint="eastAsia"/>
          <w:rtl/>
        </w:rPr>
        <w:t>המונח</w:t>
      </w:r>
      <w:r w:rsidRPr="00920764">
        <w:rPr>
          <w:rtl/>
        </w:rPr>
        <w:t xml:space="preserve"> "</w:t>
      </w:r>
      <w:r w:rsidRPr="00920764">
        <w:rPr>
          <w:rFonts w:hint="eastAsia"/>
          <w:rtl/>
        </w:rPr>
        <w:t>בן</w:t>
      </w:r>
      <w:r w:rsidRPr="00920764">
        <w:rPr>
          <w:rtl/>
        </w:rPr>
        <w:t xml:space="preserve"> </w:t>
      </w:r>
      <w:r w:rsidRPr="00920764">
        <w:rPr>
          <w:rFonts w:hint="eastAsia"/>
          <w:rtl/>
        </w:rPr>
        <w:t>זוג</w:t>
      </w:r>
      <w:r w:rsidRPr="00920764">
        <w:rPr>
          <w:rtl/>
        </w:rPr>
        <w:t xml:space="preserve">" </w:t>
      </w:r>
      <w:r w:rsidRPr="00920764">
        <w:rPr>
          <w:rFonts w:hint="eastAsia"/>
          <w:rtl/>
        </w:rPr>
        <w:t>שבסעיף</w:t>
      </w:r>
      <w:r w:rsidRPr="00920764">
        <w:rPr>
          <w:rtl/>
        </w:rPr>
        <w:t xml:space="preserve"> 4</w:t>
      </w:r>
      <w:r w:rsidRPr="00920764">
        <w:rPr>
          <w:rFonts w:hint="eastAsia"/>
          <w:rtl/>
        </w:rPr>
        <w:t>א</w:t>
      </w:r>
      <w:r w:rsidRPr="00920764">
        <w:rPr>
          <w:rtl/>
        </w:rPr>
        <w:t>(</w:t>
      </w:r>
      <w:r w:rsidRPr="00920764">
        <w:rPr>
          <w:rFonts w:hint="eastAsia"/>
          <w:rtl/>
        </w:rPr>
        <w:t>א</w:t>
      </w:r>
      <w:r w:rsidRPr="00920764">
        <w:rPr>
          <w:rtl/>
        </w:rPr>
        <w:t xml:space="preserve">) </w:t>
      </w:r>
      <w:r w:rsidRPr="00920764">
        <w:rPr>
          <w:rFonts w:hint="eastAsia"/>
          <w:rtl/>
        </w:rPr>
        <w:t>לחוק</w:t>
      </w:r>
      <w:r w:rsidRPr="00920764">
        <w:rPr>
          <w:rtl/>
        </w:rPr>
        <w:t xml:space="preserve"> </w:t>
      </w:r>
      <w:r w:rsidRPr="00920764">
        <w:rPr>
          <w:rFonts w:hint="eastAsia"/>
          <w:rtl/>
        </w:rPr>
        <w:t>השבות</w:t>
      </w:r>
      <w:r w:rsidRPr="00920764">
        <w:rPr>
          <w:rtl/>
        </w:rPr>
        <w:t xml:space="preserve"> </w:t>
      </w:r>
      <w:r w:rsidRPr="00920764">
        <w:rPr>
          <w:rFonts w:hint="eastAsia"/>
          <w:rtl/>
        </w:rPr>
        <w:t>אינו</w:t>
      </w:r>
      <w:r w:rsidRPr="00920764">
        <w:rPr>
          <w:rtl/>
        </w:rPr>
        <w:t xml:space="preserve"> </w:t>
      </w:r>
      <w:r w:rsidRPr="00920764">
        <w:rPr>
          <w:rFonts w:hint="eastAsia"/>
          <w:rtl/>
        </w:rPr>
        <w:t>כולל</w:t>
      </w:r>
      <w:r w:rsidRPr="00920764">
        <w:rPr>
          <w:rtl/>
        </w:rPr>
        <w:t xml:space="preserve"> </w:t>
      </w:r>
      <w:r w:rsidRPr="00920764">
        <w:rPr>
          <w:rFonts w:hint="eastAsia"/>
          <w:rtl/>
        </w:rPr>
        <w:t>את</w:t>
      </w:r>
      <w:r w:rsidRPr="00920764">
        <w:rPr>
          <w:rtl/>
        </w:rPr>
        <w:t xml:space="preserve"> </w:t>
      </w:r>
      <w:r w:rsidRPr="00920764">
        <w:rPr>
          <w:rFonts w:hint="eastAsia"/>
          <w:rtl/>
        </w:rPr>
        <w:t>אלמנת</w:t>
      </w:r>
      <w:r w:rsidRPr="00920764">
        <w:rPr>
          <w:rtl/>
        </w:rPr>
        <w:t xml:space="preserve"> </w:t>
      </w:r>
      <w:r w:rsidRPr="00920764">
        <w:rPr>
          <w:rFonts w:hint="eastAsia"/>
          <w:rtl/>
        </w:rPr>
        <w:t>זכאי</w:t>
      </w:r>
      <w:r w:rsidRPr="00920764">
        <w:rPr>
          <w:rtl/>
        </w:rPr>
        <w:t xml:space="preserve"> </w:t>
      </w:r>
      <w:r w:rsidRPr="00920764">
        <w:rPr>
          <w:rFonts w:hint="eastAsia"/>
          <w:rtl/>
        </w:rPr>
        <w:t>השבות</w:t>
      </w:r>
      <w:r w:rsidRPr="00920764">
        <w:rPr>
          <w:rtl/>
        </w:rPr>
        <w:t xml:space="preserve">. </w:t>
      </w:r>
    </w:p>
    <w:p w:rsidR="00BA03D0" w:rsidRPr="00BA03D0" w:rsidRDefault="00BA03D0" w:rsidP="003B0CE6">
      <w:pPr>
        <w:pStyle w:val="Ruller41"/>
        <w:rPr>
          <w:rtl/>
        </w:rPr>
      </w:pPr>
    </w:p>
    <w:p w:rsidR="00BA03D0" w:rsidRDefault="00BA03D0" w:rsidP="00BA03D0">
      <w:pPr>
        <w:pStyle w:val="Ruller41"/>
        <w:rPr>
          <w:rtl/>
        </w:rPr>
      </w:pPr>
    </w:p>
    <w:tbl>
      <w:tblPr>
        <w:bidiVisual/>
        <w:tblW w:w="8363" w:type="dxa"/>
        <w:tblLook w:val="01E0" w:firstRow="1" w:lastRow="1" w:firstColumn="1" w:lastColumn="1" w:noHBand="0" w:noVBand="0"/>
      </w:tblPr>
      <w:tblGrid>
        <w:gridCol w:w="2783"/>
        <w:gridCol w:w="2797"/>
        <w:gridCol w:w="2783"/>
      </w:tblGrid>
      <w:tr w:rsidR="00BA03D0" w:rsidRPr="00267280" w:rsidTr="00F97246">
        <w:tc>
          <w:tcPr>
            <w:tcW w:w="2783" w:type="dxa"/>
            <w:shd w:val="clear" w:color="auto" w:fill="auto"/>
          </w:tcPr>
          <w:p w:rsidR="00BA03D0" w:rsidRPr="00267280" w:rsidRDefault="00BA03D0" w:rsidP="00F97246">
            <w:pPr>
              <w:pStyle w:val="Ruller41"/>
              <w:jc w:val="center"/>
              <w:rPr>
                <w:rtl/>
              </w:rPr>
            </w:pPr>
          </w:p>
        </w:tc>
        <w:tc>
          <w:tcPr>
            <w:tcW w:w="2797" w:type="dxa"/>
            <w:shd w:val="clear" w:color="auto" w:fill="auto"/>
          </w:tcPr>
          <w:p w:rsidR="00BA03D0" w:rsidRPr="00267280" w:rsidRDefault="00BA03D0" w:rsidP="00F97246">
            <w:pPr>
              <w:pStyle w:val="Ruller41"/>
              <w:jc w:val="center"/>
              <w:rPr>
                <w:rtl/>
              </w:rPr>
            </w:pPr>
          </w:p>
        </w:tc>
        <w:tc>
          <w:tcPr>
            <w:tcW w:w="2783" w:type="dxa"/>
            <w:shd w:val="clear" w:color="auto" w:fill="auto"/>
          </w:tcPr>
          <w:p w:rsidR="00BA03D0" w:rsidRPr="00267280" w:rsidRDefault="00BA03D0" w:rsidP="00F97246">
            <w:pPr>
              <w:pStyle w:val="Ruller41"/>
              <w:jc w:val="right"/>
              <w:rPr>
                <w:rtl/>
              </w:rPr>
            </w:pPr>
            <w:r>
              <w:rPr>
                <w:rFonts w:hint="cs"/>
                <w:rtl/>
              </w:rPr>
              <w:t xml:space="preserve">ש ו פ ט </w:t>
            </w:r>
          </w:p>
        </w:tc>
      </w:tr>
    </w:tbl>
    <w:p w:rsidR="004667F3" w:rsidRDefault="004667F3" w:rsidP="00D8481A">
      <w:pPr>
        <w:pStyle w:val="Ruller41"/>
        <w:rPr>
          <w:color w:val="FFFFFF" w:themeColor="background1"/>
          <w:rtl/>
        </w:rPr>
      </w:pPr>
    </w:p>
    <w:p w:rsidR="004667F3" w:rsidRDefault="0097596B" w:rsidP="00074600">
      <w:pPr>
        <w:pStyle w:val="Ruller41"/>
        <w:rPr>
          <w:color w:val="FFFFFF" w:themeColor="background1"/>
          <w:rtl/>
        </w:rPr>
      </w:pPr>
      <w:r>
        <w:rPr>
          <w:color w:val="FFFFFF" w:themeColor="background1"/>
          <w:rtl/>
        </w:rPr>
        <w:tab/>
      </w:r>
    </w:p>
    <w:p w:rsidR="004667F3" w:rsidRDefault="004667F3">
      <w:pPr>
        <w:overflowPunct/>
        <w:autoSpaceDE/>
        <w:autoSpaceDN/>
        <w:bidi w:val="0"/>
        <w:adjustRightInd/>
        <w:textAlignment w:val="auto"/>
        <w:rPr>
          <w:rFonts w:ascii="Arial TUR" w:hAnsi="Arial TUR" w:cs="FrankRuehl"/>
          <w:color w:val="FFFFFF" w:themeColor="background1"/>
          <w:spacing w:val="10"/>
          <w:sz w:val="22"/>
          <w:szCs w:val="28"/>
          <w:rtl/>
        </w:rPr>
      </w:pPr>
      <w:r>
        <w:rPr>
          <w:color w:val="FFFFFF" w:themeColor="background1"/>
          <w:rtl/>
        </w:rPr>
        <w:br w:type="page"/>
      </w:r>
    </w:p>
    <w:p w:rsidR="0097596B" w:rsidRDefault="004667F3" w:rsidP="007424D2">
      <w:pPr>
        <w:pStyle w:val="Ruller41"/>
        <w:rPr>
          <w:rtl/>
        </w:rPr>
      </w:pPr>
      <w:r>
        <w:rPr>
          <w:rtl/>
        </w:rPr>
        <w:lastRenderedPageBreak/>
        <w:tab/>
      </w:r>
      <w:r>
        <w:rPr>
          <w:rFonts w:hint="cs"/>
          <w:rtl/>
        </w:rPr>
        <w:t>ה</w:t>
      </w:r>
      <w:r w:rsidR="0097596B" w:rsidRPr="0097596B">
        <w:rPr>
          <w:rtl/>
        </w:rPr>
        <w:t xml:space="preserve">וחלט </w:t>
      </w:r>
      <w:r w:rsidR="007424D2">
        <w:rPr>
          <w:rFonts w:hint="cs"/>
          <w:rtl/>
        </w:rPr>
        <w:t xml:space="preserve">כאמור בפסק דינו של </w:t>
      </w:r>
      <w:r w:rsidR="007424D2">
        <w:rPr>
          <w:rtl/>
        </w:rPr>
        <w:t xml:space="preserve"> </w:t>
      </w:r>
      <w:r w:rsidR="0097596B">
        <w:rPr>
          <w:rFonts w:hint="cs"/>
          <w:rtl/>
        </w:rPr>
        <w:t xml:space="preserve">ממלא מקום הנשיא </w:t>
      </w:r>
      <w:r w:rsidR="0097596B" w:rsidRPr="006A5E7D">
        <w:rPr>
          <w:rFonts w:ascii="Century" w:hAnsi="Century" w:cs="Miriam"/>
          <w:b/>
          <w:spacing w:val="0"/>
          <w:szCs w:val="24"/>
          <w:rtl/>
        </w:rPr>
        <w:t>ע' פוגלמן</w:t>
      </w:r>
      <w:r w:rsidR="00FF1489">
        <w:rPr>
          <w:rFonts w:hint="cs"/>
          <w:rtl/>
        </w:rPr>
        <w:t>,</w:t>
      </w:r>
      <w:r w:rsidR="007424D2">
        <w:rPr>
          <w:rFonts w:hint="cs"/>
          <w:rtl/>
        </w:rPr>
        <w:t xml:space="preserve"> בהסכמת</w:t>
      </w:r>
      <w:r w:rsidR="00074600">
        <w:rPr>
          <w:rtl/>
        </w:rPr>
        <w:t xml:space="preserve"> השופטים </w:t>
      </w:r>
      <w:r w:rsidR="00074600" w:rsidRPr="006A5E7D">
        <w:rPr>
          <w:rFonts w:ascii="Century" w:hAnsi="Century" w:cs="Miriam"/>
          <w:b/>
          <w:spacing w:val="0"/>
          <w:szCs w:val="24"/>
          <w:rtl/>
        </w:rPr>
        <w:t>י' עמית</w:t>
      </w:r>
      <w:r w:rsidR="0097596B" w:rsidRPr="006A5E7D">
        <w:rPr>
          <w:rFonts w:ascii="Century" w:hAnsi="Century" w:cs="Miriam"/>
          <w:b/>
          <w:spacing w:val="0"/>
          <w:szCs w:val="24"/>
          <w:rtl/>
        </w:rPr>
        <w:t xml:space="preserve"> </w:t>
      </w:r>
      <w:r w:rsidR="00074600" w:rsidRPr="006A5E7D">
        <w:rPr>
          <w:rFonts w:ascii="Century" w:hAnsi="Century" w:hint="cs"/>
          <w:rtl/>
        </w:rPr>
        <w:t>ו</w:t>
      </w:r>
      <w:r w:rsidR="0097596B" w:rsidRPr="006A5E7D">
        <w:rPr>
          <w:rFonts w:ascii="Century" w:hAnsi="Century" w:cs="Miriam"/>
          <w:b/>
          <w:spacing w:val="0"/>
          <w:szCs w:val="24"/>
          <w:rtl/>
        </w:rPr>
        <w:t>ד' ברק-ארז</w:t>
      </w:r>
      <w:r w:rsidR="0097596B">
        <w:rPr>
          <w:rtl/>
        </w:rPr>
        <w:t xml:space="preserve"> ו</w:t>
      </w:r>
      <w:r w:rsidR="0097596B">
        <w:rPr>
          <w:rFonts w:hint="cs"/>
          <w:rtl/>
        </w:rPr>
        <w:t xml:space="preserve">השופטת (בדימוס) </w:t>
      </w:r>
      <w:r w:rsidR="0097596B" w:rsidRPr="006A5E7D">
        <w:rPr>
          <w:rFonts w:ascii="Century" w:hAnsi="Century" w:cs="Miriam"/>
          <w:b/>
          <w:spacing w:val="0"/>
          <w:szCs w:val="24"/>
          <w:rtl/>
        </w:rPr>
        <w:t>ע' ברון</w:t>
      </w:r>
      <w:r w:rsidR="00074600" w:rsidRPr="00074600">
        <w:rPr>
          <w:rtl/>
        </w:rPr>
        <w:t>.</w:t>
      </w:r>
      <w:r w:rsidR="00074600">
        <w:rPr>
          <w:rFonts w:hint="cs"/>
          <w:rtl/>
        </w:rPr>
        <w:t xml:space="preserve"> </w:t>
      </w:r>
      <w:r w:rsidR="00AE7B46">
        <w:rPr>
          <w:rtl/>
        </w:rPr>
        <w:t xml:space="preserve">זאת, </w:t>
      </w:r>
      <w:r w:rsidR="00074600" w:rsidRPr="00074600">
        <w:rPr>
          <w:rtl/>
        </w:rPr>
        <w:t xml:space="preserve">נגד דעתם החולקת של </w:t>
      </w:r>
      <w:r w:rsidR="00074600">
        <w:rPr>
          <w:rFonts w:hint="cs"/>
          <w:rtl/>
        </w:rPr>
        <w:t xml:space="preserve">השופטים </w:t>
      </w:r>
      <w:r w:rsidR="00074600" w:rsidRPr="006A5E7D">
        <w:rPr>
          <w:rFonts w:ascii="Century" w:hAnsi="Century" w:cs="Miriam" w:hint="cs"/>
          <w:b/>
          <w:spacing w:val="0"/>
          <w:szCs w:val="24"/>
          <w:rtl/>
        </w:rPr>
        <w:t>נ' סולברג</w:t>
      </w:r>
      <w:r w:rsidR="00074600" w:rsidRPr="00074600">
        <w:rPr>
          <w:rtl/>
        </w:rPr>
        <w:t xml:space="preserve">, </w:t>
      </w:r>
      <w:r w:rsidR="00074600" w:rsidRPr="006A5E7D">
        <w:rPr>
          <w:rFonts w:ascii="Century" w:hAnsi="Century" w:cs="Miriam" w:hint="cs"/>
          <w:b/>
          <w:spacing w:val="0"/>
          <w:szCs w:val="24"/>
          <w:rtl/>
        </w:rPr>
        <w:t xml:space="preserve">י' וילנר </w:t>
      </w:r>
      <w:r w:rsidR="00074600">
        <w:rPr>
          <w:rFonts w:hint="cs"/>
          <w:rtl/>
        </w:rPr>
        <w:t>ו</w:t>
      </w:r>
      <w:r w:rsidR="00074600" w:rsidRPr="006A5E7D">
        <w:rPr>
          <w:rFonts w:ascii="Century" w:hAnsi="Century" w:cs="Miriam" w:hint="cs"/>
          <w:b/>
          <w:spacing w:val="0"/>
          <w:szCs w:val="24"/>
          <w:rtl/>
        </w:rPr>
        <w:t>ד' מינץ</w:t>
      </w:r>
      <w:r w:rsidR="00074600">
        <w:rPr>
          <w:rFonts w:hint="cs"/>
          <w:rtl/>
        </w:rPr>
        <w:t xml:space="preserve">. </w:t>
      </w:r>
    </w:p>
    <w:p w:rsidR="006A5E7D" w:rsidRDefault="006A5E7D" w:rsidP="00074600">
      <w:pPr>
        <w:pStyle w:val="Ruller41"/>
        <w:rPr>
          <w:rtl/>
        </w:rPr>
      </w:pPr>
    </w:p>
    <w:p w:rsidR="006A5E7D" w:rsidRDefault="006A5E7D" w:rsidP="004667F3">
      <w:pPr>
        <w:pStyle w:val="Ruller41"/>
        <w:rPr>
          <w:rtl/>
        </w:rPr>
      </w:pPr>
      <w:r>
        <w:rPr>
          <w:rtl/>
        </w:rPr>
        <w:tab/>
        <w:t xml:space="preserve">ניתן היום, </w:t>
      </w:r>
      <w:r>
        <w:rPr>
          <w:rFonts w:hint="eastAsia"/>
          <w:rtl/>
        </w:rPr>
        <w:t>‏כ</w:t>
      </w:r>
      <w:r>
        <w:rPr>
          <w:rtl/>
        </w:rPr>
        <w:t>"</w:t>
      </w:r>
      <w:r w:rsidR="004667F3">
        <w:rPr>
          <w:rFonts w:hint="cs"/>
          <w:rtl/>
        </w:rPr>
        <w:t>ט</w:t>
      </w:r>
      <w:r>
        <w:rPr>
          <w:rtl/>
        </w:rPr>
        <w:t xml:space="preserve"> בחשון התשפ"ד (</w:t>
      </w:r>
      <w:r>
        <w:rPr>
          <w:rFonts w:hint="eastAsia"/>
          <w:rtl/>
        </w:rPr>
        <w:t>‏</w:t>
      </w:r>
      <w:r>
        <w:rPr>
          <w:rFonts w:hint="cs"/>
          <w:rtl/>
        </w:rPr>
        <w:t>1</w:t>
      </w:r>
      <w:r w:rsidR="004667F3">
        <w:rPr>
          <w:rFonts w:hint="cs"/>
          <w:rtl/>
        </w:rPr>
        <w:t>3</w:t>
      </w:r>
      <w:r>
        <w:rPr>
          <w:rtl/>
        </w:rPr>
        <w:t>.11.2023).</w:t>
      </w:r>
    </w:p>
    <w:p w:rsidR="006A5E7D" w:rsidRDefault="006A5E7D" w:rsidP="00074600">
      <w:pPr>
        <w:pStyle w:val="Ruller41"/>
        <w:rPr>
          <w:rtl/>
        </w:rPr>
      </w:pPr>
    </w:p>
    <w:tbl>
      <w:tblPr>
        <w:bidiVisual/>
        <w:tblW w:w="8363" w:type="dxa"/>
        <w:tblLook w:val="01E0" w:firstRow="1" w:lastRow="1" w:firstColumn="1" w:lastColumn="1" w:noHBand="0" w:noVBand="0"/>
      </w:tblPr>
      <w:tblGrid>
        <w:gridCol w:w="2783"/>
        <w:gridCol w:w="2797"/>
        <w:gridCol w:w="2783"/>
      </w:tblGrid>
      <w:tr w:rsidR="00CB01BC" w:rsidRPr="00267280" w:rsidTr="00F97246">
        <w:tc>
          <w:tcPr>
            <w:tcW w:w="2783" w:type="dxa"/>
            <w:shd w:val="clear" w:color="auto" w:fill="auto"/>
          </w:tcPr>
          <w:p w:rsidR="00CB01BC" w:rsidRPr="00267280" w:rsidRDefault="00CB01BC" w:rsidP="00F97246">
            <w:pPr>
              <w:pStyle w:val="Ruller41"/>
              <w:jc w:val="left"/>
              <w:rPr>
                <w:rtl/>
              </w:rPr>
            </w:pPr>
            <w:r>
              <w:rPr>
                <w:rFonts w:hint="cs"/>
                <w:rtl/>
              </w:rPr>
              <w:t>מ"מ הנשיא</w:t>
            </w:r>
          </w:p>
        </w:tc>
        <w:tc>
          <w:tcPr>
            <w:tcW w:w="2797" w:type="dxa"/>
            <w:shd w:val="clear" w:color="auto" w:fill="auto"/>
          </w:tcPr>
          <w:p w:rsidR="00CB01BC" w:rsidRPr="00267280" w:rsidRDefault="00CB01BC" w:rsidP="00F97246">
            <w:pPr>
              <w:pStyle w:val="Ruller41"/>
              <w:jc w:val="center"/>
              <w:rPr>
                <w:rtl/>
              </w:rPr>
            </w:pPr>
            <w:r w:rsidRPr="00267280">
              <w:rPr>
                <w:rtl/>
              </w:rPr>
              <w:t>ש ו פ ט</w:t>
            </w:r>
          </w:p>
        </w:tc>
        <w:tc>
          <w:tcPr>
            <w:tcW w:w="2783" w:type="dxa"/>
            <w:shd w:val="clear" w:color="auto" w:fill="auto"/>
          </w:tcPr>
          <w:p w:rsidR="00CB01BC" w:rsidRPr="00267280" w:rsidRDefault="00CB01BC" w:rsidP="00F97246">
            <w:pPr>
              <w:pStyle w:val="Ruller41"/>
              <w:jc w:val="right"/>
              <w:rPr>
                <w:rtl/>
              </w:rPr>
            </w:pPr>
            <w:r w:rsidRPr="00267280">
              <w:rPr>
                <w:rtl/>
              </w:rPr>
              <w:t>ש ו פ ט</w:t>
            </w:r>
          </w:p>
        </w:tc>
      </w:tr>
    </w:tbl>
    <w:p w:rsidR="00CB01BC" w:rsidRPr="004667F3" w:rsidRDefault="00CB01BC" w:rsidP="00CB01BC">
      <w:pPr>
        <w:pStyle w:val="Ruller41"/>
        <w:rPr>
          <w:sz w:val="18"/>
          <w:szCs w:val="22"/>
          <w:rtl/>
        </w:rPr>
      </w:pPr>
    </w:p>
    <w:p w:rsidR="00CB01BC" w:rsidRPr="004667F3" w:rsidRDefault="00CB01BC" w:rsidP="00CB01BC">
      <w:pPr>
        <w:pStyle w:val="Ruller41"/>
        <w:rPr>
          <w:sz w:val="18"/>
          <w:szCs w:val="22"/>
          <w:rtl/>
        </w:rPr>
      </w:pPr>
    </w:p>
    <w:tbl>
      <w:tblPr>
        <w:bidiVisual/>
        <w:tblW w:w="8363" w:type="dxa"/>
        <w:tblLook w:val="01E0" w:firstRow="1" w:lastRow="1" w:firstColumn="1" w:lastColumn="1" w:noHBand="0" w:noVBand="0"/>
      </w:tblPr>
      <w:tblGrid>
        <w:gridCol w:w="2783"/>
        <w:gridCol w:w="2797"/>
        <w:gridCol w:w="2783"/>
      </w:tblGrid>
      <w:tr w:rsidR="00CB01BC" w:rsidRPr="00267280" w:rsidTr="00F97246">
        <w:tc>
          <w:tcPr>
            <w:tcW w:w="2842" w:type="dxa"/>
            <w:shd w:val="clear" w:color="auto" w:fill="auto"/>
          </w:tcPr>
          <w:p w:rsidR="00CB01BC" w:rsidRPr="00267280" w:rsidRDefault="00CB01BC" w:rsidP="00F97246">
            <w:pPr>
              <w:pStyle w:val="Ruller41"/>
              <w:jc w:val="left"/>
              <w:rPr>
                <w:rtl/>
              </w:rPr>
            </w:pPr>
            <w:r>
              <w:rPr>
                <w:rFonts w:hint="cs"/>
                <w:rtl/>
              </w:rPr>
              <w:t xml:space="preserve"> </w:t>
            </w:r>
            <w:r w:rsidRPr="00267280">
              <w:rPr>
                <w:rtl/>
              </w:rPr>
              <w:t>ש ו פ ט</w:t>
            </w:r>
            <w:r>
              <w:rPr>
                <w:rFonts w:hint="cs"/>
                <w:rtl/>
              </w:rPr>
              <w:t xml:space="preserve"> ת</w:t>
            </w:r>
          </w:p>
        </w:tc>
        <w:tc>
          <w:tcPr>
            <w:tcW w:w="2843" w:type="dxa"/>
            <w:shd w:val="clear" w:color="auto" w:fill="auto"/>
          </w:tcPr>
          <w:p w:rsidR="00CB01BC" w:rsidRPr="00267280" w:rsidRDefault="00367FE8" w:rsidP="00F97246">
            <w:pPr>
              <w:pStyle w:val="Ruller41"/>
              <w:jc w:val="center"/>
              <w:rPr>
                <w:rtl/>
              </w:rPr>
            </w:pPr>
            <w:r w:rsidRPr="00267280">
              <w:rPr>
                <w:rtl/>
              </w:rPr>
              <w:t>ש ו פ ט</w:t>
            </w:r>
            <w:r w:rsidRPr="00267280">
              <w:rPr>
                <w:rFonts w:hint="cs"/>
                <w:rtl/>
              </w:rPr>
              <w:t xml:space="preserve"> ת</w:t>
            </w:r>
            <w:r>
              <w:rPr>
                <w:rFonts w:hint="cs"/>
                <w:rtl/>
              </w:rPr>
              <w:t xml:space="preserve"> (בדימ')</w:t>
            </w:r>
          </w:p>
        </w:tc>
        <w:tc>
          <w:tcPr>
            <w:tcW w:w="2843" w:type="dxa"/>
            <w:shd w:val="clear" w:color="auto" w:fill="auto"/>
          </w:tcPr>
          <w:p w:rsidR="00CB01BC" w:rsidRPr="00267280" w:rsidRDefault="006C7A96" w:rsidP="00CB01BC">
            <w:pPr>
              <w:pStyle w:val="Ruller41"/>
              <w:jc w:val="right"/>
              <w:rPr>
                <w:rtl/>
              </w:rPr>
            </w:pPr>
            <w:r w:rsidRPr="00267280">
              <w:rPr>
                <w:rtl/>
              </w:rPr>
              <w:t>ש ו פ ט</w:t>
            </w:r>
            <w:r w:rsidR="00367FE8">
              <w:rPr>
                <w:rFonts w:hint="cs"/>
                <w:rtl/>
              </w:rPr>
              <w:t xml:space="preserve"> </w:t>
            </w:r>
          </w:p>
        </w:tc>
      </w:tr>
    </w:tbl>
    <w:p w:rsidR="00CB01BC" w:rsidRDefault="00CB01BC" w:rsidP="00CB01BC">
      <w:pPr>
        <w:pStyle w:val="Ruller41"/>
        <w:rPr>
          <w:sz w:val="26"/>
          <w:szCs w:val="36"/>
        </w:rPr>
      </w:pPr>
    </w:p>
    <w:p w:rsidR="00CB01BC" w:rsidRPr="00A9046A" w:rsidRDefault="00CB01BC" w:rsidP="00CB01BC">
      <w:pPr>
        <w:pStyle w:val="Ruller41"/>
        <w:rPr>
          <w:color w:val="FFFFFF"/>
          <w:sz w:val="2"/>
          <w:szCs w:val="2"/>
          <w:rtl/>
        </w:rPr>
      </w:pPr>
      <w:r w:rsidRPr="00A9046A">
        <w:rPr>
          <w:color w:val="FFFFFF"/>
          <w:sz w:val="2"/>
          <w:szCs w:val="2"/>
          <w:rtl/>
        </w:rPr>
        <w:t>5129371</w:t>
      </w:r>
    </w:p>
    <w:tbl>
      <w:tblPr>
        <w:bidiVisual/>
        <w:tblW w:w="8363" w:type="dxa"/>
        <w:tblLook w:val="01E0" w:firstRow="1" w:lastRow="1" w:firstColumn="1" w:lastColumn="1" w:noHBand="0" w:noVBand="0"/>
      </w:tblPr>
      <w:tblGrid>
        <w:gridCol w:w="2783"/>
        <w:gridCol w:w="2797"/>
        <w:gridCol w:w="2783"/>
      </w:tblGrid>
      <w:tr w:rsidR="00CB01BC" w:rsidRPr="00267280" w:rsidTr="00F97246">
        <w:tc>
          <w:tcPr>
            <w:tcW w:w="2783" w:type="dxa"/>
            <w:shd w:val="clear" w:color="auto" w:fill="auto"/>
          </w:tcPr>
          <w:p w:rsidR="00CB01BC" w:rsidRPr="00267280" w:rsidRDefault="00CB01BC" w:rsidP="00F97246">
            <w:pPr>
              <w:pStyle w:val="Ruller41"/>
              <w:jc w:val="left"/>
              <w:rPr>
                <w:rtl/>
              </w:rPr>
            </w:pPr>
            <w:r w:rsidRPr="00A9046A">
              <w:rPr>
                <w:color w:val="FFFFFF"/>
                <w:sz w:val="2"/>
                <w:szCs w:val="2"/>
                <w:rtl/>
              </w:rPr>
              <w:t>54678313</w:t>
            </w:r>
            <w:r w:rsidRPr="00267280">
              <w:rPr>
                <w:rtl/>
              </w:rPr>
              <w:t>ש ו פ ט</w:t>
            </w:r>
            <w:r w:rsidR="00960219">
              <w:rPr>
                <w:rFonts w:hint="cs"/>
                <w:rtl/>
              </w:rPr>
              <w:t xml:space="preserve"> ת</w:t>
            </w:r>
          </w:p>
        </w:tc>
        <w:tc>
          <w:tcPr>
            <w:tcW w:w="2797" w:type="dxa"/>
            <w:shd w:val="clear" w:color="auto" w:fill="auto"/>
          </w:tcPr>
          <w:p w:rsidR="00CB01BC" w:rsidRPr="00267280" w:rsidRDefault="00CB01BC" w:rsidP="00F97246">
            <w:pPr>
              <w:pStyle w:val="Ruller41"/>
              <w:jc w:val="center"/>
              <w:rPr>
                <w:rtl/>
              </w:rPr>
            </w:pPr>
          </w:p>
        </w:tc>
        <w:tc>
          <w:tcPr>
            <w:tcW w:w="2783" w:type="dxa"/>
            <w:shd w:val="clear" w:color="auto" w:fill="auto"/>
          </w:tcPr>
          <w:p w:rsidR="00CB01BC" w:rsidRPr="00267280" w:rsidRDefault="00CB01BC" w:rsidP="00F97246">
            <w:pPr>
              <w:pStyle w:val="Ruller41"/>
              <w:jc w:val="right"/>
              <w:rPr>
                <w:rtl/>
              </w:rPr>
            </w:pPr>
          </w:p>
        </w:tc>
      </w:tr>
    </w:tbl>
    <w:p w:rsidR="00916FF8" w:rsidRPr="006A5E7D" w:rsidRDefault="00916FF8">
      <w:pPr>
        <w:rPr>
          <w:szCs w:val="16"/>
          <w:rtl/>
        </w:rPr>
      </w:pPr>
      <w:r w:rsidRPr="006A5E7D">
        <w:rPr>
          <w:szCs w:val="16"/>
          <w:rtl/>
        </w:rPr>
        <w:t>_________________</w:t>
      </w:r>
      <w:r w:rsidR="00A12E0F" w:rsidRPr="006A5E7D">
        <w:rPr>
          <w:rFonts w:hint="cs"/>
          <w:szCs w:val="16"/>
          <w:rtl/>
        </w:rPr>
        <w:t>________</w:t>
      </w:r>
    </w:p>
    <w:p w:rsidR="00916FF8" w:rsidRPr="006A5E7D" w:rsidRDefault="00591983" w:rsidP="00B009CC">
      <w:pPr>
        <w:pStyle w:val="Ruller38"/>
        <w:rPr>
          <w:rtl/>
        </w:rPr>
      </w:pPr>
      <w:r w:rsidRPr="006A5E7D">
        <w:rPr>
          <w:sz w:val="16"/>
        </w:rPr>
        <w:t xml:space="preserve"> </w:t>
      </w:r>
      <w:r w:rsidR="00A12E0F" w:rsidRPr="006A5E7D">
        <w:rPr>
          <w:sz w:val="16"/>
        </w:rPr>
        <w:t xml:space="preserve">  </w:t>
      </w:r>
      <w:r w:rsidR="000F3018" w:rsidRPr="006A5E7D">
        <w:rPr>
          <w:sz w:val="16"/>
        </w:rPr>
        <w:t xml:space="preserve">21073350_M12.docx   </w:t>
      </w:r>
      <w:r w:rsidR="000F3018" w:rsidRPr="006A5E7D">
        <w:rPr>
          <w:sz w:val="16"/>
          <w:rtl/>
        </w:rPr>
        <w:t>עת</w:t>
      </w:r>
    </w:p>
    <w:p w:rsidR="00591983" w:rsidRPr="006A5E7D" w:rsidRDefault="00591983" w:rsidP="00FC0252">
      <w:pPr>
        <w:pStyle w:val="Ruller38"/>
        <w:rPr>
          <w:rtl/>
        </w:rPr>
      </w:pPr>
      <w:r w:rsidRPr="006A5E7D">
        <w:rPr>
          <w:rtl/>
        </w:rPr>
        <w:t>מרכז מידע, טל'</w:t>
      </w:r>
      <w:r w:rsidRPr="006A5E7D">
        <w:rPr>
          <w:rFonts w:hint="cs"/>
          <w:rtl/>
        </w:rPr>
        <w:t xml:space="preserve"> </w:t>
      </w:r>
      <w:r w:rsidR="00B63343" w:rsidRPr="006A5E7D">
        <w:rPr>
          <w:rFonts w:hint="cs"/>
          <w:rtl/>
        </w:rPr>
        <w:t>077</w:t>
      </w:r>
      <w:r w:rsidRPr="006A5E7D">
        <w:rPr>
          <w:rFonts w:hint="cs"/>
          <w:rtl/>
        </w:rPr>
        <w:t>-</w:t>
      </w:r>
      <w:r w:rsidR="00B63343" w:rsidRPr="006A5E7D">
        <w:rPr>
          <w:rFonts w:hint="cs"/>
          <w:rtl/>
        </w:rPr>
        <w:t>270</w:t>
      </w:r>
      <w:r w:rsidR="00E21CA9" w:rsidRPr="006A5E7D">
        <w:rPr>
          <w:rFonts w:hint="cs"/>
          <w:rtl/>
        </w:rPr>
        <w:t>3</w:t>
      </w:r>
      <w:r w:rsidR="009B38DA" w:rsidRPr="006A5E7D">
        <w:rPr>
          <w:rFonts w:hint="cs"/>
          <w:rtl/>
        </w:rPr>
        <w:t>333</w:t>
      </w:r>
      <w:r w:rsidR="00866D0F" w:rsidRPr="006A5E7D">
        <w:rPr>
          <w:rFonts w:hint="cs"/>
          <w:rtl/>
        </w:rPr>
        <w:t>, 3852*</w:t>
      </w:r>
      <w:r w:rsidRPr="006A5E7D">
        <w:rPr>
          <w:rFonts w:hint="cs"/>
          <w:rtl/>
        </w:rPr>
        <w:t xml:space="preserve"> ; אתר אינטרנט,  </w:t>
      </w:r>
      <w:hyperlink r:id="rId12" w:history="1">
        <w:r w:rsidR="00FC0252" w:rsidRPr="00212F76">
          <w:rPr>
            <w:rStyle w:val="Hyperlink"/>
            <w:sz w:val="16"/>
          </w:rPr>
          <w:t>https://supreme.court.gov.il</w:t>
        </w:r>
      </w:hyperlink>
    </w:p>
    <w:p w:rsidR="003F1F97" w:rsidRPr="006A5E7D" w:rsidRDefault="003F1F97" w:rsidP="00591983">
      <w:pPr>
        <w:pStyle w:val="Ruller38"/>
        <w:rPr>
          <w:rtl/>
        </w:rPr>
      </w:pPr>
    </w:p>
    <w:sectPr w:rsidR="003F1F97" w:rsidRPr="006A5E7D" w:rsidSect="00591983">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6DF" w:rsidRDefault="005506DF">
      <w:r>
        <w:separator/>
      </w:r>
    </w:p>
  </w:endnote>
  <w:endnote w:type="continuationSeparator" w:id="0">
    <w:p w:rsidR="005506DF" w:rsidRDefault="0055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UR">
    <w:altName w:val="Arial"/>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018" w:rsidRDefault="000F3018">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11" w:name="footer_line"/>
    <w:bookmarkEnd w:id="11"/>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6DF" w:rsidRDefault="005506DF">
      <w:r>
        <w:separator/>
      </w:r>
    </w:p>
  </w:footnote>
  <w:footnote w:type="continuationSeparator" w:id="0">
    <w:p w:rsidR="005506DF" w:rsidRDefault="0055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6"/>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416CE">
      <w:rPr>
        <w:rStyle w:val="a5"/>
        <w:noProof/>
        <w:rtl/>
      </w:rPr>
      <w:t>21</w:t>
    </w:r>
    <w:r>
      <w:rPr>
        <w:rStyle w:val="a5"/>
        <w:rtl/>
      </w:rPr>
      <w:fldChar w:fldCharType="end"/>
    </w:r>
  </w:p>
  <w:p w:rsidR="00377102" w:rsidRDefault="00377102">
    <w:pPr>
      <w:pStyle w:val="a6"/>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6"/>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74F70"/>
    <w:multiLevelType w:val="hybridMultilevel"/>
    <w:tmpl w:val="5BD69A44"/>
    <w:lvl w:ilvl="0" w:tplc="27427C44">
      <w:start w:val="1"/>
      <w:numFmt w:val="decimal"/>
      <w:lvlText w:val="%1."/>
      <w:lvlJc w:val="left"/>
      <w:pPr>
        <w:ind w:left="1440" w:hanging="360"/>
      </w:pPr>
      <w:rPr>
        <w:rFonts w:hint="default"/>
      </w:rPr>
    </w:lvl>
    <w:lvl w:ilvl="1" w:tplc="E3361D32" w:tentative="1">
      <w:start w:val="1"/>
      <w:numFmt w:val="lowerLetter"/>
      <w:lvlText w:val="%2."/>
      <w:lvlJc w:val="left"/>
      <w:pPr>
        <w:ind w:left="2160" w:hanging="360"/>
      </w:pPr>
    </w:lvl>
    <w:lvl w:ilvl="2" w:tplc="47003A6C" w:tentative="1">
      <w:start w:val="1"/>
      <w:numFmt w:val="lowerRoman"/>
      <w:lvlText w:val="%3."/>
      <w:lvlJc w:val="right"/>
      <w:pPr>
        <w:ind w:left="2880" w:hanging="180"/>
      </w:pPr>
    </w:lvl>
    <w:lvl w:ilvl="3" w:tplc="9C66A040" w:tentative="1">
      <w:start w:val="1"/>
      <w:numFmt w:val="decimal"/>
      <w:lvlText w:val="%4."/>
      <w:lvlJc w:val="left"/>
      <w:pPr>
        <w:ind w:left="3600" w:hanging="360"/>
      </w:pPr>
    </w:lvl>
    <w:lvl w:ilvl="4" w:tplc="557286EA" w:tentative="1">
      <w:start w:val="1"/>
      <w:numFmt w:val="lowerLetter"/>
      <w:lvlText w:val="%5."/>
      <w:lvlJc w:val="left"/>
      <w:pPr>
        <w:ind w:left="4320" w:hanging="360"/>
      </w:pPr>
    </w:lvl>
    <w:lvl w:ilvl="5" w:tplc="28549558" w:tentative="1">
      <w:start w:val="1"/>
      <w:numFmt w:val="lowerRoman"/>
      <w:lvlText w:val="%6."/>
      <w:lvlJc w:val="right"/>
      <w:pPr>
        <w:ind w:left="5040" w:hanging="180"/>
      </w:pPr>
    </w:lvl>
    <w:lvl w:ilvl="6" w:tplc="FC8C4136" w:tentative="1">
      <w:start w:val="1"/>
      <w:numFmt w:val="decimal"/>
      <w:lvlText w:val="%7."/>
      <w:lvlJc w:val="left"/>
      <w:pPr>
        <w:ind w:left="5760" w:hanging="360"/>
      </w:pPr>
    </w:lvl>
    <w:lvl w:ilvl="7" w:tplc="1876B4C2" w:tentative="1">
      <w:start w:val="1"/>
      <w:numFmt w:val="lowerLetter"/>
      <w:lvlText w:val="%8."/>
      <w:lvlJc w:val="left"/>
      <w:pPr>
        <w:ind w:left="6480" w:hanging="360"/>
      </w:pPr>
    </w:lvl>
    <w:lvl w:ilvl="8" w:tplc="EFB47B16" w:tentative="1">
      <w:start w:val="1"/>
      <w:numFmt w:val="lowerRoman"/>
      <w:lvlText w:val="%9."/>
      <w:lvlJc w:val="right"/>
      <w:pPr>
        <w:ind w:left="7200" w:hanging="180"/>
      </w:pPr>
    </w:lvl>
  </w:abstractNum>
  <w:abstractNum w:abstractNumId="11"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B491BBC"/>
    <w:multiLevelType w:val="hybridMultilevel"/>
    <w:tmpl w:val="BD60B028"/>
    <w:lvl w:ilvl="0" w:tplc="900EF9C8">
      <w:start w:val="1"/>
      <w:numFmt w:val="hebrew1"/>
      <w:lvlText w:val="(%1)"/>
      <w:lvlJc w:val="left"/>
      <w:pPr>
        <w:ind w:left="1155" w:hanging="360"/>
      </w:pPr>
      <w:rPr>
        <w:rFonts w:hint="default"/>
      </w:rPr>
    </w:lvl>
    <w:lvl w:ilvl="1" w:tplc="324A9E7A" w:tentative="1">
      <w:start w:val="1"/>
      <w:numFmt w:val="lowerLetter"/>
      <w:lvlText w:val="%2."/>
      <w:lvlJc w:val="left"/>
      <w:pPr>
        <w:ind w:left="1875" w:hanging="360"/>
      </w:pPr>
    </w:lvl>
    <w:lvl w:ilvl="2" w:tplc="3446B6FE" w:tentative="1">
      <w:start w:val="1"/>
      <w:numFmt w:val="lowerRoman"/>
      <w:lvlText w:val="%3."/>
      <w:lvlJc w:val="right"/>
      <w:pPr>
        <w:ind w:left="2595" w:hanging="180"/>
      </w:pPr>
    </w:lvl>
    <w:lvl w:ilvl="3" w:tplc="E190F7AE" w:tentative="1">
      <w:start w:val="1"/>
      <w:numFmt w:val="decimal"/>
      <w:lvlText w:val="%4."/>
      <w:lvlJc w:val="left"/>
      <w:pPr>
        <w:ind w:left="3315" w:hanging="360"/>
      </w:pPr>
    </w:lvl>
    <w:lvl w:ilvl="4" w:tplc="80141746" w:tentative="1">
      <w:start w:val="1"/>
      <w:numFmt w:val="lowerLetter"/>
      <w:lvlText w:val="%5."/>
      <w:lvlJc w:val="left"/>
      <w:pPr>
        <w:ind w:left="4035" w:hanging="360"/>
      </w:pPr>
    </w:lvl>
    <w:lvl w:ilvl="5" w:tplc="43AEFFBC" w:tentative="1">
      <w:start w:val="1"/>
      <w:numFmt w:val="lowerRoman"/>
      <w:lvlText w:val="%6."/>
      <w:lvlJc w:val="right"/>
      <w:pPr>
        <w:ind w:left="4755" w:hanging="180"/>
      </w:pPr>
    </w:lvl>
    <w:lvl w:ilvl="6" w:tplc="5D3E9C78" w:tentative="1">
      <w:start w:val="1"/>
      <w:numFmt w:val="decimal"/>
      <w:lvlText w:val="%7."/>
      <w:lvlJc w:val="left"/>
      <w:pPr>
        <w:ind w:left="5475" w:hanging="360"/>
      </w:pPr>
    </w:lvl>
    <w:lvl w:ilvl="7" w:tplc="2CEE1FC6" w:tentative="1">
      <w:start w:val="1"/>
      <w:numFmt w:val="lowerLetter"/>
      <w:lvlText w:val="%8."/>
      <w:lvlJc w:val="left"/>
      <w:pPr>
        <w:ind w:left="6195" w:hanging="360"/>
      </w:pPr>
    </w:lvl>
    <w:lvl w:ilvl="8" w:tplc="32F2E250" w:tentative="1">
      <w:start w:val="1"/>
      <w:numFmt w:val="lowerRoman"/>
      <w:lvlText w:val="%9."/>
      <w:lvlJc w:val="right"/>
      <w:pPr>
        <w:ind w:left="6915" w:hanging="180"/>
      </w:pPr>
    </w:lvl>
  </w:abstractNum>
  <w:abstractNum w:abstractNumId="13" w15:restartNumberingAfterBreak="0">
    <w:nsid w:val="0E3700DD"/>
    <w:multiLevelType w:val="hybridMultilevel"/>
    <w:tmpl w:val="42761186"/>
    <w:lvl w:ilvl="0" w:tplc="F488C6B4">
      <w:start w:val="1"/>
      <w:numFmt w:val="hebrew1"/>
      <w:lvlText w:val="%1."/>
      <w:lvlJc w:val="left"/>
      <w:pPr>
        <w:ind w:left="720" w:hanging="360"/>
      </w:pPr>
      <w:rPr>
        <w:rFonts w:ascii="Century" w:eastAsia="Times New Roman" w:hAnsi="Century" w:cs="FrankRuehl"/>
      </w:rPr>
    </w:lvl>
    <w:lvl w:ilvl="1" w:tplc="7AF48822" w:tentative="1">
      <w:start w:val="1"/>
      <w:numFmt w:val="lowerLetter"/>
      <w:lvlText w:val="%2."/>
      <w:lvlJc w:val="left"/>
      <w:pPr>
        <w:ind w:left="1440" w:hanging="360"/>
      </w:pPr>
    </w:lvl>
    <w:lvl w:ilvl="2" w:tplc="2B722CDC" w:tentative="1">
      <w:start w:val="1"/>
      <w:numFmt w:val="lowerRoman"/>
      <w:lvlText w:val="%3."/>
      <w:lvlJc w:val="right"/>
      <w:pPr>
        <w:ind w:left="2160" w:hanging="180"/>
      </w:pPr>
    </w:lvl>
    <w:lvl w:ilvl="3" w:tplc="57527FE4" w:tentative="1">
      <w:start w:val="1"/>
      <w:numFmt w:val="decimal"/>
      <w:lvlText w:val="%4."/>
      <w:lvlJc w:val="left"/>
      <w:pPr>
        <w:ind w:left="2880" w:hanging="360"/>
      </w:pPr>
    </w:lvl>
    <w:lvl w:ilvl="4" w:tplc="D22A563E" w:tentative="1">
      <w:start w:val="1"/>
      <w:numFmt w:val="lowerLetter"/>
      <w:lvlText w:val="%5."/>
      <w:lvlJc w:val="left"/>
      <w:pPr>
        <w:ind w:left="3600" w:hanging="360"/>
      </w:pPr>
    </w:lvl>
    <w:lvl w:ilvl="5" w:tplc="14A8F66E" w:tentative="1">
      <w:start w:val="1"/>
      <w:numFmt w:val="lowerRoman"/>
      <w:lvlText w:val="%6."/>
      <w:lvlJc w:val="right"/>
      <w:pPr>
        <w:ind w:left="4320" w:hanging="180"/>
      </w:pPr>
    </w:lvl>
    <w:lvl w:ilvl="6" w:tplc="90103916" w:tentative="1">
      <w:start w:val="1"/>
      <w:numFmt w:val="decimal"/>
      <w:lvlText w:val="%7."/>
      <w:lvlJc w:val="left"/>
      <w:pPr>
        <w:ind w:left="5040" w:hanging="360"/>
      </w:pPr>
    </w:lvl>
    <w:lvl w:ilvl="7" w:tplc="574C951C" w:tentative="1">
      <w:start w:val="1"/>
      <w:numFmt w:val="lowerLetter"/>
      <w:lvlText w:val="%8."/>
      <w:lvlJc w:val="left"/>
      <w:pPr>
        <w:ind w:left="5760" w:hanging="360"/>
      </w:pPr>
    </w:lvl>
    <w:lvl w:ilvl="8" w:tplc="EA6E4398" w:tentative="1">
      <w:start w:val="1"/>
      <w:numFmt w:val="lowerRoman"/>
      <w:lvlText w:val="%9."/>
      <w:lvlJc w:val="right"/>
      <w:pPr>
        <w:ind w:left="6480" w:hanging="180"/>
      </w:pPr>
    </w:lvl>
  </w:abstractNum>
  <w:abstractNum w:abstractNumId="14" w15:restartNumberingAfterBreak="0">
    <w:nsid w:val="1585323C"/>
    <w:multiLevelType w:val="hybridMultilevel"/>
    <w:tmpl w:val="B4244ED8"/>
    <w:lvl w:ilvl="0" w:tplc="92E02906">
      <w:start w:val="1"/>
      <w:numFmt w:val="bullet"/>
      <w:lvlText w:val=""/>
      <w:lvlJc w:val="left"/>
      <w:pPr>
        <w:ind w:left="720" w:hanging="360"/>
      </w:pPr>
      <w:rPr>
        <w:rFonts w:ascii="Symbol" w:hAnsi="Symbol" w:hint="default"/>
      </w:rPr>
    </w:lvl>
    <w:lvl w:ilvl="1" w:tplc="40BE2D04" w:tentative="1">
      <w:start w:val="1"/>
      <w:numFmt w:val="bullet"/>
      <w:lvlText w:val="o"/>
      <w:lvlJc w:val="left"/>
      <w:pPr>
        <w:ind w:left="1440" w:hanging="360"/>
      </w:pPr>
      <w:rPr>
        <w:rFonts w:ascii="Courier New" w:hAnsi="Courier New" w:cs="Courier New" w:hint="default"/>
      </w:rPr>
    </w:lvl>
    <w:lvl w:ilvl="2" w:tplc="38B610C8" w:tentative="1">
      <w:start w:val="1"/>
      <w:numFmt w:val="bullet"/>
      <w:lvlText w:val=""/>
      <w:lvlJc w:val="left"/>
      <w:pPr>
        <w:ind w:left="2160" w:hanging="360"/>
      </w:pPr>
      <w:rPr>
        <w:rFonts w:ascii="Wingdings" w:hAnsi="Wingdings" w:hint="default"/>
      </w:rPr>
    </w:lvl>
    <w:lvl w:ilvl="3" w:tplc="4332474E" w:tentative="1">
      <w:start w:val="1"/>
      <w:numFmt w:val="bullet"/>
      <w:lvlText w:val=""/>
      <w:lvlJc w:val="left"/>
      <w:pPr>
        <w:ind w:left="2880" w:hanging="360"/>
      </w:pPr>
      <w:rPr>
        <w:rFonts w:ascii="Symbol" w:hAnsi="Symbol" w:hint="default"/>
      </w:rPr>
    </w:lvl>
    <w:lvl w:ilvl="4" w:tplc="C7EE8838" w:tentative="1">
      <w:start w:val="1"/>
      <w:numFmt w:val="bullet"/>
      <w:lvlText w:val="o"/>
      <w:lvlJc w:val="left"/>
      <w:pPr>
        <w:ind w:left="3600" w:hanging="360"/>
      </w:pPr>
      <w:rPr>
        <w:rFonts w:ascii="Courier New" w:hAnsi="Courier New" w:cs="Courier New" w:hint="default"/>
      </w:rPr>
    </w:lvl>
    <w:lvl w:ilvl="5" w:tplc="46907D88" w:tentative="1">
      <w:start w:val="1"/>
      <w:numFmt w:val="bullet"/>
      <w:lvlText w:val=""/>
      <w:lvlJc w:val="left"/>
      <w:pPr>
        <w:ind w:left="4320" w:hanging="360"/>
      </w:pPr>
      <w:rPr>
        <w:rFonts w:ascii="Wingdings" w:hAnsi="Wingdings" w:hint="default"/>
      </w:rPr>
    </w:lvl>
    <w:lvl w:ilvl="6" w:tplc="6870282A" w:tentative="1">
      <w:start w:val="1"/>
      <w:numFmt w:val="bullet"/>
      <w:lvlText w:val=""/>
      <w:lvlJc w:val="left"/>
      <w:pPr>
        <w:ind w:left="5040" w:hanging="360"/>
      </w:pPr>
      <w:rPr>
        <w:rFonts w:ascii="Symbol" w:hAnsi="Symbol" w:hint="default"/>
      </w:rPr>
    </w:lvl>
    <w:lvl w:ilvl="7" w:tplc="303A81F8" w:tentative="1">
      <w:start w:val="1"/>
      <w:numFmt w:val="bullet"/>
      <w:lvlText w:val="o"/>
      <w:lvlJc w:val="left"/>
      <w:pPr>
        <w:ind w:left="5760" w:hanging="360"/>
      </w:pPr>
      <w:rPr>
        <w:rFonts w:ascii="Courier New" w:hAnsi="Courier New" w:cs="Courier New" w:hint="default"/>
      </w:rPr>
    </w:lvl>
    <w:lvl w:ilvl="8" w:tplc="692E8C38" w:tentative="1">
      <w:start w:val="1"/>
      <w:numFmt w:val="bullet"/>
      <w:lvlText w:val=""/>
      <w:lvlJc w:val="left"/>
      <w:pPr>
        <w:ind w:left="6480" w:hanging="360"/>
      </w:pPr>
      <w:rPr>
        <w:rFonts w:ascii="Wingdings" w:hAnsi="Wingdings" w:hint="default"/>
      </w:rPr>
    </w:lvl>
  </w:abstractNum>
  <w:abstractNum w:abstractNumId="15" w15:restartNumberingAfterBreak="0">
    <w:nsid w:val="17B82BAF"/>
    <w:multiLevelType w:val="hybridMultilevel"/>
    <w:tmpl w:val="2C0C498E"/>
    <w:lvl w:ilvl="0" w:tplc="55AAD942">
      <w:start w:val="1"/>
      <w:numFmt w:val="hebrew1"/>
      <w:lvlText w:val="%1."/>
      <w:lvlJc w:val="left"/>
      <w:pPr>
        <w:ind w:left="2160" w:hanging="360"/>
      </w:pPr>
      <w:rPr>
        <w:rFonts w:hint="default"/>
      </w:rPr>
    </w:lvl>
    <w:lvl w:ilvl="1" w:tplc="5148AEDA" w:tentative="1">
      <w:start w:val="1"/>
      <w:numFmt w:val="lowerLetter"/>
      <w:lvlText w:val="%2."/>
      <w:lvlJc w:val="left"/>
      <w:pPr>
        <w:ind w:left="2880" w:hanging="360"/>
      </w:pPr>
    </w:lvl>
    <w:lvl w:ilvl="2" w:tplc="77463B06" w:tentative="1">
      <w:start w:val="1"/>
      <w:numFmt w:val="lowerRoman"/>
      <w:lvlText w:val="%3."/>
      <w:lvlJc w:val="right"/>
      <w:pPr>
        <w:ind w:left="3600" w:hanging="180"/>
      </w:pPr>
    </w:lvl>
    <w:lvl w:ilvl="3" w:tplc="BE44B930" w:tentative="1">
      <w:start w:val="1"/>
      <w:numFmt w:val="decimal"/>
      <w:lvlText w:val="%4."/>
      <w:lvlJc w:val="left"/>
      <w:pPr>
        <w:ind w:left="4320" w:hanging="360"/>
      </w:pPr>
    </w:lvl>
    <w:lvl w:ilvl="4" w:tplc="09CAEE6E" w:tentative="1">
      <w:start w:val="1"/>
      <w:numFmt w:val="lowerLetter"/>
      <w:lvlText w:val="%5."/>
      <w:lvlJc w:val="left"/>
      <w:pPr>
        <w:ind w:left="5040" w:hanging="360"/>
      </w:pPr>
    </w:lvl>
    <w:lvl w:ilvl="5" w:tplc="925E9AC0" w:tentative="1">
      <w:start w:val="1"/>
      <w:numFmt w:val="lowerRoman"/>
      <w:lvlText w:val="%6."/>
      <w:lvlJc w:val="right"/>
      <w:pPr>
        <w:ind w:left="5760" w:hanging="180"/>
      </w:pPr>
    </w:lvl>
    <w:lvl w:ilvl="6" w:tplc="53C645E0" w:tentative="1">
      <w:start w:val="1"/>
      <w:numFmt w:val="decimal"/>
      <w:lvlText w:val="%7."/>
      <w:lvlJc w:val="left"/>
      <w:pPr>
        <w:ind w:left="6480" w:hanging="360"/>
      </w:pPr>
    </w:lvl>
    <w:lvl w:ilvl="7" w:tplc="01765FD6" w:tentative="1">
      <w:start w:val="1"/>
      <w:numFmt w:val="lowerLetter"/>
      <w:lvlText w:val="%8."/>
      <w:lvlJc w:val="left"/>
      <w:pPr>
        <w:ind w:left="7200" w:hanging="360"/>
      </w:pPr>
    </w:lvl>
    <w:lvl w:ilvl="8" w:tplc="03F64528" w:tentative="1">
      <w:start w:val="1"/>
      <w:numFmt w:val="lowerRoman"/>
      <w:lvlText w:val="%9."/>
      <w:lvlJc w:val="right"/>
      <w:pPr>
        <w:ind w:left="7920" w:hanging="180"/>
      </w:pPr>
    </w:lvl>
  </w:abstractNum>
  <w:abstractNum w:abstractNumId="16" w15:restartNumberingAfterBreak="0">
    <w:nsid w:val="223E4F87"/>
    <w:multiLevelType w:val="hybridMultilevel"/>
    <w:tmpl w:val="EBB8928C"/>
    <w:lvl w:ilvl="0" w:tplc="94D091E4">
      <w:start w:val="1"/>
      <w:numFmt w:val="hebrew1"/>
      <w:lvlText w:val="(%1)"/>
      <w:lvlJc w:val="left"/>
      <w:pPr>
        <w:ind w:left="1155" w:hanging="360"/>
      </w:pPr>
      <w:rPr>
        <w:rFonts w:hint="default"/>
        <w:sz w:val="24"/>
      </w:rPr>
    </w:lvl>
    <w:lvl w:ilvl="1" w:tplc="3A24FC34" w:tentative="1">
      <w:start w:val="1"/>
      <w:numFmt w:val="lowerLetter"/>
      <w:lvlText w:val="%2."/>
      <w:lvlJc w:val="left"/>
      <w:pPr>
        <w:ind w:left="1875" w:hanging="360"/>
      </w:pPr>
    </w:lvl>
    <w:lvl w:ilvl="2" w:tplc="E7542BB0" w:tentative="1">
      <w:start w:val="1"/>
      <w:numFmt w:val="lowerRoman"/>
      <w:lvlText w:val="%3."/>
      <w:lvlJc w:val="right"/>
      <w:pPr>
        <w:ind w:left="2595" w:hanging="180"/>
      </w:pPr>
    </w:lvl>
    <w:lvl w:ilvl="3" w:tplc="73CE2F76" w:tentative="1">
      <w:start w:val="1"/>
      <w:numFmt w:val="decimal"/>
      <w:lvlText w:val="%4."/>
      <w:lvlJc w:val="left"/>
      <w:pPr>
        <w:ind w:left="3315" w:hanging="360"/>
      </w:pPr>
    </w:lvl>
    <w:lvl w:ilvl="4" w:tplc="250A7BBC" w:tentative="1">
      <w:start w:val="1"/>
      <w:numFmt w:val="lowerLetter"/>
      <w:lvlText w:val="%5."/>
      <w:lvlJc w:val="left"/>
      <w:pPr>
        <w:ind w:left="4035" w:hanging="360"/>
      </w:pPr>
    </w:lvl>
    <w:lvl w:ilvl="5" w:tplc="45DA1708" w:tentative="1">
      <w:start w:val="1"/>
      <w:numFmt w:val="lowerRoman"/>
      <w:lvlText w:val="%6."/>
      <w:lvlJc w:val="right"/>
      <w:pPr>
        <w:ind w:left="4755" w:hanging="180"/>
      </w:pPr>
    </w:lvl>
    <w:lvl w:ilvl="6" w:tplc="E6D2C85E" w:tentative="1">
      <w:start w:val="1"/>
      <w:numFmt w:val="decimal"/>
      <w:lvlText w:val="%7."/>
      <w:lvlJc w:val="left"/>
      <w:pPr>
        <w:ind w:left="5475" w:hanging="360"/>
      </w:pPr>
    </w:lvl>
    <w:lvl w:ilvl="7" w:tplc="4EAE02B2" w:tentative="1">
      <w:start w:val="1"/>
      <w:numFmt w:val="lowerLetter"/>
      <w:lvlText w:val="%8."/>
      <w:lvlJc w:val="left"/>
      <w:pPr>
        <w:ind w:left="6195" w:hanging="360"/>
      </w:pPr>
    </w:lvl>
    <w:lvl w:ilvl="8" w:tplc="C1B027B6" w:tentative="1">
      <w:start w:val="1"/>
      <w:numFmt w:val="lowerRoman"/>
      <w:lvlText w:val="%9."/>
      <w:lvlJc w:val="right"/>
      <w:pPr>
        <w:ind w:left="6915" w:hanging="180"/>
      </w:pPr>
    </w:lvl>
  </w:abstractNum>
  <w:abstractNum w:abstractNumId="17" w15:restartNumberingAfterBreak="0">
    <w:nsid w:val="2A2210D8"/>
    <w:multiLevelType w:val="hybridMultilevel"/>
    <w:tmpl w:val="4C92D3F2"/>
    <w:lvl w:ilvl="0" w:tplc="C2107498">
      <w:start w:val="1"/>
      <w:numFmt w:val="hebrew1"/>
      <w:lvlText w:val="(%1)"/>
      <w:lvlJc w:val="left"/>
      <w:pPr>
        <w:ind w:left="720" w:hanging="360"/>
      </w:pPr>
      <w:rPr>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A885497"/>
    <w:multiLevelType w:val="hybridMultilevel"/>
    <w:tmpl w:val="00341236"/>
    <w:lvl w:ilvl="0" w:tplc="74404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C13C23"/>
    <w:multiLevelType w:val="hybridMultilevel"/>
    <w:tmpl w:val="342AB226"/>
    <w:lvl w:ilvl="0" w:tplc="340E5A84">
      <w:start w:val="1"/>
      <w:numFmt w:val="hebrew1"/>
      <w:lvlText w:val="%1."/>
      <w:lvlJc w:val="left"/>
      <w:pPr>
        <w:ind w:left="1080" w:hanging="360"/>
      </w:pPr>
      <w:rPr>
        <w:rFonts w:hint="default"/>
      </w:rPr>
    </w:lvl>
    <w:lvl w:ilvl="1" w:tplc="E4C03F6E" w:tentative="1">
      <w:start w:val="1"/>
      <w:numFmt w:val="lowerLetter"/>
      <w:lvlText w:val="%2."/>
      <w:lvlJc w:val="left"/>
      <w:pPr>
        <w:ind w:left="1800" w:hanging="360"/>
      </w:pPr>
    </w:lvl>
    <w:lvl w:ilvl="2" w:tplc="D47E8BC2" w:tentative="1">
      <w:start w:val="1"/>
      <w:numFmt w:val="lowerRoman"/>
      <w:lvlText w:val="%3."/>
      <w:lvlJc w:val="right"/>
      <w:pPr>
        <w:ind w:left="2520" w:hanging="180"/>
      </w:pPr>
    </w:lvl>
    <w:lvl w:ilvl="3" w:tplc="13866F30" w:tentative="1">
      <w:start w:val="1"/>
      <w:numFmt w:val="decimal"/>
      <w:lvlText w:val="%4."/>
      <w:lvlJc w:val="left"/>
      <w:pPr>
        <w:ind w:left="3240" w:hanging="360"/>
      </w:pPr>
    </w:lvl>
    <w:lvl w:ilvl="4" w:tplc="FA4843DA" w:tentative="1">
      <w:start w:val="1"/>
      <w:numFmt w:val="lowerLetter"/>
      <w:lvlText w:val="%5."/>
      <w:lvlJc w:val="left"/>
      <w:pPr>
        <w:ind w:left="3960" w:hanging="360"/>
      </w:pPr>
    </w:lvl>
    <w:lvl w:ilvl="5" w:tplc="57E0C6A0" w:tentative="1">
      <w:start w:val="1"/>
      <w:numFmt w:val="lowerRoman"/>
      <w:lvlText w:val="%6."/>
      <w:lvlJc w:val="right"/>
      <w:pPr>
        <w:ind w:left="4680" w:hanging="180"/>
      </w:pPr>
    </w:lvl>
    <w:lvl w:ilvl="6" w:tplc="889E89AE" w:tentative="1">
      <w:start w:val="1"/>
      <w:numFmt w:val="decimal"/>
      <w:lvlText w:val="%7."/>
      <w:lvlJc w:val="left"/>
      <w:pPr>
        <w:ind w:left="5400" w:hanging="360"/>
      </w:pPr>
    </w:lvl>
    <w:lvl w:ilvl="7" w:tplc="50460176" w:tentative="1">
      <w:start w:val="1"/>
      <w:numFmt w:val="lowerLetter"/>
      <w:lvlText w:val="%8."/>
      <w:lvlJc w:val="left"/>
      <w:pPr>
        <w:ind w:left="6120" w:hanging="360"/>
      </w:pPr>
    </w:lvl>
    <w:lvl w:ilvl="8" w:tplc="7328551E" w:tentative="1">
      <w:start w:val="1"/>
      <w:numFmt w:val="lowerRoman"/>
      <w:lvlText w:val="%9."/>
      <w:lvlJc w:val="right"/>
      <w:pPr>
        <w:ind w:left="6840" w:hanging="180"/>
      </w:pPr>
    </w:lvl>
  </w:abstractNum>
  <w:abstractNum w:abstractNumId="20" w15:restartNumberingAfterBreak="0">
    <w:nsid w:val="344F0416"/>
    <w:multiLevelType w:val="hybridMultilevel"/>
    <w:tmpl w:val="723A90DC"/>
    <w:lvl w:ilvl="0" w:tplc="237CB374">
      <w:start w:val="1"/>
      <w:numFmt w:val="decimal"/>
      <w:lvlText w:val="%1."/>
      <w:lvlJc w:val="left"/>
      <w:pPr>
        <w:ind w:left="720" w:hanging="360"/>
      </w:pPr>
      <w:rPr>
        <w:rFonts w:ascii="Arial TUR" w:eastAsia="Times New Roman" w:hAnsi="Arial TUR" w:cs="FrankRuehl"/>
      </w:rPr>
    </w:lvl>
    <w:lvl w:ilvl="1" w:tplc="1390D6FA" w:tentative="1">
      <w:start w:val="1"/>
      <w:numFmt w:val="bullet"/>
      <w:lvlText w:val="o"/>
      <w:lvlJc w:val="left"/>
      <w:pPr>
        <w:ind w:left="1440" w:hanging="360"/>
      </w:pPr>
      <w:rPr>
        <w:rFonts w:ascii="Courier New" w:hAnsi="Courier New" w:cs="Courier New" w:hint="default"/>
      </w:rPr>
    </w:lvl>
    <w:lvl w:ilvl="2" w:tplc="CE88F68E" w:tentative="1">
      <w:start w:val="1"/>
      <w:numFmt w:val="bullet"/>
      <w:lvlText w:val=""/>
      <w:lvlJc w:val="left"/>
      <w:pPr>
        <w:ind w:left="2160" w:hanging="360"/>
      </w:pPr>
      <w:rPr>
        <w:rFonts w:ascii="Wingdings" w:hAnsi="Wingdings" w:hint="default"/>
      </w:rPr>
    </w:lvl>
    <w:lvl w:ilvl="3" w:tplc="5F4422D0" w:tentative="1">
      <w:start w:val="1"/>
      <w:numFmt w:val="bullet"/>
      <w:lvlText w:val=""/>
      <w:lvlJc w:val="left"/>
      <w:pPr>
        <w:ind w:left="2880" w:hanging="360"/>
      </w:pPr>
      <w:rPr>
        <w:rFonts w:ascii="Symbol" w:hAnsi="Symbol" w:hint="default"/>
      </w:rPr>
    </w:lvl>
    <w:lvl w:ilvl="4" w:tplc="CE4A9E30" w:tentative="1">
      <w:start w:val="1"/>
      <w:numFmt w:val="bullet"/>
      <w:lvlText w:val="o"/>
      <w:lvlJc w:val="left"/>
      <w:pPr>
        <w:ind w:left="3600" w:hanging="360"/>
      </w:pPr>
      <w:rPr>
        <w:rFonts w:ascii="Courier New" w:hAnsi="Courier New" w:cs="Courier New" w:hint="default"/>
      </w:rPr>
    </w:lvl>
    <w:lvl w:ilvl="5" w:tplc="02BE79FE" w:tentative="1">
      <w:start w:val="1"/>
      <w:numFmt w:val="bullet"/>
      <w:lvlText w:val=""/>
      <w:lvlJc w:val="left"/>
      <w:pPr>
        <w:ind w:left="4320" w:hanging="360"/>
      </w:pPr>
      <w:rPr>
        <w:rFonts w:ascii="Wingdings" w:hAnsi="Wingdings" w:hint="default"/>
      </w:rPr>
    </w:lvl>
    <w:lvl w:ilvl="6" w:tplc="67E400AC" w:tentative="1">
      <w:start w:val="1"/>
      <w:numFmt w:val="bullet"/>
      <w:lvlText w:val=""/>
      <w:lvlJc w:val="left"/>
      <w:pPr>
        <w:ind w:left="5040" w:hanging="360"/>
      </w:pPr>
      <w:rPr>
        <w:rFonts w:ascii="Symbol" w:hAnsi="Symbol" w:hint="default"/>
      </w:rPr>
    </w:lvl>
    <w:lvl w:ilvl="7" w:tplc="3FB21512" w:tentative="1">
      <w:start w:val="1"/>
      <w:numFmt w:val="bullet"/>
      <w:lvlText w:val="o"/>
      <w:lvlJc w:val="left"/>
      <w:pPr>
        <w:ind w:left="5760" w:hanging="360"/>
      </w:pPr>
      <w:rPr>
        <w:rFonts w:ascii="Courier New" w:hAnsi="Courier New" w:cs="Courier New" w:hint="default"/>
      </w:rPr>
    </w:lvl>
    <w:lvl w:ilvl="8" w:tplc="C5668C88" w:tentative="1">
      <w:start w:val="1"/>
      <w:numFmt w:val="bullet"/>
      <w:lvlText w:val=""/>
      <w:lvlJc w:val="left"/>
      <w:pPr>
        <w:ind w:left="6480" w:hanging="360"/>
      </w:pPr>
      <w:rPr>
        <w:rFonts w:ascii="Wingdings" w:hAnsi="Wingdings" w:hint="default"/>
      </w:rPr>
    </w:lvl>
  </w:abstractNum>
  <w:abstractNum w:abstractNumId="21" w15:restartNumberingAfterBreak="0">
    <w:nsid w:val="37C835CE"/>
    <w:multiLevelType w:val="hybridMultilevel"/>
    <w:tmpl w:val="1BFCF552"/>
    <w:lvl w:ilvl="0" w:tplc="F710E6D4">
      <w:start w:val="1"/>
      <w:numFmt w:val="decimal"/>
      <w:lvlText w:val="%1."/>
      <w:lvlJc w:val="left"/>
      <w:pPr>
        <w:ind w:left="720" w:hanging="360"/>
      </w:pPr>
      <w:rPr>
        <w:rFonts w:hint="default"/>
      </w:rPr>
    </w:lvl>
    <w:lvl w:ilvl="1" w:tplc="DD56C4DA" w:tentative="1">
      <w:start w:val="1"/>
      <w:numFmt w:val="lowerLetter"/>
      <w:lvlText w:val="%2."/>
      <w:lvlJc w:val="left"/>
      <w:pPr>
        <w:ind w:left="1440" w:hanging="360"/>
      </w:pPr>
    </w:lvl>
    <w:lvl w:ilvl="2" w:tplc="6EDEBF3E" w:tentative="1">
      <w:start w:val="1"/>
      <w:numFmt w:val="lowerRoman"/>
      <w:lvlText w:val="%3."/>
      <w:lvlJc w:val="right"/>
      <w:pPr>
        <w:ind w:left="2160" w:hanging="180"/>
      </w:pPr>
    </w:lvl>
    <w:lvl w:ilvl="3" w:tplc="482E87EA" w:tentative="1">
      <w:start w:val="1"/>
      <w:numFmt w:val="decimal"/>
      <w:lvlText w:val="%4."/>
      <w:lvlJc w:val="left"/>
      <w:pPr>
        <w:ind w:left="2880" w:hanging="360"/>
      </w:pPr>
    </w:lvl>
    <w:lvl w:ilvl="4" w:tplc="C6EA7C94" w:tentative="1">
      <w:start w:val="1"/>
      <w:numFmt w:val="lowerLetter"/>
      <w:lvlText w:val="%5."/>
      <w:lvlJc w:val="left"/>
      <w:pPr>
        <w:ind w:left="3600" w:hanging="360"/>
      </w:pPr>
    </w:lvl>
    <w:lvl w:ilvl="5" w:tplc="C804DF18" w:tentative="1">
      <w:start w:val="1"/>
      <w:numFmt w:val="lowerRoman"/>
      <w:lvlText w:val="%6."/>
      <w:lvlJc w:val="right"/>
      <w:pPr>
        <w:ind w:left="4320" w:hanging="180"/>
      </w:pPr>
    </w:lvl>
    <w:lvl w:ilvl="6" w:tplc="2864015A" w:tentative="1">
      <w:start w:val="1"/>
      <w:numFmt w:val="decimal"/>
      <w:lvlText w:val="%7."/>
      <w:lvlJc w:val="left"/>
      <w:pPr>
        <w:ind w:left="5040" w:hanging="360"/>
      </w:pPr>
    </w:lvl>
    <w:lvl w:ilvl="7" w:tplc="240435D4" w:tentative="1">
      <w:start w:val="1"/>
      <w:numFmt w:val="lowerLetter"/>
      <w:lvlText w:val="%8."/>
      <w:lvlJc w:val="left"/>
      <w:pPr>
        <w:ind w:left="5760" w:hanging="360"/>
      </w:pPr>
    </w:lvl>
    <w:lvl w:ilvl="8" w:tplc="89B09134" w:tentative="1">
      <w:start w:val="1"/>
      <w:numFmt w:val="lowerRoman"/>
      <w:lvlText w:val="%9."/>
      <w:lvlJc w:val="right"/>
      <w:pPr>
        <w:ind w:left="6480" w:hanging="180"/>
      </w:pPr>
    </w:lvl>
  </w:abstractNum>
  <w:abstractNum w:abstractNumId="22" w15:restartNumberingAfterBreak="0">
    <w:nsid w:val="42FC0EC8"/>
    <w:multiLevelType w:val="hybridMultilevel"/>
    <w:tmpl w:val="91F60436"/>
    <w:lvl w:ilvl="0" w:tplc="D49E34AC">
      <w:start w:val="1"/>
      <w:numFmt w:val="decimal"/>
      <w:lvlText w:val="%1."/>
      <w:lvlJc w:val="left"/>
      <w:pPr>
        <w:ind w:left="1440" w:hanging="360"/>
      </w:pPr>
      <w:rPr>
        <w:rFonts w:hint="default"/>
      </w:rPr>
    </w:lvl>
    <w:lvl w:ilvl="1" w:tplc="1A4E8CCE" w:tentative="1">
      <w:start w:val="1"/>
      <w:numFmt w:val="lowerLetter"/>
      <w:lvlText w:val="%2."/>
      <w:lvlJc w:val="left"/>
      <w:pPr>
        <w:ind w:left="2160" w:hanging="360"/>
      </w:pPr>
    </w:lvl>
    <w:lvl w:ilvl="2" w:tplc="49A6D684" w:tentative="1">
      <w:start w:val="1"/>
      <w:numFmt w:val="lowerRoman"/>
      <w:lvlText w:val="%3."/>
      <w:lvlJc w:val="right"/>
      <w:pPr>
        <w:ind w:left="2880" w:hanging="180"/>
      </w:pPr>
    </w:lvl>
    <w:lvl w:ilvl="3" w:tplc="40DE070C" w:tentative="1">
      <w:start w:val="1"/>
      <w:numFmt w:val="decimal"/>
      <w:lvlText w:val="%4."/>
      <w:lvlJc w:val="left"/>
      <w:pPr>
        <w:ind w:left="3600" w:hanging="360"/>
      </w:pPr>
    </w:lvl>
    <w:lvl w:ilvl="4" w:tplc="CEC0243C" w:tentative="1">
      <w:start w:val="1"/>
      <w:numFmt w:val="lowerLetter"/>
      <w:lvlText w:val="%5."/>
      <w:lvlJc w:val="left"/>
      <w:pPr>
        <w:ind w:left="4320" w:hanging="360"/>
      </w:pPr>
    </w:lvl>
    <w:lvl w:ilvl="5" w:tplc="5A701672" w:tentative="1">
      <w:start w:val="1"/>
      <w:numFmt w:val="lowerRoman"/>
      <w:lvlText w:val="%6."/>
      <w:lvlJc w:val="right"/>
      <w:pPr>
        <w:ind w:left="5040" w:hanging="180"/>
      </w:pPr>
    </w:lvl>
    <w:lvl w:ilvl="6" w:tplc="8FA40084" w:tentative="1">
      <w:start w:val="1"/>
      <w:numFmt w:val="decimal"/>
      <w:lvlText w:val="%7."/>
      <w:lvlJc w:val="left"/>
      <w:pPr>
        <w:ind w:left="5760" w:hanging="360"/>
      </w:pPr>
    </w:lvl>
    <w:lvl w:ilvl="7" w:tplc="320EBC5E" w:tentative="1">
      <w:start w:val="1"/>
      <w:numFmt w:val="lowerLetter"/>
      <w:lvlText w:val="%8."/>
      <w:lvlJc w:val="left"/>
      <w:pPr>
        <w:ind w:left="6480" w:hanging="360"/>
      </w:pPr>
    </w:lvl>
    <w:lvl w:ilvl="8" w:tplc="D1EAAA18" w:tentative="1">
      <w:start w:val="1"/>
      <w:numFmt w:val="lowerRoman"/>
      <w:lvlText w:val="%9."/>
      <w:lvlJc w:val="right"/>
      <w:pPr>
        <w:ind w:left="7200" w:hanging="180"/>
      </w:pPr>
    </w:lvl>
  </w:abstractNum>
  <w:abstractNum w:abstractNumId="23" w15:restartNumberingAfterBreak="0">
    <w:nsid w:val="496851DB"/>
    <w:multiLevelType w:val="hybridMultilevel"/>
    <w:tmpl w:val="3568203C"/>
    <w:lvl w:ilvl="0" w:tplc="32822216">
      <w:start w:val="1"/>
      <w:numFmt w:val="decimal"/>
      <w:lvlText w:val="%1."/>
      <w:lvlJc w:val="left"/>
      <w:pPr>
        <w:ind w:left="720" w:hanging="360"/>
      </w:pPr>
      <w:rPr>
        <w:rFonts w:hint="default"/>
      </w:rPr>
    </w:lvl>
    <w:lvl w:ilvl="1" w:tplc="0D98CC28" w:tentative="1">
      <w:start w:val="1"/>
      <w:numFmt w:val="lowerLetter"/>
      <w:lvlText w:val="%2."/>
      <w:lvlJc w:val="left"/>
      <w:pPr>
        <w:ind w:left="1440" w:hanging="360"/>
      </w:pPr>
    </w:lvl>
    <w:lvl w:ilvl="2" w:tplc="C10A1048" w:tentative="1">
      <w:start w:val="1"/>
      <w:numFmt w:val="lowerRoman"/>
      <w:lvlText w:val="%3."/>
      <w:lvlJc w:val="right"/>
      <w:pPr>
        <w:ind w:left="2160" w:hanging="180"/>
      </w:pPr>
    </w:lvl>
    <w:lvl w:ilvl="3" w:tplc="FEDE4AB2" w:tentative="1">
      <w:start w:val="1"/>
      <w:numFmt w:val="decimal"/>
      <w:lvlText w:val="%4."/>
      <w:lvlJc w:val="left"/>
      <w:pPr>
        <w:ind w:left="2880" w:hanging="360"/>
      </w:pPr>
    </w:lvl>
    <w:lvl w:ilvl="4" w:tplc="0F4E7906" w:tentative="1">
      <w:start w:val="1"/>
      <w:numFmt w:val="lowerLetter"/>
      <w:lvlText w:val="%5."/>
      <w:lvlJc w:val="left"/>
      <w:pPr>
        <w:ind w:left="3600" w:hanging="360"/>
      </w:pPr>
    </w:lvl>
    <w:lvl w:ilvl="5" w:tplc="458677AC" w:tentative="1">
      <w:start w:val="1"/>
      <w:numFmt w:val="lowerRoman"/>
      <w:lvlText w:val="%6."/>
      <w:lvlJc w:val="right"/>
      <w:pPr>
        <w:ind w:left="4320" w:hanging="180"/>
      </w:pPr>
    </w:lvl>
    <w:lvl w:ilvl="6" w:tplc="5E4E4AD8" w:tentative="1">
      <w:start w:val="1"/>
      <w:numFmt w:val="decimal"/>
      <w:lvlText w:val="%7."/>
      <w:lvlJc w:val="left"/>
      <w:pPr>
        <w:ind w:left="5040" w:hanging="360"/>
      </w:pPr>
    </w:lvl>
    <w:lvl w:ilvl="7" w:tplc="D0CCA1AA" w:tentative="1">
      <w:start w:val="1"/>
      <w:numFmt w:val="lowerLetter"/>
      <w:lvlText w:val="%8."/>
      <w:lvlJc w:val="left"/>
      <w:pPr>
        <w:ind w:left="5760" w:hanging="360"/>
      </w:pPr>
    </w:lvl>
    <w:lvl w:ilvl="8" w:tplc="883025E0" w:tentative="1">
      <w:start w:val="1"/>
      <w:numFmt w:val="lowerRoman"/>
      <w:lvlText w:val="%9."/>
      <w:lvlJc w:val="right"/>
      <w:pPr>
        <w:ind w:left="6480" w:hanging="180"/>
      </w:pPr>
    </w:lvl>
  </w:abstractNum>
  <w:abstractNum w:abstractNumId="24" w15:restartNumberingAfterBreak="0">
    <w:nsid w:val="4BEC6162"/>
    <w:multiLevelType w:val="hybridMultilevel"/>
    <w:tmpl w:val="C4C0828E"/>
    <w:lvl w:ilvl="0" w:tplc="CD50EF08">
      <w:numFmt w:val="bullet"/>
      <w:lvlText w:val="-"/>
      <w:lvlJc w:val="left"/>
      <w:pPr>
        <w:ind w:left="720" w:hanging="360"/>
      </w:pPr>
      <w:rPr>
        <w:rFonts w:ascii="FrankRuehl" w:eastAsia="Times New Roman" w:hAnsi="FrankRuehl" w:cs="FrankRuehl" w:hint="default"/>
        <w:sz w:val="28"/>
      </w:rPr>
    </w:lvl>
    <w:lvl w:ilvl="1" w:tplc="C46E5670" w:tentative="1">
      <w:start w:val="1"/>
      <w:numFmt w:val="bullet"/>
      <w:lvlText w:val="o"/>
      <w:lvlJc w:val="left"/>
      <w:pPr>
        <w:ind w:left="1440" w:hanging="360"/>
      </w:pPr>
      <w:rPr>
        <w:rFonts w:ascii="Courier New" w:hAnsi="Courier New" w:cs="Courier New" w:hint="default"/>
      </w:rPr>
    </w:lvl>
    <w:lvl w:ilvl="2" w:tplc="93722182" w:tentative="1">
      <w:start w:val="1"/>
      <w:numFmt w:val="bullet"/>
      <w:lvlText w:val=""/>
      <w:lvlJc w:val="left"/>
      <w:pPr>
        <w:ind w:left="2160" w:hanging="360"/>
      </w:pPr>
      <w:rPr>
        <w:rFonts w:ascii="Wingdings" w:hAnsi="Wingdings" w:hint="default"/>
      </w:rPr>
    </w:lvl>
    <w:lvl w:ilvl="3" w:tplc="D4C088A2" w:tentative="1">
      <w:start w:val="1"/>
      <w:numFmt w:val="bullet"/>
      <w:lvlText w:val=""/>
      <w:lvlJc w:val="left"/>
      <w:pPr>
        <w:ind w:left="2880" w:hanging="360"/>
      </w:pPr>
      <w:rPr>
        <w:rFonts w:ascii="Symbol" w:hAnsi="Symbol" w:hint="default"/>
      </w:rPr>
    </w:lvl>
    <w:lvl w:ilvl="4" w:tplc="2F0E730E" w:tentative="1">
      <w:start w:val="1"/>
      <w:numFmt w:val="bullet"/>
      <w:lvlText w:val="o"/>
      <w:lvlJc w:val="left"/>
      <w:pPr>
        <w:ind w:left="3600" w:hanging="360"/>
      </w:pPr>
      <w:rPr>
        <w:rFonts w:ascii="Courier New" w:hAnsi="Courier New" w:cs="Courier New" w:hint="default"/>
      </w:rPr>
    </w:lvl>
    <w:lvl w:ilvl="5" w:tplc="5302D59C" w:tentative="1">
      <w:start w:val="1"/>
      <w:numFmt w:val="bullet"/>
      <w:lvlText w:val=""/>
      <w:lvlJc w:val="left"/>
      <w:pPr>
        <w:ind w:left="4320" w:hanging="360"/>
      </w:pPr>
      <w:rPr>
        <w:rFonts w:ascii="Wingdings" w:hAnsi="Wingdings" w:hint="default"/>
      </w:rPr>
    </w:lvl>
    <w:lvl w:ilvl="6" w:tplc="4E6AA33C" w:tentative="1">
      <w:start w:val="1"/>
      <w:numFmt w:val="bullet"/>
      <w:lvlText w:val=""/>
      <w:lvlJc w:val="left"/>
      <w:pPr>
        <w:ind w:left="5040" w:hanging="360"/>
      </w:pPr>
      <w:rPr>
        <w:rFonts w:ascii="Symbol" w:hAnsi="Symbol" w:hint="default"/>
      </w:rPr>
    </w:lvl>
    <w:lvl w:ilvl="7" w:tplc="CC0EC152" w:tentative="1">
      <w:start w:val="1"/>
      <w:numFmt w:val="bullet"/>
      <w:lvlText w:val="o"/>
      <w:lvlJc w:val="left"/>
      <w:pPr>
        <w:ind w:left="5760" w:hanging="360"/>
      </w:pPr>
      <w:rPr>
        <w:rFonts w:ascii="Courier New" w:hAnsi="Courier New" w:cs="Courier New" w:hint="default"/>
      </w:rPr>
    </w:lvl>
    <w:lvl w:ilvl="8" w:tplc="DBFAC97A" w:tentative="1">
      <w:start w:val="1"/>
      <w:numFmt w:val="bullet"/>
      <w:lvlText w:val=""/>
      <w:lvlJc w:val="left"/>
      <w:pPr>
        <w:ind w:left="6480" w:hanging="360"/>
      </w:pPr>
      <w:rPr>
        <w:rFonts w:ascii="Wingdings" w:hAnsi="Wingdings" w:hint="default"/>
      </w:rPr>
    </w:lvl>
  </w:abstractNum>
  <w:abstractNum w:abstractNumId="25" w15:restartNumberingAfterBreak="0">
    <w:nsid w:val="4D9B0587"/>
    <w:multiLevelType w:val="hybridMultilevel"/>
    <w:tmpl w:val="FCBA0914"/>
    <w:lvl w:ilvl="0" w:tplc="83A6E8F8">
      <w:start w:val="1"/>
      <w:numFmt w:val="hebrew1"/>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6"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797545"/>
    <w:multiLevelType w:val="hybridMultilevel"/>
    <w:tmpl w:val="5DCCBC3A"/>
    <w:lvl w:ilvl="0" w:tplc="F782DB5C">
      <w:start w:val="1"/>
      <w:numFmt w:val="decimal"/>
      <w:lvlText w:val="%1."/>
      <w:lvlJc w:val="left"/>
      <w:pPr>
        <w:ind w:left="1440" w:hanging="360"/>
      </w:pPr>
      <w:rPr>
        <w:rFonts w:hint="default"/>
        <w:sz w:val="28"/>
      </w:rPr>
    </w:lvl>
    <w:lvl w:ilvl="1" w:tplc="EC4831E2" w:tentative="1">
      <w:start w:val="1"/>
      <w:numFmt w:val="lowerLetter"/>
      <w:lvlText w:val="%2."/>
      <w:lvlJc w:val="left"/>
      <w:pPr>
        <w:ind w:left="2160" w:hanging="360"/>
      </w:pPr>
    </w:lvl>
    <w:lvl w:ilvl="2" w:tplc="F802E8A8" w:tentative="1">
      <w:start w:val="1"/>
      <w:numFmt w:val="lowerRoman"/>
      <w:lvlText w:val="%3."/>
      <w:lvlJc w:val="right"/>
      <w:pPr>
        <w:ind w:left="2880" w:hanging="180"/>
      </w:pPr>
    </w:lvl>
    <w:lvl w:ilvl="3" w:tplc="2C24E1AA" w:tentative="1">
      <w:start w:val="1"/>
      <w:numFmt w:val="decimal"/>
      <w:lvlText w:val="%4."/>
      <w:lvlJc w:val="left"/>
      <w:pPr>
        <w:ind w:left="3600" w:hanging="360"/>
      </w:pPr>
    </w:lvl>
    <w:lvl w:ilvl="4" w:tplc="BF78EA3C" w:tentative="1">
      <w:start w:val="1"/>
      <w:numFmt w:val="lowerLetter"/>
      <w:lvlText w:val="%5."/>
      <w:lvlJc w:val="left"/>
      <w:pPr>
        <w:ind w:left="4320" w:hanging="360"/>
      </w:pPr>
    </w:lvl>
    <w:lvl w:ilvl="5" w:tplc="B3AEB8B0" w:tentative="1">
      <w:start w:val="1"/>
      <w:numFmt w:val="lowerRoman"/>
      <w:lvlText w:val="%6."/>
      <w:lvlJc w:val="right"/>
      <w:pPr>
        <w:ind w:left="5040" w:hanging="180"/>
      </w:pPr>
    </w:lvl>
    <w:lvl w:ilvl="6" w:tplc="B07613F8" w:tentative="1">
      <w:start w:val="1"/>
      <w:numFmt w:val="decimal"/>
      <w:lvlText w:val="%7."/>
      <w:lvlJc w:val="left"/>
      <w:pPr>
        <w:ind w:left="5760" w:hanging="360"/>
      </w:pPr>
    </w:lvl>
    <w:lvl w:ilvl="7" w:tplc="6686B746" w:tentative="1">
      <w:start w:val="1"/>
      <w:numFmt w:val="lowerLetter"/>
      <w:lvlText w:val="%8."/>
      <w:lvlJc w:val="left"/>
      <w:pPr>
        <w:ind w:left="6480" w:hanging="360"/>
      </w:pPr>
    </w:lvl>
    <w:lvl w:ilvl="8" w:tplc="AAE0F50C" w:tentative="1">
      <w:start w:val="1"/>
      <w:numFmt w:val="lowerRoman"/>
      <w:lvlText w:val="%9."/>
      <w:lvlJc w:val="right"/>
      <w:pPr>
        <w:ind w:left="7200" w:hanging="180"/>
      </w:pPr>
    </w:lvl>
  </w:abstractNum>
  <w:abstractNum w:abstractNumId="28" w15:restartNumberingAfterBreak="0">
    <w:nsid w:val="67403CFB"/>
    <w:multiLevelType w:val="hybridMultilevel"/>
    <w:tmpl w:val="BF9E9E92"/>
    <w:lvl w:ilvl="0" w:tplc="F8AA51EE">
      <w:numFmt w:val="bullet"/>
      <w:lvlText w:val="-"/>
      <w:lvlJc w:val="left"/>
      <w:pPr>
        <w:ind w:left="720" w:hanging="360"/>
      </w:pPr>
      <w:rPr>
        <w:rFonts w:ascii="FrankRuehl" w:eastAsia="Times New Roman" w:hAnsi="FrankRuehl" w:cs="FrankRuehl" w:hint="default"/>
      </w:rPr>
    </w:lvl>
    <w:lvl w:ilvl="1" w:tplc="AE720182" w:tentative="1">
      <w:start w:val="1"/>
      <w:numFmt w:val="bullet"/>
      <w:lvlText w:val="o"/>
      <w:lvlJc w:val="left"/>
      <w:pPr>
        <w:ind w:left="1440" w:hanging="360"/>
      </w:pPr>
      <w:rPr>
        <w:rFonts w:ascii="Courier New" w:hAnsi="Courier New" w:cs="Courier New" w:hint="default"/>
      </w:rPr>
    </w:lvl>
    <w:lvl w:ilvl="2" w:tplc="5492E234" w:tentative="1">
      <w:start w:val="1"/>
      <w:numFmt w:val="bullet"/>
      <w:lvlText w:val=""/>
      <w:lvlJc w:val="left"/>
      <w:pPr>
        <w:ind w:left="2160" w:hanging="360"/>
      </w:pPr>
      <w:rPr>
        <w:rFonts w:ascii="Wingdings" w:hAnsi="Wingdings" w:hint="default"/>
      </w:rPr>
    </w:lvl>
    <w:lvl w:ilvl="3" w:tplc="94FE4E42" w:tentative="1">
      <w:start w:val="1"/>
      <w:numFmt w:val="bullet"/>
      <w:lvlText w:val=""/>
      <w:lvlJc w:val="left"/>
      <w:pPr>
        <w:ind w:left="2880" w:hanging="360"/>
      </w:pPr>
      <w:rPr>
        <w:rFonts w:ascii="Symbol" w:hAnsi="Symbol" w:hint="default"/>
      </w:rPr>
    </w:lvl>
    <w:lvl w:ilvl="4" w:tplc="BD3C4C6E" w:tentative="1">
      <w:start w:val="1"/>
      <w:numFmt w:val="bullet"/>
      <w:lvlText w:val="o"/>
      <w:lvlJc w:val="left"/>
      <w:pPr>
        <w:ind w:left="3600" w:hanging="360"/>
      </w:pPr>
      <w:rPr>
        <w:rFonts w:ascii="Courier New" w:hAnsi="Courier New" w:cs="Courier New" w:hint="default"/>
      </w:rPr>
    </w:lvl>
    <w:lvl w:ilvl="5" w:tplc="78304136" w:tentative="1">
      <w:start w:val="1"/>
      <w:numFmt w:val="bullet"/>
      <w:lvlText w:val=""/>
      <w:lvlJc w:val="left"/>
      <w:pPr>
        <w:ind w:left="4320" w:hanging="360"/>
      </w:pPr>
      <w:rPr>
        <w:rFonts w:ascii="Wingdings" w:hAnsi="Wingdings" w:hint="default"/>
      </w:rPr>
    </w:lvl>
    <w:lvl w:ilvl="6" w:tplc="1FF0B916" w:tentative="1">
      <w:start w:val="1"/>
      <w:numFmt w:val="bullet"/>
      <w:lvlText w:val=""/>
      <w:lvlJc w:val="left"/>
      <w:pPr>
        <w:ind w:left="5040" w:hanging="360"/>
      </w:pPr>
      <w:rPr>
        <w:rFonts w:ascii="Symbol" w:hAnsi="Symbol" w:hint="default"/>
      </w:rPr>
    </w:lvl>
    <w:lvl w:ilvl="7" w:tplc="2034C184" w:tentative="1">
      <w:start w:val="1"/>
      <w:numFmt w:val="bullet"/>
      <w:lvlText w:val="o"/>
      <w:lvlJc w:val="left"/>
      <w:pPr>
        <w:ind w:left="5760" w:hanging="360"/>
      </w:pPr>
      <w:rPr>
        <w:rFonts w:ascii="Courier New" w:hAnsi="Courier New" w:cs="Courier New" w:hint="default"/>
      </w:rPr>
    </w:lvl>
    <w:lvl w:ilvl="8" w:tplc="6518E996" w:tentative="1">
      <w:start w:val="1"/>
      <w:numFmt w:val="bullet"/>
      <w:lvlText w:val=""/>
      <w:lvlJc w:val="left"/>
      <w:pPr>
        <w:ind w:left="6480" w:hanging="360"/>
      </w:pPr>
      <w:rPr>
        <w:rFonts w:ascii="Wingdings" w:hAnsi="Wingdings" w:hint="default"/>
      </w:rPr>
    </w:lvl>
  </w:abstractNum>
  <w:abstractNum w:abstractNumId="29" w15:restartNumberingAfterBreak="0">
    <w:nsid w:val="68A70B4B"/>
    <w:multiLevelType w:val="hybridMultilevel"/>
    <w:tmpl w:val="28244EA6"/>
    <w:lvl w:ilvl="0" w:tplc="8C8EB886">
      <w:numFmt w:val="bullet"/>
      <w:lvlText w:val="-"/>
      <w:lvlJc w:val="left"/>
      <w:pPr>
        <w:ind w:left="720" w:hanging="360"/>
      </w:pPr>
      <w:rPr>
        <w:rFonts w:ascii="FrankRuehl" w:eastAsia="Times New Roman" w:hAnsi="FrankRuehl" w:cs="FrankRuehl" w:hint="default"/>
      </w:rPr>
    </w:lvl>
    <w:lvl w:ilvl="1" w:tplc="80886F7A" w:tentative="1">
      <w:start w:val="1"/>
      <w:numFmt w:val="bullet"/>
      <w:lvlText w:val="o"/>
      <w:lvlJc w:val="left"/>
      <w:pPr>
        <w:ind w:left="1440" w:hanging="360"/>
      </w:pPr>
      <w:rPr>
        <w:rFonts w:ascii="Courier New" w:hAnsi="Courier New" w:cs="Courier New" w:hint="default"/>
      </w:rPr>
    </w:lvl>
    <w:lvl w:ilvl="2" w:tplc="0FF47330" w:tentative="1">
      <w:start w:val="1"/>
      <w:numFmt w:val="bullet"/>
      <w:lvlText w:val=""/>
      <w:lvlJc w:val="left"/>
      <w:pPr>
        <w:ind w:left="2160" w:hanging="360"/>
      </w:pPr>
      <w:rPr>
        <w:rFonts w:ascii="Wingdings" w:hAnsi="Wingdings" w:hint="default"/>
      </w:rPr>
    </w:lvl>
    <w:lvl w:ilvl="3" w:tplc="947E2E66" w:tentative="1">
      <w:start w:val="1"/>
      <w:numFmt w:val="bullet"/>
      <w:lvlText w:val=""/>
      <w:lvlJc w:val="left"/>
      <w:pPr>
        <w:ind w:left="2880" w:hanging="360"/>
      </w:pPr>
      <w:rPr>
        <w:rFonts w:ascii="Symbol" w:hAnsi="Symbol" w:hint="default"/>
      </w:rPr>
    </w:lvl>
    <w:lvl w:ilvl="4" w:tplc="8CCE26D6" w:tentative="1">
      <w:start w:val="1"/>
      <w:numFmt w:val="bullet"/>
      <w:lvlText w:val="o"/>
      <w:lvlJc w:val="left"/>
      <w:pPr>
        <w:ind w:left="3600" w:hanging="360"/>
      </w:pPr>
      <w:rPr>
        <w:rFonts w:ascii="Courier New" w:hAnsi="Courier New" w:cs="Courier New" w:hint="default"/>
      </w:rPr>
    </w:lvl>
    <w:lvl w:ilvl="5" w:tplc="55D091D6" w:tentative="1">
      <w:start w:val="1"/>
      <w:numFmt w:val="bullet"/>
      <w:lvlText w:val=""/>
      <w:lvlJc w:val="left"/>
      <w:pPr>
        <w:ind w:left="4320" w:hanging="360"/>
      </w:pPr>
      <w:rPr>
        <w:rFonts w:ascii="Wingdings" w:hAnsi="Wingdings" w:hint="default"/>
      </w:rPr>
    </w:lvl>
    <w:lvl w:ilvl="6" w:tplc="6876FBA0" w:tentative="1">
      <w:start w:val="1"/>
      <w:numFmt w:val="bullet"/>
      <w:lvlText w:val=""/>
      <w:lvlJc w:val="left"/>
      <w:pPr>
        <w:ind w:left="5040" w:hanging="360"/>
      </w:pPr>
      <w:rPr>
        <w:rFonts w:ascii="Symbol" w:hAnsi="Symbol" w:hint="default"/>
      </w:rPr>
    </w:lvl>
    <w:lvl w:ilvl="7" w:tplc="E2B0166E" w:tentative="1">
      <w:start w:val="1"/>
      <w:numFmt w:val="bullet"/>
      <w:lvlText w:val="o"/>
      <w:lvlJc w:val="left"/>
      <w:pPr>
        <w:ind w:left="5760" w:hanging="360"/>
      </w:pPr>
      <w:rPr>
        <w:rFonts w:ascii="Courier New" w:hAnsi="Courier New" w:cs="Courier New" w:hint="default"/>
      </w:rPr>
    </w:lvl>
    <w:lvl w:ilvl="8" w:tplc="DF00924A" w:tentative="1">
      <w:start w:val="1"/>
      <w:numFmt w:val="bullet"/>
      <w:lvlText w:val=""/>
      <w:lvlJc w:val="left"/>
      <w:pPr>
        <w:ind w:left="6480" w:hanging="360"/>
      </w:pPr>
      <w:rPr>
        <w:rFonts w:ascii="Wingdings" w:hAnsi="Wingdings" w:hint="default"/>
      </w:rPr>
    </w:lvl>
  </w:abstractNum>
  <w:abstractNum w:abstractNumId="30" w15:restartNumberingAfterBreak="0">
    <w:nsid w:val="69441C11"/>
    <w:multiLevelType w:val="hybridMultilevel"/>
    <w:tmpl w:val="6684614C"/>
    <w:lvl w:ilvl="0" w:tplc="F22AEA4A">
      <w:start w:val="1"/>
      <w:numFmt w:val="hebrew1"/>
      <w:lvlText w:val="%1."/>
      <w:lvlJc w:val="left"/>
      <w:pPr>
        <w:ind w:left="1800" w:hanging="360"/>
      </w:pPr>
      <w:rPr>
        <w:rFonts w:hint="default"/>
      </w:rPr>
    </w:lvl>
    <w:lvl w:ilvl="1" w:tplc="A6DE29CA" w:tentative="1">
      <w:start w:val="1"/>
      <w:numFmt w:val="lowerLetter"/>
      <w:lvlText w:val="%2."/>
      <w:lvlJc w:val="left"/>
      <w:pPr>
        <w:ind w:left="2520" w:hanging="360"/>
      </w:pPr>
    </w:lvl>
    <w:lvl w:ilvl="2" w:tplc="96DC0FE4" w:tentative="1">
      <w:start w:val="1"/>
      <w:numFmt w:val="lowerRoman"/>
      <w:lvlText w:val="%3."/>
      <w:lvlJc w:val="right"/>
      <w:pPr>
        <w:ind w:left="3240" w:hanging="180"/>
      </w:pPr>
    </w:lvl>
    <w:lvl w:ilvl="3" w:tplc="FF2E3040" w:tentative="1">
      <w:start w:val="1"/>
      <w:numFmt w:val="decimal"/>
      <w:lvlText w:val="%4."/>
      <w:lvlJc w:val="left"/>
      <w:pPr>
        <w:ind w:left="3960" w:hanging="360"/>
      </w:pPr>
    </w:lvl>
    <w:lvl w:ilvl="4" w:tplc="7AFC8CA4" w:tentative="1">
      <w:start w:val="1"/>
      <w:numFmt w:val="lowerLetter"/>
      <w:lvlText w:val="%5."/>
      <w:lvlJc w:val="left"/>
      <w:pPr>
        <w:ind w:left="4680" w:hanging="360"/>
      </w:pPr>
    </w:lvl>
    <w:lvl w:ilvl="5" w:tplc="076408FA" w:tentative="1">
      <w:start w:val="1"/>
      <w:numFmt w:val="lowerRoman"/>
      <w:lvlText w:val="%6."/>
      <w:lvlJc w:val="right"/>
      <w:pPr>
        <w:ind w:left="5400" w:hanging="180"/>
      </w:pPr>
    </w:lvl>
    <w:lvl w:ilvl="6" w:tplc="9FA86900" w:tentative="1">
      <w:start w:val="1"/>
      <w:numFmt w:val="decimal"/>
      <w:lvlText w:val="%7."/>
      <w:lvlJc w:val="left"/>
      <w:pPr>
        <w:ind w:left="6120" w:hanging="360"/>
      </w:pPr>
    </w:lvl>
    <w:lvl w:ilvl="7" w:tplc="8870D408" w:tentative="1">
      <w:start w:val="1"/>
      <w:numFmt w:val="lowerLetter"/>
      <w:lvlText w:val="%8."/>
      <w:lvlJc w:val="left"/>
      <w:pPr>
        <w:ind w:left="6840" w:hanging="360"/>
      </w:pPr>
    </w:lvl>
    <w:lvl w:ilvl="8" w:tplc="B63C8B48" w:tentative="1">
      <w:start w:val="1"/>
      <w:numFmt w:val="lowerRoman"/>
      <w:lvlText w:val="%9."/>
      <w:lvlJc w:val="right"/>
      <w:pPr>
        <w:ind w:left="7560" w:hanging="180"/>
      </w:pPr>
    </w:lvl>
  </w:abstractNum>
  <w:abstractNum w:abstractNumId="31" w15:restartNumberingAfterBreak="0">
    <w:nsid w:val="71B56D0F"/>
    <w:multiLevelType w:val="hybridMultilevel"/>
    <w:tmpl w:val="79288C1C"/>
    <w:lvl w:ilvl="0" w:tplc="03EA60BC">
      <w:start w:val="1"/>
      <w:numFmt w:val="hebrew1"/>
      <w:lvlText w:val="%1."/>
      <w:lvlJc w:val="left"/>
      <w:pPr>
        <w:ind w:left="1080" w:hanging="360"/>
      </w:pPr>
      <w:rPr>
        <w:rFonts w:hint="default"/>
      </w:rPr>
    </w:lvl>
    <w:lvl w:ilvl="1" w:tplc="6D6A1814" w:tentative="1">
      <w:start w:val="1"/>
      <w:numFmt w:val="lowerLetter"/>
      <w:lvlText w:val="%2."/>
      <w:lvlJc w:val="left"/>
      <w:pPr>
        <w:ind w:left="1800" w:hanging="360"/>
      </w:pPr>
    </w:lvl>
    <w:lvl w:ilvl="2" w:tplc="2C123504" w:tentative="1">
      <w:start w:val="1"/>
      <w:numFmt w:val="lowerRoman"/>
      <w:lvlText w:val="%3."/>
      <w:lvlJc w:val="right"/>
      <w:pPr>
        <w:ind w:left="2520" w:hanging="180"/>
      </w:pPr>
    </w:lvl>
    <w:lvl w:ilvl="3" w:tplc="3DECD408" w:tentative="1">
      <w:start w:val="1"/>
      <w:numFmt w:val="decimal"/>
      <w:lvlText w:val="%4."/>
      <w:lvlJc w:val="left"/>
      <w:pPr>
        <w:ind w:left="3240" w:hanging="360"/>
      </w:pPr>
    </w:lvl>
    <w:lvl w:ilvl="4" w:tplc="E89A2028" w:tentative="1">
      <w:start w:val="1"/>
      <w:numFmt w:val="lowerLetter"/>
      <w:lvlText w:val="%5."/>
      <w:lvlJc w:val="left"/>
      <w:pPr>
        <w:ind w:left="3960" w:hanging="360"/>
      </w:pPr>
    </w:lvl>
    <w:lvl w:ilvl="5" w:tplc="EB4438D0" w:tentative="1">
      <w:start w:val="1"/>
      <w:numFmt w:val="lowerRoman"/>
      <w:lvlText w:val="%6."/>
      <w:lvlJc w:val="right"/>
      <w:pPr>
        <w:ind w:left="4680" w:hanging="180"/>
      </w:pPr>
    </w:lvl>
    <w:lvl w:ilvl="6" w:tplc="E52C7C48" w:tentative="1">
      <w:start w:val="1"/>
      <w:numFmt w:val="decimal"/>
      <w:lvlText w:val="%7."/>
      <w:lvlJc w:val="left"/>
      <w:pPr>
        <w:ind w:left="5400" w:hanging="360"/>
      </w:pPr>
    </w:lvl>
    <w:lvl w:ilvl="7" w:tplc="6A825D00" w:tentative="1">
      <w:start w:val="1"/>
      <w:numFmt w:val="lowerLetter"/>
      <w:lvlText w:val="%8."/>
      <w:lvlJc w:val="left"/>
      <w:pPr>
        <w:ind w:left="6120" w:hanging="360"/>
      </w:pPr>
    </w:lvl>
    <w:lvl w:ilvl="8" w:tplc="605E5992" w:tentative="1">
      <w:start w:val="1"/>
      <w:numFmt w:val="lowerRoman"/>
      <w:lvlText w:val="%9."/>
      <w:lvlJc w:val="right"/>
      <w:pPr>
        <w:ind w:left="6840" w:hanging="180"/>
      </w:pPr>
    </w:lvl>
  </w:abstractNum>
  <w:abstractNum w:abstractNumId="32" w15:restartNumberingAfterBreak="0">
    <w:nsid w:val="71B8012A"/>
    <w:multiLevelType w:val="hybridMultilevel"/>
    <w:tmpl w:val="B65A3306"/>
    <w:lvl w:ilvl="0" w:tplc="A9CA37D2">
      <w:numFmt w:val="bullet"/>
      <w:lvlText w:val="-"/>
      <w:lvlJc w:val="left"/>
      <w:pPr>
        <w:ind w:left="720" w:hanging="360"/>
      </w:pPr>
      <w:rPr>
        <w:rFonts w:ascii="FrankRuehl" w:eastAsia="Times New Roman" w:hAnsi="FrankRuehl" w:cs="FrankRuehl" w:hint="default"/>
      </w:rPr>
    </w:lvl>
    <w:lvl w:ilvl="1" w:tplc="DC869B58" w:tentative="1">
      <w:start w:val="1"/>
      <w:numFmt w:val="bullet"/>
      <w:lvlText w:val="o"/>
      <w:lvlJc w:val="left"/>
      <w:pPr>
        <w:ind w:left="1440" w:hanging="360"/>
      </w:pPr>
      <w:rPr>
        <w:rFonts w:ascii="Courier New" w:hAnsi="Courier New" w:cs="Courier New" w:hint="default"/>
      </w:rPr>
    </w:lvl>
    <w:lvl w:ilvl="2" w:tplc="0868C546" w:tentative="1">
      <w:start w:val="1"/>
      <w:numFmt w:val="bullet"/>
      <w:lvlText w:val=""/>
      <w:lvlJc w:val="left"/>
      <w:pPr>
        <w:ind w:left="2160" w:hanging="360"/>
      </w:pPr>
      <w:rPr>
        <w:rFonts w:ascii="Wingdings" w:hAnsi="Wingdings" w:hint="default"/>
      </w:rPr>
    </w:lvl>
    <w:lvl w:ilvl="3" w:tplc="93828364" w:tentative="1">
      <w:start w:val="1"/>
      <w:numFmt w:val="bullet"/>
      <w:lvlText w:val=""/>
      <w:lvlJc w:val="left"/>
      <w:pPr>
        <w:ind w:left="2880" w:hanging="360"/>
      </w:pPr>
      <w:rPr>
        <w:rFonts w:ascii="Symbol" w:hAnsi="Symbol" w:hint="default"/>
      </w:rPr>
    </w:lvl>
    <w:lvl w:ilvl="4" w:tplc="0C00B4A8" w:tentative="1">
      <w:start w:val="1"/>
      <w:numFmt w:val="bullet"/>
      <w:lvlText w:val="o"/>
      <w:lvlJc w:val="left"/>
      <w:pPr>
        <w:ind w:left="3600" w:hanging="360"/>
      </w:pPr>
      <w:rPr>
        <w:rFonts w:ascii="Courier New" w:hAnsi="Courier New" w:cs="Courier New" w:hint="default"/>
      </w:rPr>
    </w:lvl>
    <w:lvl w:ilvl="5" w:tplc="1DC6A19C" w:tentative="1">
      <w:start w:val="1"/>
      <w:numFmt w:val="bullet"/>
      <w:lvlText w:val=""/>
      <w:lvlJc w:val="left"/>
      <w:pPr>
        <w:ind w:left="4320" w:hanging="360"/>
      </w:pPr>
      <w:rPr>
        <w:rFonts w:ascii="Wingdings" w:hAnsi="Wingdings" w:hint="default"/>
      </w:rPr>
    </w:lvl>
    <w:lvl w:ilvl="6" w:tplc="7B1A32E4" w:tentative="1">
      <w:start w:val="1"/>
      <w:numFmt w:val="bullet"/>
      <w:lvlText w:val=""/>
      <w:lvlJc w:val="left"/>
      <w:pPr>
        <w:ind w:left="5040" w:hanging="360"/>
      </w:pPr>
      <w:rPr>
        <w:rFonts w:ascii="Symbol" w:hAnsi="Symbol" w:hint="default"/>
      </w:rPr>
    </w:lvl>
    <w:lvl w:ilvl="7" w:tplc="9E386CA6" w:tentative="1">
      <w:start w:val="1"/>
      <w:numFmt w:val="bullet"/>
      <w:lvlText w:val="o"/>
      <w:lvlJc w:val="left"/>
      <w:pPr>
        <w:ind w:left="5760" w:hanging="360"/>
      </w:pPr>
      <w:rPr>
        <w:rFonts w:ascii="Courier New" w:hAnsi="Courier New" w:cs="Courier New" w:hint="default"/>
      </w:rPr>
    </w:lvl>
    <w:lvl w:ilvl="8" w:tplc="74A44866" w:tentative="1">
      <w:start w:val="1"/>
      <w:numFmt w:val="bullet"/>
      <w:lvlText w:val=""/>
      <w:lvlJc w:val="left"/>
      <w:pPr>
        <w:ind w:left="6480" w:hanging="360"/>
      </w:pPr>
      <w:rPr>
        <w:rFonts w:ascii="Wingdings" w:hAnsi="Wingdings" w:hint="default"/>
      </w:rPr>
    </w:lvl>
  </w:abstractNum>
  <w:abstractNum w:abstractNumId="33" w15:restartNumberingAfterBreak="0">
    <w:nsid w:val="732D50FA"/>
    <w:multiLevelType w:val="hybridMultilevel"/>
    <w:tmpl w:val="A2CE545C"/>
    <w:lvl w:ilvl="0" w:tplc="470AC1FE">
      <w:start w:val="2"/>
      <w:numFmt w:val="hebrew1"/>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417394"/>
    <w:multiLevelType w:val="hybridMultilevel"/>
    <w:tmpl w:val="53E4DA04"/>
    <w:lvl w:ilvl="0" w:tplc="1F5426C6">
      <w:start w:val="1"/>
      <w:numFmt w:val="hebrew1"/>
      <w:lvlText w:val="%1."/>
      <w:lvlJc w:val="left"/>
      <w:pPr>
        <w:ind w:left="1080" w:hanging="360"/>
      </w:pPr>
      <w:rPr>
        <w:rFonts w:ascii="Arial TUR" w:eastAsia="Times New Roman" w:hAnsi="Arial TUR" w:cs="FrankRuehl"/>
      </w:rPr>
    </w:lvl>
    <w:lvl w:ilvl="1" w:tplc="CAA84E5A" w:tentative="1">
      <w:start w:val="1"/>
      <w:numFmt w:val="lowerLetter"/>
      <w:lvlText w:val="%2."/>
      <w:lvlJc w:val="left"/>
      <w:pPr>
        <w:ind w:left="1800" w:hanging="360"/>
      </w:pPr>
    </w:lvl>
    <w:lvl w:ilvl="2" w:tplc="5BF40E2A" w:tentative="1">
      <w:start w:val="1"/>
      <w:numFmt w:val="lowerRoman"/>
      <w:lvlText w:val="%3."/>
      <w:lvlJc w:val="right"/>
      <w:pPr>
        <w:ind w:left="2520" w:hanging="180"/>
      </w:pPr>
    </w:lvl>
    <w:lvl w:ilvl="3" w:tplc="B22A77D0" w:tentative="1">
      <w:start w:val="1"/>
      <w:numFmt w:val="decimal"/>
      <w:lvlText w:val="%4."/>
      <w:lvlJc w:val="left"/>
      <w:pPr>
        <w:ind w:left="3240" w:hanging="360"/>
      </w:pPr>
    </w:lvl>
    <w:lvl w:ilvl="4" w:tplc="FCC83FE4" w:tentative="1">
      <w:start w:val="1"/>
      <w:numFmt w:val="lowerLetter"/>
      <w:lvlText w:val="%5."/>
      <w:lvlJc w:val="left"/>
      <w:pPr>
        <w:ind w:left="3960" w:hanging="360"/>
      </w:pPr>
    </w:lvl>
    <w:lvl w:ilvl="5" w:tplc="79705B3E" w:tentative="1">
      <w:start w:val="1"/>
      <w:numFmt w:val="lowerRoman"/>
      <w:lvlText w:val="%6."/>
      <w:lvlJc w:val="right"/>
      <w:pPr>
        <w:ind w:left="4680" w:hanging="180"/>
      </w:pPr>
    </w:lvl>
    <w:lvl w:ilvl="6" w:tplc="B1A8171C" w:tentative="1">
      <w:start w:val="1"/>
      <w:numFmt w:val="decimal"/>
      <w:lvlText w:val="%7."/>
      <w:lvlJc w:val="left"/>
      <w:pPr>
        <w:ind w:left="5400" w:hanging="360"/>
      </w:pPr>
    </w:lvl>
    <w:lvl w:ilvl="7" w:tplc="CBC49D60" w:tentative="1">
      <w:start w:val="1"/>
      <w:numFmt w:val="lowerLetter"/>
      <w:lvlText w:val="%8."/>
      <w:lvlJc w:val="left"/>
      <w:pPr>
        <w:ind w:left="6120" w:hanging="360"/>
      </w:pPr>
    </w:lvl>
    <w:lvl w:ilvl="8" w:tplc="E0468E70" w:tentative="1">
      <w:start w:val="1"/>
      <w:numFmt w:val="lowerRoman"/>
      <w:lvlText w:val="%9."/>
      <w:lvlJc w:val="right"/>
      <w:pPr>
        <w:ind w:left="684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2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2"/>
  </w:num>
  <w:num w:numId="17">
    <w:abstractNumId w:val="16"/>
  </w:num>
  <w:num w:numId="18">
    <w:abstractNumId w:val="14"/>
  </w:num>
  <w:num w:numId="19">
    <w:abstractNumId w:val="13"/>
  </w:num>
  <w:num w:numId="20">
    <w:abstractNumId w:val="11"/>
    <w:lvlOverride w:ilvl="0">
      <w:startOverride w:val="1"/>
    </w:lvlOverride>
  </w:num>
  <w:num w:numId="21">
    <w:abstractNumId w:val="24"/>
  </w:num>
  <w:num w:numId="22">
    <w:abstractNumId w:val="29"/>
  </w:num>
  <w:num w:numId="23">
    <w:abstractNumId w:val="28"/>
  </w:num>
  <w:num w:numId="24">
    <w:abstractNumId w:val="34"/>
  </w:num>
  <w:num w:numId="25">
    <w:abstractNumId w:val="27"/>
  </w:num>
  <w:num w:numId="26">
    <w:abstractNumId w:val="21"/>
  </w:num>
  <w:num w:numId="27">
    <w:abstractNumId w:val="23"/>
  </w:num>
  <w:num w:numId="28">
    <w:abstractNumId w:val="32"/>
  </w:num>
  <w:num w:numId="29">
    <w:abstractNumId w:val="20"/>
  </w:num>
  <w:num w:numId="30">
    <w:abstractNumId w:val="19"/>
  </w:num>
  <w:num w:numId="31">
    <w:abstractNumId w:val="31"/>
  </w:num>
  <w:num w:numId="32">
    <w:abstractNumId w:val="22"/>
  </w:num>
  <w:num w:numId="33">
    <w:abstractNumId w:val="30"/>
  </w:num>
  <w:num w:numId="34">
    <w:abstractNumId w:val="15"/>
  </w:num>
  <w:num w:numId="35">
    <w:abstractNumId w:val="10"/>
  </w:num>
  <w:num w:numId="36">
    <w:abstractNumId w:val="18"/>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4D82"/>
    <w:rsid w:val="0001536C"/>
    <w:rsid w:val="00016EF1"/>
    <w:rsid w:val="00032036"/>
    <w:rsid w:val="00034568"/>
    <w:rsid w:val="000359B4"/>
    <w:rsid w:val="00036227"/>
    <w:rsid w:val="00044953"/>
    <w:rsid w:val="00045B4D"/>
    <w:rsid w:val="00056C59"/>
    <w:rsid w:val="00063531"/>
    <w:rsid w:val="000725F5"/>
    <w:rsid w:val="00072AD2"/>
    <w:rsid w:val="00074600"/>
    <w:rsid w:val="000B1478"/>
    <w:rsid w:val="000C4690"/>
    <w:rsid w:val="000D25C4"/>
    <w:rsid w:val="000D6E49"/>
    <w:rsid w:val="000F2E45"/>
    <w:rsid w:val="000F3018"/>
    <w:rsid w:val="00114E1C"/>
    <w:rsid w:val="00122A1F"/>
    <w:rsid w:val="00134A67"/>
    <w:rsid w:val="00153B8C"/>
    <w:rsid w:val="00192225"/>
    <w:rsid w:val="001A0164"/>
    <w:rsid w:val="001A5744"/>
    <w:rsid w:val="001B299B"/>
    <w:rsid w:val="001B7D92"/>
    <w:rsid w:val="001D43A0"/>
    <w:rsid w:val="001F205C"/>
    <w:rsid w:val="00200D6B"/>
    <w:rsid w:val="00212F76"/>
    <w:rsid w:val="00216C97"/>
    <w:rsid w:val="002241FB"/>
    <w:rsid w:val="00255DAE"/>
    <w:rsid w:val="00265F6E"/>
    <w:rsid w:val="002876BF"/>
    <w:rsid w:val="002A4A7A"/>
    <w:rsid w:val="002A4BF3"/>
    <w:rsid w:val="002B7120"/>
    <w:rsid w:val="002B7DF5"/>
    <w:rsid w:val="002F13EB"/>
    <w:rsid w:val="002F7BB6"/>
    <w:rsid w:val="003107BD"/>
    <w:rsid w:val="003107F6"/>
    <w:rsid w:val="003448B2"/>
    <w:rsid w:val="00361DB2"/>
    <w:rsid w:val="00367FE8"/>
    <w:rsid w:val="0037622E"/>
    <w:rsid w:val="00377102"/>
    <w:rsid w:val="00385748"/>
    <w:rsid w:val="0039709B"/>
    <w:rsid w:val="003B0CE6"/>
    <w:rsid w:val="003D72DA"/>
    <w:rsid w:val="003F1F97"/>
    <w:rsid w:val="003F6C88"/>
    <w:rsid w:val="0041048F"/>
    <w:rsid w:val="004166F6"/>
    <w:rsid w:val="00437D59"/>
    <w:rsid w:val="00452BF2"/>
    <w:rsid w:val="004610A4"/>
    <w:rsid w:val="004667F3"/>
    <w:rsid w:val="0049047A"/>
    <w:rsid w:val="004B29FF"/>
    <w:rsid w:val="004C7868"/>
    <w:rsid w:val="00503A3E"/>
    <w:rsid w:val="00507B5C"/>
    <w:rsid w:val="0051234E"/>
    <w:rsid w:val="00527F02"/>
    <w:rsid w:val="005506DF"/>
    <w:rsid w:val="005803E2"/>
    <w:rsid w:val="0058440A"/>
    <w:rsid w:val="00591983"/>
    <w:rsid w:val="005A1589"/>
    <w:rsid w:val="005D137A"/>
    <w:rsid w:val="005F10C1"/>
    <w:rsid w:val="005F56B3"/>
    <w:rsid w:val="00624A42"/>
    <w:rsid w:val="00650241"/>
    <w:rsid w:val="0065522F"/>
    <w:rsid w:val="006932CA"/>
    <w:rsid w:val="006A30F7"/>
    <w:rsid w:val="006A5E7D"/>
    <w:rsid w:val="006C42AD"/>
    <w:rsid w:val="006C7A96"/>
    <w:rsid w:val="00725345"/>
    <w:rsid w:val="00741CC0"/>
    <w:rsid w:val="007424D2"/>
    <w:rsid w:val="007B512F"/>
    <w:rsid w:val="007E3C30"/>
    <w:rsid w:val="007F7512"/>
    <w:rsid w:val="00810894"/>
    <w:rsid w:val="008143AB"/>
    <w:rsid w:val="008227A9"/>
    <w:rsid w:val="00825103"/>
    <w:rsid w:val="0083345F"/>
    <w:rsid w:val="00836667"/>
    <w:rsid w:val="00866D0F"/>
    <w:rsid w:val="00872589"/>
    <w:rsid w:val="00891967"/>
    <w:rsid w:val="00894501"/>
    <w:rsid w:val="008C2F11"/>
    <w:rsid w:val="008D45F5"/>
    <w:rsid w:val="008D78B9"/>
    <w:rsid w:val="008E3F85"/>
    <w:rsid w:val="009051E8"/>
    <w:rsid w:val="00914156"/>
    <w:rsid w:val="00916FF8"/>
    <w:rsid w:val="00922093"/>
    <w:rsid w:val="00930C85"/>
    <w:rsid w:val="00960219"/>
    <w:rsid w:val="0097596B"/>
    <w:rsid w:val="009B38DA"/>
    <w:rsid w:val="009F2F53"/>
    <w:rsid w:val="009F4187"/>
    <w:rsid w:val="00A12E0F"/>
    <w:rsid w:val="00A51FAE"/>
    <w:rsid w:val="00A80845"/>
    <w:rsid w:val="00A8562B"/>
    <w:rsid w:val="00A86E90"/>
    <w:rsid w:val="00A87C12"/>
    <w:rsid w:val="00A95E50"/>
    <w:rsid w:val="00AB69F7"/>
    <w:rsid w:val="00AC17A6"/>
    <w:rsid w:val="00AD097B"/>
    <w:rsid w:val="00AD64B9"/>
    <w:rsid w:val="00AE022B"/>
    <w:rsid w:val="00AE6D65"/>
    <w:rsid w:val="00AE7B46"/>
    <w:rsid w:val="00AF0620"/>
    <w:rsid w:val="00B009CC"/>
    <w:rsid w:val="00B0782A"/>
    <w:rsid w:val="00B25F06"/>
    <w:rsid w:val="00B416CE"/>
    <w:rsid w:val="00B62B8C"/>
    <w:rsid w:val="00B63343"/>
    <w:rsid w:val="00B87FF7"/>
    <w:rsid w:val="00B94B59"/>
    <w:rsid w:val="00BA03D0"/>
    <w:rsid w:val="00BA0B08"/>
    <w:rsid w:val="00BC0E82"/>
    <w:rsid w:val="00BD40F9"/>
    <w:rsid w:val="00BD6897"/>
    <w:rsid w:val="00C35447"/>
    <w:rsid w:val="00C41C86"/>
    <w:rsid w:val="00C63A6C"/>
    <w:rsid w:val="00C71241"/>
    <w:rsid w:val="00CA13AF"/>
    <w:rsid w:val="00CA1444"/>
    <w:rsid w:val="00CA465F"/>
    <w:rsid w:val="00CB01BC"/>
    <w:rsid w:val="00CB1590"/>
    <w:rsid w:val="00CB7600"/>
    <w:rsid w:val="00CC0E9D"/>
    <w:rsid w:val="00CC3639"/>
    <w:rsid w:val="00CE58C7"/>
    <w:rsid w:val="00CF40BA"/>
    <w:rsid w:val="00D00B1D"/>
    <w:rsid w:val="00D00CB7"/>
    <w:rsid w:val="00D25F16"/>
    <w:rsid w:val="00D276B0"/>
    <w:rsid w:val="00D8481A"/>
    <w:rsid w:val="00D95831"/>
    <w:rsid w:val="00E1315A"/>
    <w:rsid w:val="00E1330B"/>
    <w:rsid w:val="00E21CA9"/>
    <w:rsid w:val="00E31063"/>
    <w:rsid w:val="00E33371"/>
    <w:rsid w:val="00E36FE9"/>
    <w:rsid w:val="00E4678E"/>
    <w:rsid w:val="00E5183F"/>
    <w:rsid w:val="00E73E98"/>
    <w:rsid w:val="00E75223"/>
    <w:rsid w:val="00E90D72"/>
    <w:rsid w:val="00EA0BE1"/>
    <w:rsid w:val="00EC23AC"/>
    <w:rsid w:val="00EC2992"/>
    <w:rsid w:val="00ED46A4"/>
    <w:rsid w:val="00ED6FD9"/>
    <w:rsid w:val="00EE01B5"/>
    <w:rsid w:val="00EE3810"/>
    <w:rsid w:val="00EE42DD"/>
    <w:rsid w:val="00EE7E2A"/>
    <w:rsid w:val="00F153F5"/>
    <w:rsid w:val="00F63C3B"/>
    <w:rsid w:val="00F67EC0"/>
    <w:rsid w:val="00F959DB"/>
    <w:rsid w:val="00FA5309"/>
    <w:rsid w:val="00FC0252"/>
    <w:rsid w:val="00FE043D"/>
    <w:rsid w:val="00FF148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E74F4BC-3C3C-4E92-B76F-612871ED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1">
    <w:name w:val="heading 1"/>
    <w:basedOn w:val="Ruller41"/>
    <w:next w:val="a"/>
    <w:link w:val="10"/>
    <w:qFormat/>
    <w:rsid w:val="00AE6D65"/>
    <w:pPr>
      <w:textAlignment w:val="auto"/>
      <w:outlineLvl w:val="0"/>
    </w:pPr>
    <w:rPr>
      <w:rFonts w:ascii="Century" w:hAnsi="Century" w:cs="Miriam"/>
      <w:b/>
      <w:spacing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link w:val="Ruller50"/>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uiPriority w:val="99"/>
    <w:rsid w:val="003F1F97"/>
    <w:rPr>
      <w:color w:val="0000FF"/>
      <w:u w:val="single"/>
    </w:rPr>
  </w:style>
  <w:style w:type="table" w:styleId="a8">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9">
    <w:name w:val="annotation reference"/>
    <w:basedOn w:val="a0"/>
    <w:rsid w:val="00D00B1D"/>
    <w:rPr>
      <w:sz w:val="16"/>
      <w:szCs w:val="16"/>
    </w:rPr>
  </w:style>
  <w:style w:type="paragraph" w:styleId="aa">
    <w:name w:val="annotation text"/>
    <w:basedOn w:val="a"/>
    <w:link w:val="ab"/>
    <w:rsid w:val="00D00B1D"/>
    <w:rPr>
      <w:szCs w:val="20"/>
    </w:rPr>
  </w:style>
  <w:style w:type="character" w:customStyle="1" w:styleId="ab">
    <w:name w:val="טקסט הערה תו"/>
    <w:basedOn w:val="a0"/>
    <w:link w:val="aa"/>
    <w:rsid w:val="00D00B1D"/>
    <w:rPr>
      <w:rFonts w:cs="David"/>
    </w:rPr>
  </w:style>
  <w:style w:type="paragraph" w:styleId="ac">
    <w:name w:val="annotation subject"/>
    <w:basedOn w:val="aa"/>
    <w:next w:val="aa"/>
    <w:link w:val="ad"/>
    <w:rsid w:val="00D00B1D"/>
    <w:rPr>
      <w:b/>
      <w:bCs/>
    </w:rPr>
  </w:style>
  <w:style w:type="character" w:customStyle="1" w:styleId="ad">
    <w:name w:val="נושא הערה תו"/>
    <w:basedOn w:val="ab"/>
    <w:link w:val="ac"/>
    <w:rsid w:val="00D00B1D"/>
    <w:rPr>
      <w:rFonts w:cs="David"/>
      <w:b/>
      <w:bCs/>
    </w:rPr>
  </w:style>
  <w:style w:type="paragraph" w:styleId="ae">
    <w:name w:val="Balloon Text"/>
    <w:basedOn w:val="a"/>
    <w:link w:val="af"/>
    <w:rsid w:val="00D00B1D"/>
    <w:rPr>
      <w:rFonts w:ascii="Tahoma" w:hAnsi="Tahoma" w:cs="Tahoma"/>
      <w:sz w:val="18"/>
      <w:szCs w:val="18"/>
    </w:rPr>
  </w:style>
  <w:style w:type="character" w:customStyle="1" w:styleId="af">
    <w:name w:val="טקסט בלונים תו"/>
    <w:basedOn w:val="a0"/>
    <w:link w:val="ae"/>
    <w:rsid w:val="00D00B1D"/>
    <w:rPr>
      <w:rFonts w:ascii="Tahoma" w:hAnsi="Tahoma" w:cs="Tahoma"/>
      <w:sz w:val="18"/>
      <w:szCs w:val="18"/>
    </w:rPr>
  </w:style>
  <w:style w:type="character" w:customStyle="1" w:styleId="10">
    <w:name w:val="כותרת 1 תו"/>
    <w:basedOn w:val="a0"/>
    <w:link w:val="1"/>
    <w:rsid w:val="00AE6D65"/>
    <w:rPr>
      <w:rFonts w:ascii="Century" w:hAnsi="Century" w:cs="Miriam"/>
      <w:b/>
      <w:sz w:val="22"/>
      <w:szCs w:val="24"/>
    </w:rPr>
  </w:style>
  <w:style w:type="character" w:customStyle="1" w:styleId="Ruller42">
    <w:name w:val="Ruller4 תו"/>
    <w:link w:val="Ruller41"/>
    <w:locked/>
    <w:rsid w:val="00AE6D65"/>
    <w:rPr>
      <w:rFonts w:ascii="Arial TUR" w:hAnsi="Arial TUR" w:cs="FrankRuehl"/>
      <w:spacing w:val="10"/>
      <w:sz w:val="22"/>
      <w:szCs w:val="28"/>
    </w:rPr>
  </w:style>
  <w:style w:type="paragraph" w:customStyle="1" w:styleId="Ruller4">
    <w:name w:val="Ruller 4 ממוספר"/>
    <w:basedOn w:val="Ruller41"/>
    <w:next w:val="Ruller41"/>
    <w:link w:val="Ruller43"/>
    <w:qFormat/>
    <w:rsid w:val="00AE6D65"/>
    <w:pPr>
      <w:numPr>
        <w:numId w:val="11"/>
      </w:numPr>
      <w:textAlignment w:val="auto"/>
    </w:pPr>
    <w:rPr>
      <w:rFonts w:ascii="Garamond" w:hAnsi="Garamond"/>
      <w:sz w:val="24"/>
    </w:rPr>
  </w:style>
  <w:style w:type="character" w:customStyle="1" w:styleId="Ruller43">
    <w:name w:val="Ruller 4 ממוספר תו"/>
    <w:link w:val="Ruller4"/>
    <w:locked/>
    <w:rsid w:val="00AE6D65"/>
    <w:rPr>
      <w:rFonts w:ascii="Garamond" w:hAnsi="Garamond" w:cs="FrankRuehl"/>
      <w:spacing w:val="10"/>
      <w:sz w:val="24"/>
      <w:szCs w:val="28"/>
    </w:rPr>
  </w:style>
  <w:style w:type="paragraph" w:customStyle="1" w:styleId="Ruller40">
    <w:name w:val="Ruller4 אלפביתי"/>
    <w:basedOn w:val="Ruller41"/>
    <w:next w:val="Ruller41"/>
    <w:rsid w:val="00AE6D65"/>
    <w:pPr>
      <w:numPr>
        <w:numId w:val="12"/>
      </w:numPr>
      <w:textAlignment w:val="auto"/>
    </w:pPr>
  </w:style>
  <w:style w:type="character" w:customStyle="1" w:styleId="default">
    <w:name w:val="default"/>
    <w:rsid w:val="00AE6D65"/>
    <w:rPr>
      <w:rFonts w:ascii="Times New Roman" w:hAnsi="Times New Roman" w:cs="Times New Roman"/>
      <w:sz w:val="20"/>
      <w:szCs w:val="26"/>
    </w:rPr>
  </w:style>
  <w:style w:type="character" w:customStyle="1" w:styleId="a4">
    <w:name w:val="כותרת תחתונה תו"/>
    <w:basedOn w:val="a0"/>
    <w:link w:val="a3"/>
    <w:rsid w:val="00872589"/>
    <w:rPr>
      <w:rFonts w:cs="David"/>
      <w:szCs w:val="24"/>
    </w:rPr>
  </w:style>
  <w:style w:type="character" w:customStyle="1" w:styleId="a7">
    <w:name w:val="כותרת עליונה תו"/>
    <w:basedOn w:val="a0"/>
    <w:link w:val="a6"/>
    <w:rsid w:val="00872589"/>
    <w:rPr>
      <w:rFonts w:cs="David"/>
      <w:szCs w:val="24"/>
    </w:rPr>
  </w:style>
  <w:style w:type="paragraph" w:styleId="af0">
    <w:name w:val="footnote text"/>
    <w:basedOn w:val="a"/>
    <w:link w:val="af1"/>
    <w:unhideWhenUsed/>
    <w:rsid w:val="00872589"/>
    <w:rPr>
      <w:rFonts w:ascii="Century" w:hAnsi="Century" w:cs="FrankRuehl"/>
      <w:spacing w:val="10"/>
      <w:szCs w:val="20"/>
    </w:rPr>
  </w:style>
  <w:style w:type="character" w:customStyle="1" w:styleId="af1">
    <w:name w:val="טקסט הערת שוליים תו"/>
    <w:basedOn w:val="a0"/>
    <w:link w:val="af0"/>
    <w:rsid w:val="00872589"/>
    <w:rPr>
      <w:rFonts w:ascii="Century" w:hAnsi="Century" w:cs="FrankRuehl"/>
      <w:spacing w:val="10"/>
    </w:rPr>
  </w:style>
  <w:style w:type="character" w:styleId="af2">
    <w:name w:val="footnote reference"/>
    <w:basedOn w:val="a0"/>
    <w:unhideWhenUsed/>
    <w:rsid w:val="00872589"/>
    <w:rPr>
      <w:vertAlign w:val="superscript"/>
    </w:rPr>
  </w:style>
  <w:style w:type="paragraph" w:styleId="af3">
    <w:name w:val="Revision"/>
    <w:hidden/>
    <w:uiPriority w:val="99"/>
    <w:semiHidden/>
    <w:rsid w:val="00872589"/>
    <w:rPr>
      <w:rFonts w:ascii="Century" w:hAnsi="Century" w:cs="FrankRuehl"/>
      <w:spacing w:val="10"/>
      <w:szCs w:val="28"/>
    </w:rPr>
  </w:style>
  <w:style w:type="character" w:styleId="af4">
    <w:name w:val="Emphasis"/>
    <w:basedOn w:val="a0"/>
    <w:uiPriority w:val="20"/>
    <w:qFormat/>
    <w:rsid w:val="00255DAE"/>
    <w:rPr>
      <w:i/>
      <w:iCs/>
    </w:rPr>
  </w:style>
  <w:style w:type="character" w:customStyle="1" w:styleId="Ruller50">
    <w:name w:val="Ruller5 תו"/>
    <w:link w:val="Ruller5"/>
    <w:locked/>
    <w:rsid w:val="00D8481A"/>
    <w:rPr>
      <w:rFonts w:ascii="Arial TUR" w:hAnsi="Arial TUR" w:cs="FrankRuehl"/>
      <w:spacing w:val="10"/>
      <w:sz w:val="22"/>
      <w:szCs w:val="28"/>
    </w:rPr>
  </w:style>
  <w:style w:type="paragraph" w:styleId="af5">
    <w:name w:val="List Paragraph"/>
    <w:basedOn w:val="a"/>
    <w:uiPriority w:val="34"/>
    <w:qFormat/>
    <w:rsid w:val="00BA03D0"/>
    <w:pPr>
      <w:spacing w:line="360" w:lineRule="auto"/>
      <w:ind w:left="720"/>
      <w:contextualSpacing/>
    </w:pPr>
    <w:rPr>
      <w:rFonts w:ascii="Century" w:hAnsi="Century" w:cs="FrankRuehl"/>
      <w:spacing w:val="10"/>
      <w:szCs w:val="28"/>
    </w:rPr>
  </w:style>
  <w:style w:type="paragraph" w:customStyle="1" w:styleId="ruller44">
    <w:name w:val="ruller4"/>
    <w:basedOn w:val="a"/>
    <w:rsid w:val="00BA03D0"/>
    <w:pPr>
      <w:overflowPunct/>
      <w:autoSpaceDE/>
      <w:autoSpaceDN/>
      <w:bidi w:val="0"/>
      <w:adjustRightInd/>
      <w:spacing w:before="100" w:beforeAutospacing="1" w:after="100" w:afterAutospacing="1"/>
      <w:textAlignment w:val="auto"/>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39588"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reme.court.gov.i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2231/4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law/72231/4a.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law/72231/4a.b"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99</Pages>
  <Words>33530</Words>
  <Characters>167650</Characters>
  <Application>Microsoft Office Word</Application>
  <DocSecurity>0</DocSecurity>
  <Lines>1397</Lines>
  <Paragraphs>401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200779</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שני קמחי נידם</dc:creator>
  <cp:keywords/>
  <dc:description/>
  <cp:lastModifiedBy>אסתר טטרואשילי</cp:lastModifiedBy>
  <cp:revision>2</cp:revision>
  <cp:lastPrinted>2023-11-13T09:18:00Z</cp:lastPrinted>
  <dcterms:created xsi:type="dcterms:W3CDTF">2023-11-14T11:20:00Z</dcterms:created>
  <dcterms:modified xsi:type="dcterms:W3CDTF">2023-11-14T11:20:00Z</dcterms:modified>
</cp:coreProperties>
</file>